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45AB5" w14:textId="0A5F4A13" w:rsidR="00E90E49" w:rsidRPr="00CE0424" w:rsidRDefault="00E90E49" w:rsidP="00D46FF5">
      <w:pPr>
        <w:pStyle w:val="3GPPHeader"/>
        <w:tabs>
          <w:tab w:val="left" w:pos="7200"/>
        </w:tabs>
        <w:spacing w:after="120"/>
        <w:rPr>
          <w:sz w:val="32"/>
          <w:szCs w:val="32"/>
          <w:highlight w:val="yellow"/>
        </w:rPr>
      </w:pPr>
      <w:r w:rsidRPr="005E0E9B">
        <w:t>3GPP TSG-RAN WG</w:t>
      </w:r>
      <w:r w:rsidR="008F1C4E" w:rsidRPr="005E0E9B">
        <w:t>1</w:t>
      </w:r>
      <w:r w:rsidRPr="005E0E9B">
        <w:t xml:space="preserve"> </w:t>
      </w:r>
      <w:r w:rsidR="008F1C4E" w:rsidRPr="005E0E9B">
        <w:t xml:space="preserve">Meeting </w:t>
      </w:r>
      <w:r w:rsidRPr="005E0E9B">
        <w:t>#</w:t>
      </w:r>
      <w:r w:rsidR="00AD580A" w:rsidRPr="005E0E9B">
        <w:t>11</w:t>
      </w:r>
      <w:r w:rsidR="00546C17" w:rsidRPr="005E0E9B">
        <w:t>8</w:t>
      </w:r>
      <w:r w:rsidR="00D46FF5">
        <w:t>bis</w:t>
      </w:r>
      <w:r w:rsidR="00C47670">
        <w:tab/>
      </w:r>
      <w:r w:rsidRPr="00156E16">
        <w:rPr>
          <w:sz w:val="32"/>
          <w:szCs w:val="32"/>
        </w:rPr>
        <w:t xml:space="preserve">Tdoc </w:t>
      </w:r>
      <w:r w:rsidR="00091557" w:rsidRPr="00156E16">
        <w:rPr>
          <w:sz w:val="32"/>
          <w:szCs w:val="32"/>
        </w:rPr>
        <w:t>R</w:t>
      </w:r>
      <w:r w:rsidR="008F1C4E" w:rsidRPr="00156E16">
        <w:rPr>
          <w:sz w:val="32"/>
          <w:szCs w:val="32"/>
        </w:rPr>
        <w:t>1</w:t>
      </w:r>
      <w:r w:rsidR="00091557" w:rsidRPr="00156E16">
        <w:rPr>
          <w:sz w:val="32"/>
          <w:szCs w:val="32"/>
        </w:rPr>
        <w:t>-</w:t>
      </w:r>
      <w:r w:rsidR="00660453" w:rsidRPr="00660453">
        <w:t xml:space="preserve"> </w:t>
      </w:r>
      <w:r w:rsidR="00D46FF5" w:rsidRPr="00D46FF5">
        <w:rPr>
          <w:sz w:val="32"/>
          <w:szCs w:val="32"/>
        </w:rPr>
        <w:t>2407649</w:t>
      </w:r>
    </w:p>
    <w:p w14:paraId="6377BC9F" w14:textId="62CE8770" w:rsidR="00E17BB8" w:rsidRPr="005E0E9B" w:rsidRDefault="00D46FF5" w:rsidP="00D46FF5">
      <w:pPr>
        <w:pStyle w:val="3GPPHeader"/>
      </w:pPr>
      <w:r w:rsidRPr="00D46FF5">
        <w:rPr>
          <w:bCs/>
        </w:rPr>
        <w:t>Hefei, China, October 14</w:t>
      </w:r>
      <w:r w:rsidRPr="00D46FF5">
        <w:rPr>
          <w:rFonts w:hint="eastAsia"/>
          <w:bCs/>
          <w:vertAlign w:val="superscript"/>
        </w:rPr>
        <w:t>th</w:t>
      </w:r>
      <w:r w:rsidRPr="00D46FF5">
        <w:rPr>
          <w:bCs/>
        </w:rPr>
        <w:t xml:space="preserve"> – 18</w:t>
      </w:r>
      <w:r w:rsidRPr="00D46FF5">
        <w:rPr>
          <w:bCs/>
          <w:vertAlign w:val="superscript"/>
        </w:rPr>
        <w:t>th</w:t>
      </w:r>
      <w:r w:rsidRPr="00D46FF5">
        <w:rPr>
          <w:bCs/>
        </w:rPr>
        <w:t>, 2024</w:t>
      </w:r>
    </w:p>
    <w:p w14:paraId="5CC8B96E" w14:textId="43EBFA6D" w:rsidR="00E90E49" w:rsidRPr="005E0E9B" w:rsidRDefault="00E90E49" w:rsidP="00D46FF5">
      <w:pPr>
        <w:pStyle w:val="3GPPHeader"/>
        <w:spacing w:after="0"/>
      </w:pPr>
      <w:r w:rsidRPr="005E0E9B">
        <w:t>Agenda Item:</w:t>
      </w:r>
      <w:r w:rsidRPr="005E0E9B">
        <w:tab/>
      </w:r>
      <w:r w:rsidR="00AD580A" w:rsidRPr="005E0E9B">
        <w:t>9.1.2</w:t>
      </w:r>
    </w:p>
    <w:p w14:paraId="1B7E9B36" w14:textId="77777777" w:rsidR="00E90E49" w:rsidRPr="005E0E9B" w:rsidRDefault="003D3C45" w:rsidP="00D46FF5">
      <w:pPr>
        <w:pStyle w:val="3GPPHeader"/>
        <w:spacing w:after="0"/>
      </w:pPr>
      <w:r w:rsidRPr="005E0E9B">
        <w:t>Source:</w:t>
      </w:r>
      <w:r w:rsidR="00E90E49" w:rsidRPr="005E0E9B">
        <w:tab/>
      </w:r>
      <w:r w:rsidR="00F64C2B" w:rsidRPr="005E0E9B">
        <w:t>Ericsson</w:t>
      </w:r>
    </w:p>
    <w:p w14:paraId="63152FD2" w14:textId="6A88BF43" w:rsidR="00E90E49" w:rsidRPr="005E0E9B" w:rsidRDefault="003D3C45" w:rsidP="00D46FF5">
      <w:pPr>
        <w:pStyle w:val="3GPPHeader"/>
        <w:spacing w:after="0"/>
      </w:pPr>
      <w:r w:rsidRPr="005E0E9B">
        <w:t>Title:</w:t>
      </w:r>
      <w:r w:rsidR="00E90E49" w:rsidRPr="005E0E9B">
        <w:tab/>
      </w:r>
      <w:r w:rsidR="00AD580A" w:rsidRPr="005E0E9B">
        <w:t>AI/ML for Positioning Accuracy Enhancement</w:t>
      </w:r>
    </w:p>
    <w:p w14:paraId="1155B603" w14:textId="1301E8B2" w:rsidR="00E90E49" w:rsidRPr="005E0E9B" w:rsidRDefault="00E90E49" w:rsidP="00D46FF5">
      <w:pPr>
        <w:pStyle w:val="3GPPHeader"/>
        <w:spacing w:after="0"/>
      </w:pPr>
      <w:r w:rsidRPr="005E0E9B">
        <w:t>Document for:</w:t>
      </w:r>
      <w:r w:rsidRPr="005E0E9B">
        <w:tab/>
        <w:t>Discussion, Decision</w:t>
      </w:r>
    </w:p>
    <w:p w14:paraId="4EB3DA39" w14:textId="5CEFFA14" w:rsidR="0044334C" w:rsidRDefault="007F0535">
      <w:pPr>
        <w:pStyle w:val="TOC1"/>
        <w:rPr>
          <w:rFonts w:asciiTheme="minorHAnsi" w:eastAsiaTheme="minorEastAsia" w:hAnsiTheme="minorHAnsi" w:cstheme="minorBidi"/>
          <w:kern w:val="2"/>
          <w:szCs w:val="22"/>
          <w:lang w:val="en-US" w:eastAsia="en-US"/>
          <w14:ligatures w14:val="standardContextual"/>
        </w:rPr>
      </w:pPr>
      <w:r>
        <w:fldChar w:fldCharType="begin"/>
      </w:r>
      <w:r>
        <w:instrText xml:space="preserve"> TOC \o "1-4" \h \z \u </w:instrText>
      </w:r>
      <w:r>
        <w:fldChar w:fldCharType="separate"/>
      </w:r>
      <w:hyperlink w:anchor="_Toc178961635" w:history="1">
        <w:r w:rsidR="0044334C" w:rsidRPr="0011252D">
          <w:rPr>
            <w:rStyle w:val="Hyperlink"/>
            <w:lang w:val="en-US"/>
          </w:rPr>
          <w:t>1</w:t>
        </w:r>
        <w:r w:rsidR="0044334C">
          <w:rPr>
            <w:rFonts w:asciiTheme="minorHAnsi" w:eastAsiaTheme="minorEastAsia" w:hAnsiTheme="minorHAnsi" w:cstheme="minorBidi"/>
            <w:kern w:val="2"/>
            <w:szCs w:val="22"/>
            <w:lang w:val="en-US" w:eastAsia="en-US"/>
            <w14:ligatures w14:val="standardContextual"/>
          </w:rPr>
          <w:tab/>
        </w:r>
        <w:r w:rsidR="0044334C" w:rsidRPr="0011252D">
          <w:rPr>
            <w:rStyle w:val="Hyperlink"/>
            <w:lang w:val="en-US"/>
          </w:rPr>
          <w:t>Introduction</w:t>
        </w:r>
        <w:r w:rsidR="0044334C">
          <w:rPr>
            <w:webHidden/>
          </w:rPr>
          <w:tab/>
        </w:r>
        <w:r w:rsidR="0044334C">
          <w:rPr>
            <w:webHidden/>
          </w:rPr>
          <w:fldChar w:fldCharType="begin"/>
        </w:r>
        <w:r w:rsidR="0044334C">
          <w:rPr>
            <w:webHidden/>
          </w:rPr>
          <w:instrText xml:space="preserve"> PAGEREF _Toc178961635 \h </w:instrText>
        </w:r>
        <w:r w:rsidR="0044334C">
          <w:rPr>
            <w:webHidden/>
          </w:rPr>
        </w:r>
        <w:r w:rsidR="0044334C">
          <w:rPr>
            <w:webHidden/>
          </w:rPr>
          <w:fldChar w:fldCharType="separate"/>
        </w:r>
        <w:r w:rsidR="00850DA1">
          <w:rPr>
            <w:webHidden/>
          </w:rPr>
          <w:t>2</w:t>
        </w:r>
        <w:r w:rsidR="0044334C">
          <w:rPr>
            <w:webHidden/>
          </w:rPr>
          <w:fldChar w:fldCharType="end"/>
        </w:r>
      </w:hyperlink>
    </w:p>
    <w:p w14:paraId="64C7A7A1" w14:textId="78390C1C"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36" w:history="1">
        <w:r w:rsidRPr="0011252D">
          <w:rPr>
            <w:rStyle w:val="Hyperlink"/>
            <w:lang w:val="en-US"/>
          </w:rPr>
          <w:t>2</w:t>
        </w:r>
        <w:r>
          <w:rPr>
            <w:rFonts w:asciiTheme="minorHAnsi" w:eastAsiaTheme="minorEastAsia" w:hAnsiTheme="minorHAnsi" w:cstheme="minorBidi"/>
            <w:kern w:val="2"/>
            <w:szCs w:val="22"/>
            <w:lang w:val="en-US" w:eastAsia="en-US"/>
            <w14:ligatures w14:val="standardContextual"/>
          </w:rPr>
          <w:tab/>
        </w:r>
        <w:r w:rsidRPr="0011252D">
          <w:rPr>
            <w:rStyle w:val="Hyperlink"/>
            <w:lang w:val="en-US"/>
          </w:rPr>
          <w:t>Integrating AI/ML based positioning methods with existing protocol</w:t>
        </w:r>
        <w:r>
          <w:rPr>
            <w:webHidden/>
          </w:rPr>
          <w:tab/>
        </w:r>
        <w:r>
          <w:rPr>
            <w:webHidden/>
          </w:rPr>
          <w:fldChar w:fldCharType="begin"/>
        </w:r>
        <w:r>
          <w:rPr>
            <w:webHidden/>
          </w:rPr>
          <w:instrText xml:space="preserve"> PAGEREF _Toc178961636 \h </w:instrText>
        </w:r>
        <w:r>
          <w:rPr>
            <w:webHidden/>
          </w:rPr>
        </w:r>
        <w:r>
          <w:rPr>
            <w:webHidden/>
          </w:rPr>
          <w:fldChar w:fldCharType="separate"/>
        </w:r>
        <w:r w:rsidR="00850DA1">
          <w:rPr>
            <w:webHidden/>
          </w:rPr>
          <w:t>3</w:t>
        </w:r>
        <w:r>
          <w:rPr>
            <w:webHidden/>
          </w:rPr>
          <w:fldChar w:fldCharType="end"/>
        </w:r>
      </w:hyperlink>
    </w:p>
    <w:p w14:paraId="5A76B882" w14:textId="7358D709"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37" w:history="1">
        <w:r w:rsidRPr="0011252D">
          <w:rPr>
            <w:rStyle w:val="Hyperlink"/>
            <w:lang w:val="en-US"/>
          </w:rPr>
          <w:t>2.1</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Cases with AI/ML model hosted in the UE (Case 1)</w:t>
        </w:r>
        <w:r>
          <w:rPr>
            <w:webHidden/>
          </w:rPr>
          <w:tab/>
        </w:r>
        <w:r>
          <w:rPr>
            <w:webHidden/>
          </w:rPr>
          <w:fldChar w:fldCharType="begin"/>
        </w:r>
        <w:r>
          <w:rPr>
            <w:webHidden/>
          </w:rPr>
          <w:instrText xml:space="preserve"> PAGEREF _Toc178961637 \h </w:instrText>
        </w:r>
        <w:r>
          <w:rPr>
            <w:webHidden/>
          </w:rPr>
        </w:r>
        <w:r>
          <w:rPr>
            <w:webHidden/>
          </w:rPr>
          <w:fldChar w:fldCharType="separate"/>
        </w:r>
        <w:r w:rsidR="00850DA1">
          <w:rPr>
            <w:webHidden/>
          </w:rPr>
          <w:t>3</w:t>
        </w:r>
        <w:r>
          <w:rPr>
            <w:webHidden/>
          </w:rPr>
          <w:fldChar w:fldCharType="end"/>
        </w:r>
      </w:hyperlink>
    </w:p>
    <w:p w14:paraId="17913815" w14:textId="1E0D5A0D"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38" w:history="1">
        <w:r w:rsidRPr="0011252D">
          <w:rPr>
            <w:rStyle w:val="Hyperlink"/>
            <w:lang w:val="en-US"/>
          </w:rPr>
          <w:t>2.2</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Case with AI/ML model hosted in the TRP/gNB (Case 3a)</w:t>
        </w:r>
        <w:r>
          <w:rPr>
            <w:webHidden/>
          </w:rPr>
          <w:tab/>
        </w:r>
        <w:r>
          <w:rPr>
            <w:webHidden/>
          </w:rPr>
          <w:fldChar w:fldCharType="begin"/>
        </w:r>
        <w:r>
          <w:rPr>
            <w:webHidden/>
          </w:rPr>
          <w:instrText xml:space="preserve"> PAGEREF _Toc178961638 \h </w:instrText>
        </w:r>
        <w:r>
          <w:rPr>
            <w:webHidden/>
          </w:rPr>
        </w:r>
        <w:r>
          <w:rPr>
            <w:webHidden/>
          </w:rPr>
          <w:fldChar w:fldCharType="separate"/>
        </w:r>
        <w:r w:rsidR="00850DA1">
          <w:rPr>
            <w:webHidden/>
          </w:rPr>
          <w:t>4</w:t>
        </w:r>
        <w:r>
          <w:rPr>
            <w:webHidden/>
          </w:rPr>
          <w:fldChar w:fldCharType="end"/>
        </w:r>
      </w:hyperlink>
    </w:p>
    <w:p w14:paraId="392143D6" w14:textId="3AACD803"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39" w:history="1">
        <w:r w:rsidRPr="0011252D">
          <w:rPr>
            <w:rStyle w:val="Hyperlink"/>
            <w:lang w:val="en-US"/>
          </w:rPr>
          <w:t>2.3</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Case with AI/ML model hosted in the LMF (case 3b)</w:t>
        </w:r>
        <w:r>
          <w:rPr>
            <w:webHidden/>
          </w:rPr>
          <w:tab/>
        </w:r>
        <w:r>
          <w:rPr>
            <w:webHidden/>
          </w:rPr>
          <w:fldChar w:fldCharType="begin"/>
        </w:r>
        <w:r>
          <w:rPr>
            <w:webHidden/>
          </w:rPr>
          <w:instrText xml:space="preserve"> PAGEREF _Toc178961639 \h </w:instrText>
        </w:r>
        <w:r>
          <w:rPr>
            <w:webHidden/>
          </w:rPr>
        </w:r>
        <w:r>
          <w:rPr>
            <w:webHidden/>
          </w:rPr>
          <w:fldChar w:fldCharType="separate"/>
        </w:r>
        <w:r w:rsidR="00850DA1">
          <w:rPr>
            <w:webHidden/>
          </w:rPr>
          <w:t>4</w:t>
        </w:r>
        <w:r>
          <w:rPr>
            <w:webHidden/>
          </w:rPr>
          <w:fldChar w:fldCharType="end"/>
        </w:r>
      </w:hyperlink>
    </w:p>
    <w:p w14:paraId="4C344A26" w14:textId="3D5B1D05"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40" w:history="1">
        <w:r w:rsidRPr="0011252D">
          <w:rPr>
            <w:rStyle w:val="Hyperlink"/>
            <w:lang w:val="en-US"/>
          </w:rPr>
          <w:t>3</w:t>
        </w:r>
        <w:r>
          <w:rPr>
            <w:rFonts w:asciiTheme="minorHAnsi" w:eastAsiaTheme="minorEastAsia" w:hAnsiTheme="minorHAnsi" w:cstheme="minorBidi"/>
            <w:kern w:val="2"/>
            <w:szCs w:val="22"/>
            <w:lang w:val="en-US" w:eastAsia="en-US"/>
            <w14:ligatures w14:val="standardContextual"/>
          </w:rPr>
          <w:tab/>
        </w:r>
        <w:r w:rsidRPr="0011252D">
          <w:rPr>
            <w:rStyle w:val="Hyperlink"/>
            <w:lang w:val="en-US"/>
          </w:rPr>
          <w:t>Signaling enhancement for model inputs</w:t>
        </w:r>
        <w:r>
          <w:rPr>
            <w:webHidden/>
          </w:rPr>
          <w:tab/>
        </w:r>
        <w:r>
          <w:rPr>
            <w:webHidden/>
          </w:rPr>
          <w:fldChar w:fldCharType="begin"/>
        </w:r>
        <w:r>
          <w:rPr>
            <w:webHidden/>
          </w:rPr>
          <w:instrText xml:space="preserve"> PAGEREF _Toc178961640 \h </w:instrText>
        </w:r>
        <w:r>
          <w:rPr>
            <w:webHidden/>
          </w:rPr>
        </w:r>
        <w:r>
          <w:rPr>
            <w:webHidden/>
          </w:rPr>
          <w:fldChar w:fldCharType="separate"/>
        </w:r>
        <w:r w:rsidR="00850DA1">
          <w:rPr>
            <w:webHidden/>
          </w:rPr>
          <w:t>5</w:t>
        </w:r>
        <w:r>
          <w:rPr>
            <w:webHidden/>
          </w:rPr>
          <w:fldChar w:fldCharType="end"/>
        </w:r>
      </w:hyperlink>
    </w:p>
    <w:p w14:paraId="0D0D72BE" w14:textId="0785DB4B"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41" w:history="1">
        <w:r w:rsidRPr="0011252D">
          <w:rPr>
            <w:rStyle w:val="Hyperlink"/>
            <w:lang w:val="en-US"/>
          </w:rPr>
          <w:t>3.1</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Sample-based vs path-based measurements</w:t>
        </w:r>
        <w:r>
          <w:rPr>
            <w:webHidden/>
          </w:rPr>
          <w:tab/>
        </w:r>
        <w:r>
          <w:rPr>
            <w:webHidden/>
          </w:rPr>
          <w:fldChar w:fldCharType="begin"/>
        </w:r>
        <w:r>
          <w:rPr>
            <w:webHidden/>
          </w:rPr>
          <w:instrText xml:space="preserve"> PAGEREF _Toc178961641 \h </w:instrText>
        </w:r>
        <w:r>
          <w:rPr>
            <w:webHidden/>
          </w:rPr>
        </w:r>
        <w:r>
          <w:rPr>
            <w:webHidden/>
          </w:rPr>
          <w:fldChar w:fldCharType="separate"/>
        </w:r>
        <w:r w:rsidR="00850DA1">
          <w:rPr>
            <w:webHidden/>
          </w:rPr>
          <w:t>5</w:t>
        </w:r>
        <w:r>
          <w:rPr>
            <w:webHidden/>
          </w:rPr>
          <w:fldChar w:fldCharType="end"/>
        </w:r>
      </w:hyperlink>
    </w:p>
    <w:p w14:paraId="57F79BD1" w14:textId="2111A492"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42" w:history="1">
        <w:r w:rsidRPr="0011252D">
          <w:rPr>
            <w:rStyle w:val="Hyperlink"/>
          </w:rPr>
          <w:t>3.1.1</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Sample-based measurements</w:t>
        </w:r>
        <w:r>
          <w:rPr>
            <w:webHidden/>
          </w:rPr>
          <w:tab/>
        </w:r>
        <w:r>
          <w:rPr>
            <w:webHidden/>
          </w:rPr>
          <w:fldChar w:fldCharType="begin"/>
        </w:r>
        <w:r>
          <w:rPr>
            <w:webHidden/>
          </w:rPr>
          <w:instrText xml:space="preserve"> PAGEREF _Toc178961642 \h </w:instrText>
        </w:r>
        <w:r>
          <w:rPr>
            <w:webHidden/>
          </w:rPr>
        </w:r>
        <w:r>
          <w:rPr>
            <w:webHidden/>
          </w:rPr>
          <w:fldChar w:fldCharType="separate"/>
        </w:r>
        <w:r w:rsidR="00850DA1">
          <w:rPr>
            <w:webHidden/>
          </w:rPr>
          <w:t>6</w:t>
        </w:r>
        <w:r>
          <w:rPr>
            <w:webHidden/>
          </w:rPr>
          <w:fldChar w:fldCharType="end"/>
        </w:r>
      </w:hyperlink>
    </w:p>
    <w:p w14:paraId="512194FD" w14:textId="730BD0CF"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43" w:history="1">
        <w:r w:rsidRPr="0011252D">
          <w:rPr>
            <w:rStyle w:val="Hyperlink"/>
          </w:rPr>
          <w:t>3.1.1.1</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Remaining issue for the definition of sample-based measurements</w:t>
        </w:r>
        <w:r>
          <w:rPr>
            <w:webHidden/>
          </w:rPr>
          <w:tab/>
        </w:r>
        <w:r>
          <w:rPr>
            <w:webHidden/>
          </w:rPr>
          <w:fldChar w:fldCharType="begin"/>
        </w:r>
        <w:r>
          <w:rPr>
            <w:webHidden/>
          </w:rPr>
          <w:instrText xml:space="preserve"> PAGEREF _Toc178961643 \h </w:instrText>
        </w:r>
        <w:r>
          <w:rPr>
            <w:webHidden/>
          </w:rPr>
        </w:r>
        <w:r>
          <w:rPr>
            <w:webHidden/>
          </w:rPr>
          <w:fldChar w:fldCharType="separate"/>
        </w:r>
        <w:r w:rsidR="00850DA1">
          <w:rPr>
            <w:webHidden/>
          </w:rPr>
          <w:t>6</w:t>
        </w:r>
        <w:r>
          <w:rPr>
            <w:webHidden/>
          </w:rPr>
          <w:fldChar w:fldCharType="end"/>
        </w:r>
      </w:hyperlink>
    </w:p>
    <w:p w14:paraId="105D959D" w14:textId="3FD0E09D"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44" w:history="1">
        <w:r w:rsidRPr="0011252D">
          <w:rPr>
            <w:rStyle w:val="Hyperlink"/>
          </w:rPr>
          <w:t>3.1.1.2</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Value range for parameters</w:t>
        </w:r>
        <w:r w:rsidRPr="0011252D">
          <w:rPr>
            <w:rStyle w:val="Hyperlink"/>
          </w:rPr>
          <w:t xml:space="preserve"> {N</w:t>
        </w:r>
        <w:r w:rsidRPr="0011252D">
          <w:rPr>
            <w:rStyle w:val="Hyperlink"/>
            <w:vertAlign w:val="subscript"/>
          </w:rPr>
          <w:t>t</w:t>
        </w:r>
        <w:r w:rsidRPr="0011252D">
          <w:rPr>
            <w:rStyle w:val="Hyperlink"/>
          </w:rPr>
          <w:t>, N</w:t>
        </w:r>
        <w:r w:rsidRPr="0011252D">
          <w:rPr>
            <w:rStyle w:val="Hyperlink"/>
            <w:vertAlign w:val="subscript"/>
          </w:rPr>
          <w:t>t</w:t>
        </w:r>
        <w:r w:rsidRPr="0011252D">
          <w:rPr>
            <w:rStyle w:val="Hyperlink"/>
          </w:rPr>
          <w:t>', k}</w:t>
        </w:r>
        <w:r>
          <w:rPr>
            <w:webHidden/>
          </w:rPr>
          <w:tab/>
        </w:r>
        <w:r>
          <w:rPr>
            <w:webHidden/>
          </w:rPr>
          <w:fldChar w:fldCharType="begin"/>
        </w:r>
        <w:r>
          <w:rPr>
            <w:webHidden/>
          </w:rPr>
          <w:instrText xml:space="preserve"> PAGEREF _Toc178961644 \h </w:instrText>
        </w:r>
        <w:r>
          <w:rPr>
            <w:webHidden/>
          </w:rPr>
        </w:r>
        <w:r>
          <w:rPr>
            <w:webHidden/>
          </w:rPr>
          <w:fldChar w:fldCharType="separate"/>
        </w:r>
        <w:r w:rsidR="00850DA1">
          <w:rPr>
            <w:webHidden/>
          </w:rPr>
          <w:t>8</w:t>
        </w:r>
        <w:r>
          <w:rPr>
            <w:webHidden/>
          </w:rPr>
          <w:fldChar w:fldCharType="end"/>
        </w:r>
      </w:hyperlink>
    </w:p>
    <w:p w14:paraId="71416A7E" w14:textId="4D55CAEF"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45" w:history="1">
        <w:r w:rsidRPr="0011252D">
          <w:rPr>
            <w:rStyle w:val="Hyperlink"/>
          </w:rPr>
          <w:t>3.1.1.3</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Evaluation results for measurement report window placement</w:t>
        </w:r>
        <w:r>
          <w:rPr>
            <w:webHidden/>
          </w:rPr>
          <w:tab/>
        </w:r>
        <w:r>
          <w:rPr>
            <w:webHidden/>
          </w:rPr>
          <w:fldChar w:fldCharType="begin"/>
        </w:r>
        <w:r>
          <w:rPr>
            <w:webHidden/>
          </w:rPr>
          <w:instrText xml:space="preserve"> PAGEREF _Toc178961645 \h </w:instrText>
        </w:r>
        <w:r>
          <w:rPr>
            <w:webHidden/>
          </w:rPr>
        </w:r>
        <w:r>
          <w:rPr>
            <w:webHidden/>
          </w:rPr>
          <w:fldChar w:fldCharType="separate"/>
        </w:r>
        <w:r w:rsidR="00850DA1">
          <w:rPr>
            <w:webHidden/>
          </w:rPr>
          <w:t>10</w:t>
        </w:r>
        <w:r>
          <w:rPr>
            <w:webHidden/>
          </w:rPr>
          <w:fldChar w:fldCharType="end"/>
        </w:r>
      </w:hyperlink>
    </w:p>
    <w:p w14:paraId="759F6865" w14:textId="7CA9E39A"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46" w:history="1">
        <w:r w:rsidRPr="0011252D">
          <w:rPr>
            <w:rStyle w:val="Hyperlink"/>
          </w:rPr>
          <w:t>3.1.1.4</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Issue of timing error when generating measurement</w:t>
        </w:r>
        <w:r>
          <w:rPr>
            <w:webHidden/>
          </w:rPr>
          <w:tab/>
        </w:r>
        <w:r>
          <w:rPr>
            <w:webHidden/>
          </w:rPr>
          <w:fldChar w:fldCharType="begin"/>
        </w:r>
        <w:r>
          <w:rPr>
            <w:webHidden/>
          </w:rPr>
          <w:instrText xml:space="preserve"> PAGEREF _Toc178961646 \h </w:instrText>
        </w:r>
        <w:r>
          <w:rPr>
            <w:webHidden/>
          </w:rPr>
        </w:r>
        <w:r>
          <w:rPr>
            <w:webHidden/>
          </w:rPr>
          <w:fldChar w:fldCharType="separate"/>
        </w:r>
        <w:r w:rsidR="00850DA1">
          <w:rPr>
            <w:webHidden/>
          </w:rPr>
          <w:t>16</w:t>
        </w:r>
        <w:r>
          <w:rPr>
            <w:webHidden/>
          </w:rPr>
          <w:fldChar w:fldCharType="end"/>
        </w:r>
      </w:hyperlink>
    </w:p>
    <w:p w14:paraId="7F74D802" w14:textId="7E78F307"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47" w:history="1">
        <w:r w:rsidRPr="0011252D">
          <w:rPr>
            <w:rStyle w:val="Hyperlink"/>
          </w:rPr>
          <w:t>6.4.2.2</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Generalization Aspects</w:t>
        </w:r>
        <w:r>
          <w:rPr>
            <w:webHidden/>
          </w:rPr>
          <w:tab/>
        </w:r>
        <w:r>
          <w:rPr>
            <w:webHidden/>
          </w:rPr>
          <w:fldChar w:fldCharType="begin"/>
        </w:r>
        <w:r>
          <w:rPr>
            <w:webHidden/>
          </w:rPr>
          <w:instrText xml:space="preserve"> PAGEREF _Toc178961647 \h </w:instrText>
        </w:r>
        <w:r>
          <w:rPr>
            <w:webHidden/>
          </w:rPr>
        </w:r>
        <w:r>
          <w:rPr>
            <w:webHidden/>
          </w:rPr>
          <w:fldChar w:fldCharType="separate"/>
        </w:r>
        <w:r w:rsidR="00850DA1">
          <w:rPr>
            <w:webHidden/>
          </w:rPr>
          <w:t>19</w:t>
        </w:r>
        <w:r>
          <w:rPr>
            <w:webHidden/>
          </w:rPr>
          <w:fldChar w:fldCharType="end"/>
        </w:r>
      </w:hyperlink>
    </w:p>
    <w:p w14:paraId="408FC587" w14:textId="6C04A5B6"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48" w:history="1">
        <w:r w:rsidRPr="0011252D">
          <w:rPr>
            <w:rStyle w:val="Hyperlink"/>
          </w:rPr>
          <w:t>3.1.1.5</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Total-power PDP report for Rel-19</w:t>
        </w:r>
        <w:r>
          <w:rPr>
            <w:webHidden/>
          </w:rPr>
          <w:tab/>
        </w:r>
        <w:r>
          <w:rPr>
            <w:webHidden/>
          </w:rPr>
          <w:fldChar w:fldCharType="begin"/>
        </w:r>
        <w:r>
          <w:rPr>
            <w:webHidden/>
          </w:rPr>
          <w:instrText xml:space="preserve"> PAGEREF _Toc178961648 \h </w:instrText>
        </w:r>
        <w:r>
          <w:rPr>
            <w:webHidden/>
          </w:rPr>
        </w:r>
        <w:r>
          <w:rPr>
            <w:webHidden/>
          </w:rPr>
          <w:fldChar w:fldCharType="separate"/>
        </w:r>
        <w:r w:rsidR="00850DA1">
          <w:rPr>
            <w:webHidden/>
          </w:rPr>
          <w:t>21</w:t>
        </w:r>
        <w:r>
          <w:rPr>
            <w:webHidden/>
          </w:rPr>
          <w:fldChar w:fldCharType="end"/>
        </w:r>
      </w:hyperlink>
    </w:p>
    <w:p w14:paraId="6699AF2C" w14:textId="4B86C2A5"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49" w:history="1">
        <w:r w:rsidRPr="0011252D">
          <w:rPr>
            <w:rStyle w:val="Hyperlink"/>
          </w:rPr>
          <w:t>3.1.2</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Challenges of using Rel-17 path-based measurement as model input</w:t>
        </w:r>
        <w:r>
          <w:rPr>
            <w:webHidden/>
          </w:rPr>
          <w:tab/>
        </w:r>
        <w:r>
          <w:rPr>
            <w:webHidden/>
          </w:rPr>
          <w:fldChar w:fldCharType="begin"/>
        </w:r>
        <w:r>
          <w:rPr>
            <w:webHidden/>
          </w:rPr>
          <w:instrText xml:space="preserve"> PAGEREF _Toc178961649 \h </w:instrText>
        </w:r>
        <w:r>
          <w:rPr>
            <w:webHidden/>
          </w:rPr>
        </w:r>
        <w:r>
          <w:rPr>
            <w:webHidden/>
          </w:rPr>
          <w:fldChar w:fldCharType="separate"/>
        </w:r>
        <w:r w:rsidR="00850DA1">
          <w:rPr>
            <w:webHidden/>
          </w:rPr>
          <w:t>22</w:t>
        </w:r>
        <w:r>
          <w:rPr>
            <w:webHidden/>
          </w:rPr>
          <w:fldChar w:fldCharType="end"/>
        </w:r>
      </w:hyperlink>
    </w:p>
    <w:p w14:paraId="30E210BD" w14:textId="1688825A"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50" w:history="1">
        <w:r w:rsidRPr="0011252D">
          <w:rPr>
            <w:rStyle w:val="Hyperlink"/>
          </w:rPr>
          <w:t>3.1.2.1</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High receiver complexity with path-based measurement</w:t>
        </w:r>
        <w:r>
          <w:rPr>
            <w:webHidden/>
          </w:rPr>
          <w:tab/>
        </w:r>
        <w:r>
          <w:rPr>
            <w:webHidden/>
          </w:rPr>
          <w:fldChar w:fldCharType="begin"/>
        </w:r>
        <w:r>
          <w:rPr>
            <w:webHidden/>
          </w:rPr>
          <w:instrText xml:space="preserve"> PAGEREF _Toc178961650 \h </w:instrText>
        </w:r>
        <w:r>
          <w:rPr>
            <w:webHidden/>
          </w:rPr>
        </w:r>
        <w:r>
          <w:rPr>
            <w:webHidden/>
          </w:rPr>
          <w:fldChar w:fldCharType="separate"/>
        </w:r>
        <w:r w:rsidR="00850DA1">
          <w:rPr>
            <w:webHidden/>
          </w:rPr>
          <w:t>24</w:t>
        </w:r>
        <w:r>
          <w:rPr>
            <w:webHidden/>
          </w:rPr>
          <w:fldChar w:fldCharType="end"/>
        </w:r>
      </w:hyperlink>
    </w:p>
    <w:p w14:paraId="6BA8EFC2" w14:textId="514BA436"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51" w:history="1">
        <w:r w:rsidRPr="0011252D">
          <w:rPr>
            <w:rStyle w:val="Hyperlink"/>
          </w:rPr>
          <w:t>3.1.2.2</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Lack of robustness with path-based measurement</w:t>
        </w:r>
        <w:r>
          <w:rPr>
            <w:webHidden/>
          </w:rPr>
          <w:tab/>
        </w:r>
        <w:r>
          <w:rPr>
            <w:webHidden/>
          </w:rPr>
          <w:fldChar w:fldCharType="begin"/>
        </w:r>
        <w:r>
          <w:rPr>
            <w:webHidden/>
          </w:rPr>
          <w:instrText xml:space="preserve"> PAGEREF _Toc178961651 \h </w:instrText>
        </w:r>
        <w:r>
          <w:rPr>
            <w:webHidden/>
          </w:rPr>
        </w:r>
        <w:r>
          <w:rPr>
            <w:webHidden/>
          </w:rPr>
          <w:fldChar w:fldCharType="separate"/>
        </w:r>
        <w:r w:rsidR="00850DA1">
          <w:rPr>
            <w:webHidden/>
          </w:rPr>
          <w:t>26</w:t>
        </w:r>
        <w:r>
          <w:rPr>
            <w:webHidden/>
          </w:rPr>
          <w:fldChar w:fldCharType="end"/>
        </w:r>
      </w:hyperlink>
    </w:p>
    <w:p w14:paraId="4B02E228" w14:textId="17423C4E"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52" w:history="1">
        <w:r w:rsidRPr="0011252D">
          <w:rPr>
            <w:rStyle w:val="Hyperlink"/>
          </w:rPr>
          <w:t>3.1.2.3</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Processing bandwidth/capability issues</w:t>
        </w:r>
        <w:r>
          <w:rPr>
            <w:webHidden/>
          </w:rPr>
          <w:tab/>
        </w:r>
        <w:r>
          <w:rPr>
            <w:webHidden/>
          </w:rPr>
          <w:fldChar w:fldCharType="begin"/>
        </w:r>
        <w:r>
          <w:rPr>
            <w:webHidden/>
          </w:rPr>
          <w:instrText xml:space="preserve"> PAGEREF _Toc178961652 \h </w:instrText>
        </w:r>
        <w:r>
          <w:rPr>
            <w:webHidden/>
          </w:rPr>
        </w:r>
        <w:r>
          <w:rPr>
            <w:webHidden/>
          </w:rPr>
          <w:fldChar w:fldCharType="separate"/>
        </w:r>
        <w:r w:rsidR="00850DA1">
          <w:rPr>
            <w:webHidden/>
          </w:rPr>
          <w:t>31</w:t>
        </w:r>
        <w:r>
          <w:rPr>
            <w:webHidden/>
          </w:rPr>
          <w:fldChar w:fldCharType="end"/>
        </w:r>
      </w:hyperlink>
    </w:p>
    <w:p w14:paraId="48AAFBF6" w14:textId="02AD4635"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53" w:history="1">
        <w:r w:rsidRPr="0011252D">
          <w:rPr>
            <w:rStyle w:val="Hyperlink"/>
          </w:rPr>
          <w:t>3.1.2.4</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Performance degradation with reduced number of TRPs</w:t>
        </w:r>
        <w:r>
          <w:rPr>
            <w:webHidden/>
          </w:rPr>
          <w:tab/>
        </w:r>
        <w:r>
          <w:rPr>
            <w:webHidden/>
          </w:rPr>
          <w:fldChar w:fldCharType="begin"/>
        </w:r>
        <w:r>
          <w:rPr>
            <w:webHidden/>
          </w:rPr>
          <w:instrText xml:space="preserve"> PAGEREF _Toc178961653 \h </w:instrText>
        </w:r>
        <w:r>
          <w:rPr>
            <w:webHidden/>
          </w:rPr>
        </w:r>
        <w:r>
          <w:rPr>
            <w:webHidden/>
          </w:rPr>
          <w:fldChar w:fldCharType="separate"/>
        </w:r>
        <w:r w:rsidR="00850DA1">
          <w:rPr>
            <w:webHidden/>
          </w:rPr>
          <w:t>33</w:t>
        </w:r>
        <w:r>
          <w:rPr>
            <w:webHidden/>
          </w:rPr>
          <w:fldChar w:fldCharType="end"/>
        </w:r>
      </w:hyperlink>
    </w:p>
    <w:p w14:paraId="6290E7A1" w14:textId="432A7C90"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54" w:history="1">
        <w:r w:rsidRPr="0011252D">
          <w:rPr>
            <w:rStyle w:val="Hyperlink"/>
          </w:rPr>
          <w:t>3.1.2.5</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Burden of higher signaling size with path-based measurements</w:t>
        </w:r>
        <w:r>
          <w:rPr>
            <w:webHidden/>
          </w:rPr>
          <w:tab/>
        </w:r>
        <w:r>
          <w:rPr>
            <w:webHidden/>
          </w:rPr>
          <w:fldChar w:fldCharType="begin"/>
        </w:r>
        <w:r>
          <w:rPr>
            <w:webHidden/>
          </w:rPr>
          <w:instrText xml:space="preserve"> PAGEREF _Toc178961654 \h </w:instrText>
        </w:r>
        <w:r>
          <w:rPr>
            <w:webHidden/>
          </w:rPr>
        </w:r>
        <w:r>
          <w:rPr>
            <w:webHidden/>
          </w:rPr>
          <w:fldChar w:fldCharType="separate"/>
        </w:r>
        <w:r w:rsidR="00850DA1">
          <w:rPr>
            <w:webHidden/>
          </w:rPr>
          <w:t>37</w:t>
        </w:r>
        <w:r>
          <w:rPr>
            <w:webHidden/>
          </w:rPr>
          <w:fldChar w:fldCharType="end"/>
        </w:r>
      </w:hyperlink>
    </w:p>
    <w:p w14:paraId="6C12EE77" w14:textId="331A6175"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55" w:history="1">
        <w:r w:rsidRPr="0011252D">
          <w:rPr>
            <w:rStyle w:val="Hyperlink"/>
            <w:lang w:val="en-US"/>
          </w:rPr>
          <w:t>3.2</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Analysis of supporting phase information measurement</w:t>
        </w:r>
        <w:r>
          <w:rPr>
            <w:webHidden/>
          </w:rPr>
          <w:tab/>
        </w:r>
        <w:r>
          <w:rPr>
            <w:webHidden/>
          </w:rPr>
          <w:fldChar w:fldCharType="begin"/>
        </w:r>
        <w:r>
          <w:rPr>
            <w:webHidden/>
          </w:rPr>
          <w:instrText xml:space="preserve"> PAGEREF _Toc178961655 \h </w:instrText>
        </w:r>
        <w:r>
          <w:rPr>
            <w:webHidden/>
          </w:rPr>
        </w:r>
        <w:r>
          <w:rPr>
            <w:webHidden/>
          </w:rPr>
          <w:fldChar w:fldCharType="separate"/>
        </w:r>
        <w:r w:rsidR="00850DA1">
          <w:rPr>
            <w:webHidden/>
          </w:rPr>
          <w:t>40</w:t>
        </w:r>
        <w:r>
          <w:rPr>
            <w:webHidden/>
          </w:rPr>
          <w:fldChar w:fldCharType="end"/>
        </w:r>
      </w:hyperlink>
    </w:p>
    <w:p w14:paraId="2D534969" w14:textId="706FFFB9"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56" w:history="1">
        <w:r w:rsidRPr="0011252D">
          <w:rPr>
            <w:rStyle w:val="Hyperlink"/>
            <w:lang w:val="en-US"/>
          </w:rPr>
          <w:t>3.2.1</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Inapplicability of Rel-18 carrier phase positioning</w:t>
        </w:r>
        <w:r>
          <w:rPr>
            <w:webHidden/>
          </w:rPr>
          <w:tab/>
        </w:r>
        <w:r>
          <w:rPr>
            <w:webHidden/>
          </w:rPr>
          <w:fldChar w:fldCharType="begin"/>
        </w:r>
        <w:r>
          <w:rPr>
            <w:webHidden/>
          </w:rPr>
          <w:instrText xml:space="preserve"> PAGEREF _Toc178961656 \h </w:instrText>
        </w:r>
        <w:r>
          <w:rPr>
            <w:webHidden/>
          </w:rPr>
        </w:r>
        <w:r>
          <w:rPr>
            <w:webHidden/>
          </w:rPr>
          <w:fldChar w:fldCharType="separate"/>
        </w:r>
        <w:r w:rsidR="00850DA1">
          <w:rPr>
            <w:webHidden/>
          </w:rPr>
          <w:t>41</w:t>
        </w:r>
        <w:r>
          <w:rPr>
            <w:webHidden/>
          </w:rPr>
          <w:fldChar w:fldCharType="end"/>
        </w:r>
      </w:hyperlink>
    </w:p>
    <w:p w14:paraId="6F34167C" w14:textId="3C060019"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57" w:history="1">
        <w:r w:rsidRPr="0011252D">
          <w:rPr>
            <w:rStyle w:val="Hyperlink"/>
            <w:lang w:val="en-US"/>
          </w:rPr>
          <w:t>3.2.2</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Issues with random initial phase</w:t>
        </w:r>
        <w:r>
          <w:rPr>
            <w:webHidden/>
          </w:rPr>
          <w:tab/>
        </w:r>
        <w:r>
          <w:rPr>
            <w:webHidden/>
          </w:rPr>
          <w:fldChar w:fldCharType="begin"/>
        </w:r>
        <w:r>
          <w:rPr>
            <w:webHidden/>
          </w:rPr>
          <w:instrText xml:space="preserve"> PAGEREF _Toc178961657 \h </w:instrText>
        </w:r>
        <w:r>
          <w:rPr>
            <w:webHidden/>
          </w:rPr>
        </w:r>
        <w:r>
          <w:rPr>
            <w:webHidden/>
          </w:rPr>
          <w:fldChar w:fldCharType="separate"/>
        </w:r>
        <w:r w:rsidR="00850DA1">
          <w:rPr>
            <w:webHidden/>
          </w:rPr>
          <w:t>41</w:t>
        </w:r>
        <w:r>
          <w:rPr>
            <w:webHidden/>
          </w:rPr>
          <w:fldChar w:fldCharType="end"/>
        </w:r>
      </w:hyperlink>
    </w:p>
    <w:p w14:paraId="3C4F8EFB" w14:textId="775D71CE"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58" w:history="1">
        <w:r w:rsidRPr="0011252D">
          <w:rPr>
            <w:rStyle w:val="Hyperlink"/>
          </w:rPr>
          <w:t>3.2.3</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Difficulty to align phase measurements between model training and model inference</w:t>
        </w:r>
        <w:r>
          <w:rPr>
            <w:webHidden/>
          </w:rPr>
          <w:tab/>
        </w:r>
        <w:r>
          <w:rPr>
            <w:webHidden/>
          </w:rPr>
          <w:fldChar w:fldCharType="begin"/>
        </w:r>
        <w:r>
          <w:rPr>
            <w:webHidden/>
          </w:rPr>
          <w:instrText xml:space="preserve"> PAGEREF _Toc178961658 \h </w:instrText>
        </w:r>
        <w:r>
          <w:rPr>
            <w:webHidden/>
          </w:rPr>
        </w:r>
        <w:r>
          <w:rPr>
            <w:webHidden/>
          </w:rPr>
          <w:fldChar w:fldCharType="separate"/>
        </w:r>
        <w:r w:rsidR="00850DA1">
          <w:rPr>
            <w:webHidden/>
          </w:rPr>
          <w:t>44</w:t>
        </w:r>
        <w:r>
          <w:rPr>
            <w:webHidden/>
          </w:rPr>
          <w:fldChar w:fldCharType="end"/>
        </w:r>
      </w:hyperlink>
    </w:p>
    <w:p w14:paraId="532CF771" w14:textId="012AEA13"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59" w:history="1">
        <w:r w:rsidRPr="0011252D">
          <w:rPr>
            <w:rStyle w:val="Hyperlink"/>
            <w:lang w:val="en-US"/>
          </w:rPr>
          <w:t>3.2.4</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Signaling size vs positioning accuracy tradeoff analysis</w:t>
        </w:r>
        <w:r>
          <w:rPr>
            <w:webHidden/>
          </w:rPr>
          <w:tab/>
        </w:r>
        <w:r>
          <w:rPr>
            <w:webHidden/>
          </w:rPr>
          <w:fldChar w:fldCharType="begin"/>
        </w:r>
        <w:r>
          <w:rPr>
            <w:webHidden/>
          </w:rPr>
          <w:instrText xml:space="preserve"> PAGEREF _Toc178961659 \h </w:instrText>
        </w:r>
        <w:r>
          <w:rPr>
            <w:webHidden/>
          </w:rPr>
        </w:r>
        <w:r>
          <w:rPr>
            <w:webHidden/>
          </w:rPr>
          <w:fldChar w:fldCharType="separate"/>
        </w:r>
        <w:r w:rsidR="00850DA1">
          <w:rPr>
            <w:webHidden/>
          </w:rPr>
          <w:t>45</w:t>
        </w:r>
        <w:r>
          <w:rPr>
            <w:webHidden/>
          </w:rPr>
          <w:fldChar w:fldCharType="end"/>
        </w:r>
      </w:hyperlink>
    </w:p>
    <w:p w14:paraId="7F1D9618" w14:textId="6FBA7CDD"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60" w:history="1">
        <w:r w:rsidRPr="0011252D">
          <w:rPr>
            <w:rStyle w:val="Hyperlink"/>
            <w:lang w:val="en-US"/>
          </w:rPr>
          <w:t>3.2.4.1</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Simple signaling size comparison based on the number of real numbers to signal</w:t>
        </w:r>
        <w:r>
          <w:rPr>
            <w:webHidden/>
          </w:rPr>
          <w:tab/>
        </w:r>
        <w:r>
          <w:rPr>
            <w:webHidden/>
          </w:rPr>
          <w:fldChar w:fldCharType="begin"/>
        </w:r>
        <w:r>
          <w:rPr>
            <w:webHidden/>
          </w:rPr>
          <w:instrText xml:space="preserve"> PAGEREF _Toc178961660 \h </w:instrText>
        </w:r>
        <w:r>
          <w:rPr>
            <w:webHidden/>
          </w:rPr>
        </w:r>
        <w:r>
          <w:rPr>
            <w:webHidden/>
          </w:rPr>
          <w:fldChar w:fldCharType="separate"/>
        </w:r>
        <w:r w:rsidR="00850DA1">
          <w:rPr>
            <w:webHidden/>
          </w:rPr>
          <w:t>46</w:t>
        </w:r>
        <w:r>
          <w:rPr>
            <w:webHidden/>
          </w:rPr>
          <w:fldChar w:fldCharType="end"/>
        </w:r>
      </w:hyperlink>
    </w:p>
    <w:p w14:paraId="2D141413" w14:textId="3C352736" w:rsidR="0044334C" w:rsidRDefault="0044334C">
      <w:pPr>
        <w:pStyle w:val="TOC4"/>
        <w:rPr>
          <w:rFonts w:asciiTheme="minorHAnsi" w:eastAsiaTheme="minorEastAsia" w:hAnsiTheme="minorHAnsi" w:cstheme="minorBidi"/>
          <w:kern w:val="2"/>
          <w:sz w:val="22"/>
          <w:szCs w:val="22"/>
          <w:lang w:val="en-US" w:eastAsia="en-US"/>
          <w14:ligatures w14:val="standardContextual"/>
        </w:rPr>
      </w:pPr>
      <w:hyperlink w:anchor="_Toc178961661" w:history="1">
        <w:r w:rsidRPr="0011252D">
          <w:rPr>
            <w:rStyle w:val="Hyperlink"/>
            <w:lang w:val="en-US"/>
          </w:rPr>
          <w:t>3.2.4.2</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Signaling sizes based on simple direct sample timing bitmaps</w:t>
        </w:r>
        <w:r>
          <w:rPr>
            <w:webHidden/>
          </w:rPr>
          <w:tab/>
        </w:r>
        <w:r>
          <w:rPr>
            <w:webHidden/>
          </w:rPr>
          <w:fldChar w:fldCharType="begin"/>
        </w:r>
        <w:r>
          <w:rPr>
            <w:webHidden/>
          </w:rPr>
          <w:instrText xml:space="preserve"> PAGEREF _Toc178961661 \h </w:instrText>
        </w:r>
        <w:r>
          <w:rPr>
            <w:webHidden/>
          </w:rPr>
        </w:r>
        <w:r>
          <w:rPr>
            <w:webHidden/>
          </w:rPr>
          <w:fldChar w:fldCharType="separate"/>
        </w:r>
        <w:r w:rsidR="00850DA1">
          <w:rPr>
            <w:webHidden/>
          </w:rPr>
          <w:t>48</w:t>
        </w:r>
        <w:r>
          <w:rPr>
            <w:webHidden/>
          </w:rPr>
          <w:fldChar w:fldCharType="end"/>
        </w:r>
      </w:hyperlink>
    </w:p>
    <w:p w14:paraId="7652F264" w14:textId="2AE3DC38"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62" w:history="1">
        <w:r w:rsidRPr="0011252D">
          <w:rPr>
            <w:rStyle w:val="Hyperlink"/>
            <w:lang w:val="en-US"/>
          </w:rPr>
          <w:t>3.3</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Reference Time for timing info of PDP and DP</w:t>
        </w:r>
        <w:r>
          <w:rPr>
            <w:webHidden/>
          </w:rPr>
          <w:tab/>
        </w:r>
        <w:r>
          <w:rPr>
            <w:webHidden/>
          </w:rPr>
          <w:fldChar w:fldCharType="begin"/>
        </w:r>
        <w:r>
          <w:rPr>
            <w:webHidden/>
          </w:rPr>
          <w:instrText xml:space="preserve"> PAGEREF _Toc178961662 \h </w:instrText>
        </w:r>
        <w:r>
          <w:rPr>
            <w:webHidden/>
          </w:rPr>
        </w:r>
        <w:r>
          <w:rPr>
            <w:webHidden/>
          </w:rPr>
          <w:fldChar w:fldCharType="separate"/>
        </w:r>
        <w:r w:rsidR="00850DA1">
          <w:rPr>
            <w:webHidden/>
          </w:rPr>
          <w:t>50</w:t>
        </w:r>
        <w:r>
          <w:rPr>
            <w:webHidden/>
          </w:rPr>
          <w:fldChar w:fldCharType="end"/>
        </w:r>
      </w:hyperlink>
    </w:p>
    <w:p w14:paraId="6729F032" w14:textId="21B25180"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63" w:history="1">
        <w:r w:rsidRPr="0011252D">
          <w:rPr>
            <w:rStyle w:val="Hyperlink"/>
            <w:lang w:val="en-US"/>
          </w:rPr>
          <w:t>3.4</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Additional information included in the measurement report</w:t>
        </w:r>
        <w:r>
          <w:rPr>
            <w:webHidden/>
          </w:rPr>
          <w:tab/>
        </w:r>
        <w:r>
          <w:rPr>
            <w:webHidden/>
          </w:rPr>
          <w:fldChar w:fldCharType="begin"/>
        </w:r>
        <w:r>
          <w:rPr>
            <w:webHidden/>
          </w:rPr>
          <w:instrText xml:space="preserve"> PAGEREF _Toc178961663 \h </w:instrText>
        </w:r>
        <w:r>
          <w:rPr>
            <w:webHidden/>
          </w:rPr>
        </w:r>
        <w:r>
          <w:rPr>
            <w:webHidden/>
          </w:rPr>
          <w:fldChar w:fldCharType="separate"/>
        </w:r>
        <w:r w:rsidR="00850DA1">
          <w:rPr>
            <w:webHidden/>
          </w:rPr>
          <w:t>51</w:t>
        </w:r>
        <w:r>
          <w:rPr>
            <w:webHidden/>
          </w:rPr>
          <w:fldChar w:fldCharType="end"/>
        </w:r>
      </w:hyperlink>
    </w:p>
    <w:p w14:paraId="4EF09065" w14:textId="3E3A701F"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64" w:history="1">
        <w:r w:rsidRPr="0011252D">
          <w:rPr>
            <w:rStyle w:val="Hyperlink"/>
            <w:lang w:val="en-US"/>
          </w:rPr>
          <w:t>3.5</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Impact of AI/ML model location for Case 3a</w:t>
        </w:r>
        <w:r>
          <w:rPr>
            <w:webHidden/>
          </w:rPr>
          <w:tab/>
        </w:r>
        <w:r>
          <w:rPr>
            <w:webHidden/>
          </w:rPr>
          <w:fldChar w:fldCharType="begin"/>
        </w:r>
        <w:r>
          <w:rPr>
            <w:webHidden/>
          </w:rPr>
          <w:instrText xml:space="preserve"> PAGEREF _Toc178961664 \h </w:instrText>
        </w:r>
        <w:r>
          <w:rPr>
            <w:webHidden/>
          </w:rPr>
        </w:r>
        <w:r>
          <w:rPr>
            <w:webHidden/>
          </w:rPr>
          <w:fldChar w:fldCharType="separate"/>
        </w:r>
        <w:r w:rsidR="00850DA1">
          <w:rPr>
            <w:webHidden/>
          </w:rPr>
          <w:t>52</w:t>
        </w:r>
        <w:r>
          <w:rPr>
            <w:webHidden/>
          </w:rPr>
          <w:fldChar w:fldCharType="end"/>
        </w:r>
      </w:hyperlink>
    </w:p>
    <w:p w14:paraId="7DE0518C" w14:textId="18289D85"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65" w:history="1">
        <w:r w:rsidRPr="0011252D">
          <w:rPr>
            <w:rStyle w:val="Hyperlink"/>
            <w:lang w:val="en-US"/>
          </w:rPr>
          <w:t>4</w:t>
        </w:r>
        <w:r>
          <w:rPr>
            <w:rFonts w:asciiTheme="minorHAnsi" w:eastAsiaTheme="minorEastAsia" w:hAnsiTheme="minorHAnsi" w:cstheme="minorBidi"/>
            <w:kern w:val="2"/>
            <w:szCs w:val="22"/>
            <w:lang w:val="en-US" w:eastAsia="en-US"/>
            <w14:ligatures w14:val="standardContextual"/>
          </w:rPr>
          <w:tab/>
        </w:r>
        <w:r w:rsidRPr="0011252D">
          <w:rPr>
            <w:rStyle w:val="Hyperlink"/>
            <w:lang w:val="en-US"/>
          </w:rPr>
          <w:t>Model output of AI/ML assisted positioning</w:t>
        </w:r>
        <w:r>
          <w:rPr>
            <w:webHidden/>
          </w:rPr>
          <w:tab/>
        </w:r>
        <w:r>
          <w:rPr>
            <w:webHidden/>
          </w:rPr>
          <w:fldChar w:fldCharType="begin"/>
        </w:r>
        <w:r>
          <w:rPr>
            <w:webHidden/>
          </w:rPr>
          <w:instrText xml:space="preserve"> PAGEREF _Toc178961665 \h </w:instrText>
        </w:r>
        <w:r>
          <w:rPr>
            <w:webHidden/>
          </w:rPr>
        </w:r>
        <w:r>
          <w:rPr>
            <w:webHidden/>
          </w:rPr>
          <w:fldChar w:fldCharType="separate"/>
        </w:r>
        <w:r w:rsidR="00850DA1">
          <w:rPr>
            <w:webHidden/>
          </w:rPr>
          <w:t>53</w:t>
        </w:r>
        <w:r>
          <w:rPr>
            <w:webHidden/>
          </w:rPr>
          <w:fldChar w:fldCharType="end"/>
        </w:r>
      </w:hyperlink>
    </w:p>
    <w:p w14:paraId="21A5666A" w14:textId="654D78B1"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66" w:history="1">
        <w:r w:rsidRPr="0011252D">
          <w:rPr>
            <w:rStyle w:val="Hyperlink"/>
            <w:rFonts w:cs="Arial"/>
            <w:lang w:val="en-US"/>
          </w:rPr>
          <w:t>4.1</w:t>
        </w:r>
        <w:r>
          <w:rPr>
            <w:rFonts w:asciiTheme="minorHAnsi" w:eastAsiaTheme="minorEastAsia" w:hAnsiTheme="minorHAnsi" w:cstheme="minorBidi"/>
            <w:kern w:val="2"/>
            <w:sz w:val="22"/>
            <w:szCs w:val="22"/>
            <w:lang w:val="en-US" w:eastAsia="en-US"/>
            <w14:ligatures w14:val="standardContextual"/>
          </w:rPr>
          <w:tab/>
        </w:r>
        <w:r w:rsidRPr="0011252D">
          <w:rPr>
            <w:rStyle w:val="Hyperlink"/>
            <w:rFonts w:cs="Arial"/>
            <w:lang w:val="en-US"/>
          </w:rPr>
          <w:t>Details for reporting model output of AI/ML assisted positioning</w:t>
        </w:r>
        <w:r>
          <w:rPr>
            <w:webHidden/>
          </w:rPr>
          <w:tab/>
        </w:r>
        <w:r>
          <w:rPr>
            <w:webHidden/>
          </w:rPr>
          <w:fldChar w:fldCharType="begin"/>
        </w:r>
        <w:r>
          <w:rPr>
            <w:webHidden/>
          </w:rPr>
          <w:instrText xml:space="preserve"> PAGEREF _Toc178961666 \h </w:instrText>
        </w:r>
        <w:r>
          <w:rPr>
            <w:webHidden/>
          </w:rPr>
        </w:r>
        <w:r>
          <w:rPr>
            <w:webHidden/>
          </w:rPr>
          <w:fldChar w:fldCharType="separate"/>
        </w:r>
        <w:r w:rsidR="00850DA1">
          <w:rPr>
            <w:webHidden/>
          </w:rPr>
          <w:t>53</w:t>
        </w:r>
        <w:r>
          <w:rPr>
            <w:webHidden/>
          </w:rPr>
          <w:fldChar w:fldCharType="end"/>
        </w:r>
      </w:hyperlink>
    </w:p>
    <w:p w14:paraId="6156C267" w14:textId="165B741D"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67" w:history="1">
        <w:r w:rsidRPr="0011252D">
          <w:rPr>
            <w:rStyle w:val="Hyperlink"/>
            <w:lang w:val="en-US"/>
          </w:rPr>
          <w:t>4.1.1</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LOS/NLOS indicator</w:t>
        </w:r>
        <w:r>
          <w:rPr>
            <w:webHidden/>
          </w:rPr>
          <w:tab/>
        </w:r>
        <w:r>
          <w:rPr>
            <w:webHidden/>
          </w:rPr>
          <w:fldChar w:fldCharType="begin"/>
        </w:r>
        <w:r>
          <w:rPr>
            <w:webHidden/>
          </w:rPr>
          <w:instrText xml:space="preserve"> PAGEREF _Toc178961667 \h </w:instrText>
        </w:r>
        <w:r>
          <w:rPr>
            <w:webHidden/>
          </w:rPr>
        </w:r>
        <w:r>
          <w:rPr>
            <w:webHidden/>
          </w:rPr>
          <w:fldChar w:fldCharType="separate"/>
        </w:r>
        <w:r w:rsidR="00850DA1">
          <w:rPr>
            <w:webHidden/>
          </w:rPr>
          <w:t>53</w:t>
        </w:r>
        <w:r>
          <w:rPr>
            <w:webHidden/>
          </w:rPr>
          <w:fldChar w:fldCharType="end"/>
        </w:r>
      </w:hyperlink>
    </w:p>
    <w:p w14:paraId="586CD7B6" w14:textId="15A9BE13"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68" w:history="1">
        <w:r w:rsidRPr="0011252D">
          <w:rPr>
            <w:rStyle w:val="Hyperlink"/>
            <w:lang w:val="en-US"/>
          </w:rPr>
          <w:t>4.1.2</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Timing information</w:t>
        </w:r>
        <w:r>
          <w:rPr>
            <w:webHidden/>
          </w:rPr>
          <w:tab/>
        </w:r>
        <w:r>
          <w:rPr>
            <w:webHidden/>
          </w:rPr>
          <w:fldChar w:fldCharType="begin"/>
        </w:r>
        <w:r>
          <w:rPr>
            <w:webHidden/>
          </w:rPr>
          <w:instrText xml:space="preserve"> PAGEREF _Toc178961668 \h </w:instrText>
        </w:r>
        <w:r>
          <w:rPr>
            <w:webHidden/>
          </w:rPr>
        </w:r>
        <w:r>
          <w:rPr>
            <w:webHidden/>
          </w:rPr>
          <w:fldChar w:fldCharType="separate"/>
        </w:r>
        <w:r w:rsidR="00850DA1">
          <w:rPr>
            <w:webHidden/>
          </w:rPr>
          <w:t>55</w:t>
        </w:r>
        <w:r>
          <w:rPr>
            <w:webHidden/>
          </w:rPr>
          <w:fldChar w:fldCharType="end"/>
        </w:r>
      </w:hyperlink>
    </w:p>
    <w:p w14:paraId="629C4957" w14:textId="583CF50F"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69" w:history="1">
        <w:r w:rsidRPr="0011252D">
          <w:rPr>
            <w:rStyle w:val="Hyperlink"/>
          </w:rPr>
          <w:t>4.1.3</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On the need of multipath timing/power reporting for Case 3a</w:t>
        </w:r>
        <w:r>
          <w:rPr>
            <w:webHidden/>
          </w:rPr>
          <w:tab/>
        </w:r>
        <w:r>
          <w:rPr>
            <w:webHidden/>
          </w:rPr>
          <w:fldChar w:fldCharType="begin"/>
        </w:r>
        <w:r>
          <w:rPr>
            <w:webHidden/>
          </w:rPr>
          <w:instrText xml:space="preserve"> PAGEREF _Toc178961669 \h </w:instrText>
        </w:r>
        <w:r>
          <w:rPr>
            <w:webHidden/>
          </w:rPr>
        </w:r>
        <w:r>
          <w:rPr>
            <w:webHidden/>
          </w:rPr>
          <w:fldChar w:fldCharType="separate"/>
        </w:r>
        <w:r w:rsidR="00850DA1">
          <w:rPr>
            <w:webHidden/>
          </w:rPr>
          <w:t>56</w:t>
        </w:r>
        <w:r>
          <w:rPr>
            <w:webHidden/>
          </w:rPr>
          <w:fldChar w:fldCharType="end"/>
        </w:r>
      </w:hyperlink>
    </w:p>
    <w:p w14:paraId="20B681D9" w14:textId="426BCA85"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70" w:history="1">
        <w:r w:rsidRPr="0011252D">
          <w:rPr>
            <w:rStyle w:val="Hyperlink"/>
            <w:lang w:val="en-US"/>
          </w:rPr>
          <w:t>4.2</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Indication of AI/ML assistance in generating measurement reports</w:t>
        </w:r>
        <w:r>
          <w:rPr>
            <w:webHidden/>
          </w:rPr>
          <w:tab/>
        </w:r>
        <w:r>
          <w:rPr>
            <w:webHidden/>
          </w:rPr>
          <w:fldChar w:fldCharType="begin"/>
        </w:r>
        <w:r>
          <w:rPr>
            <w:webHidden/>
          </w:rPr>
          <w:instrText xml:space="preserve"> PAGEREF _Toc178961670 \h </w:instrText>
        </w:r>
        <w:r>
          <w:rPr>
            <w:webHidden/>
          </w:rPr>
        </w:r>
        <w:r>
          <w:rPr>
            <w:webHidden/>
          </w:rPr>
          <w:fldChar w:fldCharType="separate"/>
        </w:r>
        <w:r w:rsidR="00850DA1">
          <w:rPr>
            <w:webHidden/>
          </w:rPr>
          <w:t>56</w:t>
        </w:r>
        <w:r>
          <w:rPr>
            <w:webHidden/>
          </w:rPr>
          <w:fldChar w:fldCharType="end"/>
        </w:r>
      </w:hyperlink>
    </w:p>
    <w:p w14:paraId="14A0233F" w14:textId="42866830"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71" w:history="1">
        <w:r w:rsidRPr="0011252D">
          <w:rPr>
            <w:rStyle w:val="Hyperlink"/>
            <w:lang w:val="en-US"/>
          </w:rPr>
          <w:t>5</w:t>
        </w:r>
        <w:r>
          <w:rPr>
            <w:rFonts w:asciiTheme="minorHAnsi" w:eastAsiaTheme="minorEastAsia" w:hAnsiTheme="minorHAnsi" w:cstheme="minorBidi"/>
            <w:kern w:val="2"/>
            <w:szCs w:val="22"/>
            <w:lang w:val="en-US" w:eastAsia="en-US"/>
            <w14:ligatures w14:val="standardContextual"/>
          </w:rPr>
          <w:tab/>
        </w:r>
        <w:r w:rsidRPr="0011252D">
          <w:rPr>
            <w:rStyle w:val="Hyperlink"/>
            <w:lang w:val="en-US"/>
          </w:rPr>
          <w:t>Training data collection</w:t>
        </w:r>
        <w:r>
          <w:rPr>
            <w:webHidden/>
          </w:rPr>
          <w:tab/>
        </w:r>
        <w:r>
          <w:rPr>
            <w:webHidden/>
          </w:rPr>
          <w:fldChar w:fldCharType="begin"/>
        </w:r>
        <w:r>
          <w:rPr>
            <w:webHidden/>
          </w:rPr>
          <w:instrText xml:space="preserve"> PAGEREF _Toc178961671 \h </w:instrText>
        </w:r>
        <w:r>
          <w:rPr>
            <w:webHidden/>
          </w:rPr>
        </w:r>
        <w:r>
          <w:rPr>
            <w:webHidden/>
          </w:rPr>
          <w:fldChar w:fldCharType="separate"/>
        </w:r>
        <w:r w:rsidR="00850DA1">
          <w:rPr>
            <w:webHidden/>
          </w:rPr>
          <w:t>57</w:t>
        </w:r>
        <w:r>
          <w:rPr>
            <w:webHidden/>
          </w:rPr>
          <w:fldChar w:fldCharType="end"/>
        </w:r>
      </w:hyperlink>
    </w:p>
    <w:p w14:paraId="5E74F151" w14:textId="7AC10BE8"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72" w:history="1">
        <w:r w:rsidRPr="0011252D">
          <w:rPr>
            <w:rStyle w:val="Hyperlink"/>
            <w:lang w:val="en-US"/>
          </w:rPr>
          <w:t>5.1</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Content of training data samples</w:t>
        </w:r>
        <w:r>
          <w:rPr>
            <w:webHidden/>
          </w:rPr>
          <w:tab/>
        </w:r>
        <w:r>
          <w:rPr>
            <w:webHidden/>
          </w:rPr>
          <w:fldChar w:fldCharType="begin"/>
        </w:r>
        <w:r>
          <w:rPr>
            <w:webHidden/>
          </w:rPr>
          <w:instrText xml:space="preserve"> PAGEREF _Toc178961672 \h </w:instrText>
        </w:r>
        <w:r>
          <w:rPr>
            <w:webHidden/>
          </w:rPr>
        </w:r>
        <w:r>
          <w:rPr>
            <w:webHidden/>
          </w:rPr>
          <w:fldChar w:fldCharType="separate"/>
        </w:r>
        <w:r w:rsidR="00850DA1">
          <w:rPr>
            <w:webHidden/>
          </w:rPr>
          <w:t>57</w:t>
        </w:r>
        <w:r>
          <w:rPr>
            <w:webHidden/>
          </w:rPr>
          <w:fldChar w:fldCharType="end"/>
        </w:r>
      </w:hyperlink>
    </w:p>
    <w:p w14:paraId="475A8A90" w14:textId="2FA0EE04"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73" w:history="1">
        <w:r w:rsidRPr="0011252D">
          <w:rPr>
            <w:rStyle w:val="Hyperlink"/>
          </w:rPr>
          <w:t>5.1.1</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Time stamp of training data samples</w:t>
        </w:r>
        <w:r>
          <w:rPr>
            <w:webHidden/>
          </w:rPr>
          <w:tab/>
        </w:r>
        <w:r>
          <w:rPr>
            <w:webHidden/>
          </w:rPr>
          <w:fldChar w:fldCharType="begin"/>
        </w:r>
        <w:r>
          <w:rPr>
            <w:webHidden/>
          </w:rPr>
          <w:instrText xml:space="preserve"> PAGEREF _Toc178961673 \h </w:instrText>
        </w:r>
        <w:r>
          <w:rPr>
            <w:webHidden/>
          </w:rPr>
        </w:r>
        <w:r>
          <w:rPr>
            <w:webHidden/>
          </w:rPr>
          <w:fldChar w:fldCharType="separate"/>
        </w:r>
        <w:r w:rsidR="00850DA1">
          <w:rPr>
            <w:webHidden/>
          </w:rPr>
          <w:t>57</w:t>
        </w:r>
        <w:r>
          <w:rPr>
            <w:webHidden/>
          </w:rPr>
          <w:fldChar w:fldCharType="end"/>
        </w:r>
      </w:hyperlink>
    </w:p>
    <w:p w14:paraId="7782A3DB" w14:textId="357C8FA7"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74" w:history="1">
        <w:r w:rsidRPr="0011252D">
          <w:rPr>
            <w:rStyle w:val="Hyperlink"/>
          </w:rPr>
          <w:t>5.1.2</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Signalling and quality reporting for Part A</w:t>
        </w:r>
        <w:r>
          <w:rPr>
            <w:webHidden/>
          </w:rPr>
          <w:tab/>
        </w:r>
        <w:r>
          <w:rPr>
            <w:webHidden/>
          </w:rPr>
          <w:fldChar w:fldCharType="begin"/>
        </w:r>
        <w:r>
          <w:rPr>
            <w:webHidden/>
          </w:rPr>
          <w:instrText xml:space="preserve"> PAGEREF _Toc178961674 \h </w:instrText>
        </w:r>
        <w:r>
          <w:rPr>
            <w:webHidden/>
          </w:rPr>
        </w:r>
        <w:r>
          <w:rPr>
            <w:webHidden/>
          </w:rPr>
          <w:fldChar w:fldCharType="separate"/>
        </w:r>
        <w:r w:rsidR="00850DA1">
          <w:rPr>
            <w:webHidden/>
          </w:rPr>
          <w:t>60</w:t>
        </w:r>
        <w:r>
          <w:rPr>
            <w:webHidden/>
          </w:rPr>
          <w:fldChar w:fldCharType="end"/>
        </w:r>
      </w:hyperlink>
    </w:p>
    <w:p w14:paraId="69D4F7D3" w14:textId="394EB8C2"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75" w:history="1">
        <w:r w:rsidRPr="0011252D">
          <w:rPr>
            <w:rStyle w:val="Hyperlink"/>
          </w:rPr>
          <w:t>5.1.3</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Signalling and quality reporting for Part B</w:t>
        </w:r>
        <w:r>
          <w:rPr>
            <w:webHidden/>
          </w:rPr>
          <w:tab/>
        </w:r>
        <w:r>
          <w:rPr>
            <w:webHidden/>
          </w:rPr>
          <w:fldChar w:fldCharType="begin"/>
        </w:r>
        <w:r>
          <w:rPr>
            <w:webHidden/>
          </w:rPr>
          <w:instrText xml:space="preserve"> PAGEREF _Toc178961675 \h </w:instrText>
        </w:r>
        <w:r>
          <w:rPr>
            <w:webHidden/>
          </w:rPr>
        </w:r>
        <w:r>
          <w:rPr>
            <w:webHidden/>
          </w:rPr>
          <w:fldChar w:fldCharType="separate"/>
        </w:r>
        <w:r w:rsidR="00850DA1">
          <w:rPr>
            <w:webHidden/>
          </w:rPr>
          <w:t>62</w:t>
        </w:r>
        <w:r>
          <w:rPr>
            <w:webHidden/>
          </w:rPr>
          <w:fldChar w:fldCharType="end"/>
        </w:r>
      </w:hyperlink>
    </w:p>
    <w:p w14:paraId="2A344FD1" w14:textId="14BAA35B"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76" w:history="1">
        <w:r w:rsidRPr="0011252D">
          <w:rPr>
            <w:rStyle w:val="Hyperlink"/>
          </w:rPr>
          <w:t>5.1.4</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Overhead reduction for label delivery</w:t>
        </w:r>
        <w:r>
          <w:rPr>
            <w:webHidden/>
          </w:rPr>
          <w:tab/>
        </w:r>
        <w:r>
          <w:rPr>
            <w:webHidden/>
          </w:rPr>
          <w:fldChar w:fldCharType="begin"/>
        </w:r>
        <w:r>
          <w:rPr>
            <w:webHidden/>
          </w:rPr>
          <w:instrText xml:space="preserve"> PAGEREF _Toc178961676 \h </w:instrText>
        </w:r>
        <w:r>
          <w:rPr>
            <w:webHidden/>
          </w:rPr>
        </w:r>
        <w:r>
          <w:rPr>
            <w:webHidden/>
          </w:rPr>
          <w:fldChar w:fldCharType="separate"/>
        </w:r>
        <w:r w:rsidR="00850DA1">
          <w:rPr>
            <w:webHidden/>
          </w:rPr>
          <w:t>63</w:t>
        </w:r>
        <w:r>
          <w:rPr>
            <w:webHidden/>
          </w:rPr>
          <w:fldChar w:fldCharType="end"/>
        </w:r>
      </w:hyperlink>
    </w:p>
    <w:p w14:paraId="33E6C990" w14:textId="0929C006"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77" w:history="1">
        <w:r w:rsidRPr="0011252D">
          <w:rPr>
            <w:rStyle w:val="Hyperlink"/>
            <w:lang w:val="en-US"/>
          </w:rPr>
          <w:t>5.2</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Metadata for training dataset</w:t>
        </w:r>
        <w:r>
          <w:rPr>
            <w:webHidden/>
          </w:rPr>
          <w:tab/>
        </w:r>
        <w:r>
          <w:rPr>
            <w:webHidden/>
          </w:rPr>
          <w:fldChar w:fldCharType="begin"/>
        </w:r>
        <w:r>
          <w:rPr>
            <w:webHidden/>
          </w:rPr>
          <w:instrText xml:space="preserve"> PAGEREF _Toc178961677 \h </w:instrText>
        </w:r>
        <w:r>
          <w:rPr>
            <w:webHidden/>
          </w:rPr>
        </w:r>
        <w:r>
          <w:rPr>
            <w:webHidden/>
          </w:rPr>
          <w:fldChar w:fldCharType="separate"/>
        </w:r>
        <w:r w:rsidR="00850DA1">
          <w:rPr>
            <w:webHidden/>
          </w:rPr>
          <w:t>63</w:t>
        </w:r>
        <w:r>
          <w:rPr>
            <w:webHidden/>
          </w:rPr>
          <w:fldChar w:fldCharType="end"/>
        </w:r>
      </w:hyperlink>
    </w:p>
    <w:p w14:paraId="37CF5B7A" w14:textId="39DE21FC"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78" w:history="1">
        <w:r w:rsidRPr="0011252D">
          <w:rPr>
            <w:rStyle w:val="Hyperlink"/>
          </w:rPr>
          <w:t>5.2.1</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Request for training data collection assistance data</w:t>
        </w:r>
        <w:r>
          <w:rPr>
            <w:webHidden/>
          </w:rPr>
          <w:tab/>
        </w:r>
        <w:r>
          <w:rPr>
            <w:webHidden/>
          </w:rPr>
          <w:fldChar w:fldCharType="begin"/>
        </w:r>
        <w:r>
          <w:rPr>
            <w:webHidden/>
          </w:rPr>
          <w:instrText xml:space="preserve"> PAGEREF _Toc178961678 \h </w:instrText>
        </w:r>
        <w:r>
          <w:rPr>
            <w:webHidden/>
          </w:rPr>
        </w:r>
        <w:r>
          <w:rPr>
            <w:webHidden/>
          </w:rPr>
          <w:fldChar w:fldCharType="separate"/>
        </w:r>
        <w:r w:rsidR="00850DA1">
          <w:rPr>
            <w:webHidden/>
          </w:rPr>
          <w:t>63</w:t>
        </w:r>
        <w:r>
          <w:rPr>
            <w:webHidden/>
          </w:rPr>
          <w:fldChar w:fldCharType="end"/>
        </w:r>
      </w:hyperlink>
    </w:p>
    <w:p w14:paraId="28F519B5" w14:textId="0E2127AA"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79" w:history="1">
        <w:r w:rsidRPr="0011252D">
          <w:rPr>
            <w:rStyle w:val="Hyperlink"/>
          </w:rPr>
          <w:t>5.2.2</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Elements in metadata of the training dataset</w:t>
        </w:r>
        <w:r>
          <w:rPr>
            <w:webHidden/>
          </w:rPr>
          <w:tab/>
        </w:r>
        <w:r>
          <w:rPr>
            <w:webHidden/>
          </w:rPr>
          <w:fldChar w:fldCharType="begin"/>
        </w:r>
        <w:r>
          <w:rPr>
            <w:webHidden/>
          </w:rPr>
          <w:instrText xml:space="preserve"> PAGEREF _Toc178961679 \h </w:instrText>
        </w:r>
        <w:r>
          <w:rPr>
            <w:webHidden/>
          </w:rPr>
        </w:r>
        <w:r>
          <w:rPr>
            <w:webHidden/>
          </w:rPr>
          <w:fldChar w:fldCharType="separate"/>
        </w:r>
        <w:r w:rsidR="00850DA1">
          <w:rPr>
            <w:webHidden/>
          </w:rPr>
          <w:t>64</w:t>
        </w:r>
        <w:r>
          <w:rPr>
            <w:webHidden/>
          </w:rPr>
          <w:fldChar w:fldCharType="end"/>
        </w:r>
      </w:hyperlink>
    </w:p>
    <w:p w14:paraId="5DE80C0B" w14:textId="4DC823B8"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80" w:history="1">
        <w:r w:rsidRPr="0011252D">
          <w:rPr>
            <w:rStyle w:val="Hyperlink"/>
          </w:rPr>
          <w:t>5.2.3</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Consistency of metadata between training and inference</w:t>
        </w:r>
        <w:r>
          <w:rPr>
            <w:webHidden/>
          </w:rPr>
          <w:tab/>
        </w:r>
        <w:r>
          <w:rPr>
            <w:webHidden/>
          </w:rPr>
          <w:fldChar w:fldCharType="begin"/>
        </w:r>
        <w:r>
          <w:rPr>
            <w:webHidden/>
          </w:rPr>
          <w:instrText xml:space="preserve"> PAGEREF _Toc178961680 \h </w:instrText>
        </w:r>
        <w:r>
          <w:rPr>
            <w:webHidden/>
          </w:rPr>
        </w:r>
        <w:r>
          <w:rPr>
            <w:webHidden/>
          </w:rPr>
          <w:fldChar w:fldCharType="separate"/>
        </w:r>
        <w:r w:rsidR="00850DA1">
          <w:rPr>
            <w:webHidden/>
          </w:rPr>
          <w:t>66</w:t>
        </w:r>
        <w:r>
          <w:rPr>
            <w:webHidden/>
          </w:rPr>
          <w:fldChar w:fldCharType="end"/>
        </w:r>
      </w:hyperlink>
    </w:p>
    <w:p w14:paraId="2A22F34A" w14:textId="691DEAA6"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81" w:history="1">
        <w:r w:rsidRPr="0011252D">
          <w:rPr>
            <w:rStyle w:val="Hyperlink"/>
            <w:lang w:val="en-US"/>
          </w:rPr>
          <w:t>6</w:t>
        </w:r>
        <w:r>
          <w:rPr>
            <w:rFonts w:asciiTheme="minorHAnsi" w:eastAsiaTheme="minorEastAsia" w:hAnsiTheme="minorHAnsi" w:cstheme="minorBidi"/>
            <w:kern w:val="2"/>
            <w:szCs w:val="22"/>
            <w:lang w:val="en-US" w:eastAsia="en-US"/>
            <w14:ligatures w14:val="standardContextual"/>
          </w:rPr>
          <w:tab/>
        </w:r>
        <w:r w:rsidRPr="0011252D">
          <w:rPr>
            <w:rStyle w:val="Hyperlink"/>
            <w:lang w:val="en-US"/>
          </w:rPr>
          <w:t>Model performance monitoring</w:t>
        </w:r>
        <w:r>
          <w:rPr>
            <w:webHidden/>
          </w:rPr>
          <w:tab/>
        </w:r>
        <w:r>
          <w:rPr>
            <w:webHidden/>
          </w:rPr>
          <w:fldChar w:fldCharType="begin"/>
        </w:r>
        <w:r>
          <w:rPr>
            <w:webHidden/>
          </w:rPr>
          <w:instrText xml:space="preserve"> PAGEREF _Toc178961681 \h </w:instrText>
        </w:r>
        <w:r>
          <w:rPr>
            <w:webHidden/>
          </w:rPr>
        </w:r>
        <w:r>
          <w:rPr>
            <w:webHidden/>
          </w:rPr>
          <w:fldChar w:fldCharType="separate"/>
        </w:r>
        <w:r w:rsidR="00850DA1">
          <w:rPr>
            <w:webHidden/>
          </w:rPr>
          <w:t>68</w:t>
        </w:r>
        <w:r>
          <w:rPr>
            <w:webHidden/>
          </w:rPr>
          <w:fldChar w:fldCharType="end"/>
        </w:r>
      </w:hyperlink>
    </w:p>
    <w:p w14:paraId="19DC29F0" w14:textId="4B3648D7"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82" w:history="1">
        <w:r w:rsidRPr="0011252D">
          <w:rPr>
            <w:rStyle w:val="Hyperlink"/>
          </w:rPr>
          <w:t>6.1</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Principles for model performance monitoring</w:t>
        </w:r>
        <w:r>
          <w:rPr>
            <w:webHidden/>
          </w:rPr>
          <w:tab/>
        </w:r>
        <w:r>
          <w:rPr>
            <w:webHidden/>
          </w:rPr>
          <w:fldChar w:fldCharType="begin"/>
        </w:r>
        <w:r>
          <w:rPr>
            <w:webHidden/>
          </w:rPr>
          <w:instrText xml:space="preserve"> PAGEREF _Toc178961682 \h </w:instrText>
        </w:r>
        <w:r>
          <w:rPr>
            <w:webHidden/>
          </w:rPr>
        </w:r>
        <w:r>
          <w:rPr>
            <w:webHidden/>
          </w:rPr>
          <w:fldChar w:fldCharType="separate"/>
        </w:r>
        <w:r w:rsidR="00850DA1">
          <w:rPr>
            <w:webHidden/>
          </w:rPr>
          <w:t>68</w:t>
        </w:r>
        <w:r>
          <w:rPr>
            <w:webHidden/>
          </w:rPr>
          <w:fldChar w:fldCharType="end"/>
        </w:r>
      </w:hyperlink>
    </w:p>
    <w:p w14:paraId="2E419DAD" w14:textId="018F851A"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83" w:history="1">
        <w:r w:rsidRPr="0011252D">
          <w:rPr>
            <w:rStyle w:val="Hyperlink"/>
          </w:rPr>
          <w:t>6.2</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Model performance monitoring metric calculation for Case 1</w:t>
        </w:r>
        <w:r>
          <w:rPr>
            <w:webHidden/>
          </w:rPr>
          <w:tab/>
        </w:r>
        <w:r>
          <w:rPr>
            <w:webHidden/>
          </w:rPr>
          <w:fldChar w:fldCharType="begin"/>
        </w:r>
        <w:r>
          <w:rPr>
            <w:webHidden/>
          </w:rPr>
          <w:instrText xml:space="preserve"> PAGEREF _Toc178961683 \h </w:instrText>
        </w:r>
        <w:r>
          <w:rPr>
            <w:webHidden/>
          </w:rPr>
        </w:r>
        <w:r>
          <w:rPr>
            <w:webHidden/>
          </w:rPr>
          <w:fldChar w:fldCharType="separate"/>
        </w:r>
        <w:r w:rsidR="00850DA1">
          <w:rPr>
            <w:webHidden/>
          </w:rPr>
          <w:t>71</w:t>
        </w:r>
        <w:r>
          <w:rPr>
            <w:webHidden/>
          </w:rPr>
          <w:fldChar w:fldCharType="end"/>
        </w:r>
      </w:hyperlink>
    </w:p>
    <w:p w14:paraId="264AC63F" w14:textId="50B913A1"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84" w:history="1">
        <w:r w:rsidRPr="0011252D">
          <w:rPr>
            <w:rStyle w:val="Hyperlink"/>
            <w:lang w:val="en-US"/>
          </w:rPr>
          <w:t>6.3</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Signaling to support decision making related to model monitoring</w:t>
        </w:r>
        <w:r>
          <w:rPr>
            <w:webHidden/>
          </w:rPr>
          <w:tab/>
        </w:r>
        <w:r>
          <w:rPr>
            <w:webHidden/>
          </w:rPr>
          <w:fldChar w:fldCharType="begin"/>
        </w:r>
        <w:r>
          <w:rPr>
            <w:webHidden/>
          </w:rPr>
          <w:instrText xml:space="preserve"> PAGEREF _Toc178961684 \h </w:instrText>
        </w:r>
        <w:r>
          <w:rPr>
            <w:webHidden/>
          </w:rPr>
        </w:r>
        <w:r>
          <w:rPr>
            <w:webHidden/>
          </w:rPr>
          <w:fldChar w:fldCharType="separate"/>
        </w:r>
        <w:r w:rsidR="00850DA1">
          <w:rPr>
            <w:webHidden/>
          </w:rPr>
          <w:t>72</w:t>
        </w:r>
        <w:r>
          <w:rPr>
            <w:webHidden/>
          </w:rPr>
          <w:fldChar w:fldCharType="end"/>
        </w:r>
      </w:hyperlink>
    </w:p>
    <w:p w14:paraId="1DA434E8" w14:textId="29AFBA83"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85" w:history="1">
        <w:r w:rsidRPr="0011252D">
          <w:rPr>
            <w:rStyle w:val="Hyperlink"/>
            <w:lang w:val="en-US"/>
          </w:rPr>
          <w:t>7</w:t>
        </w:r>
        <w:r>
          <w:rPr>
            <w:rFonts w:asciiTheme="minorHAnsi" w:eastAsiaTheme="minorEastAsia" w:hAnsiTheme="minorHAnsi" w:cstheme="minorBidi"/>
            <w:kern w:val="2"/>
            <w:szCs w:val="22"/>
            <w:lang w:val="en-US" w:eastAsia="en-US"/>
            <w14:ligatures w14:val="standardContextual"/>
          </w:rPr>
          <w:tab/>
        </w:r>
        <w:r w:rsidRPr="0011252D">
          <w:rPr>
            <w:rStyle w:val="Hyperlink"/>
            <w:lang w:val="en-US"/>
          </w:rPr>
          <w:t>Model inference</w:t>
        </w:r>
        <w:r>
          <w:rPr>
            <w:webHidden/>
          </w:rPr>
          <w:tab/>
        </w:r>
        <w:r>
          <w:rPr>
            <w:webHidden/>
          </w:rPr>
          <w:fldChar w:fldCharType="begin"/>
        </w:r>
        <w:r>
          <w:rPr>
            <w:webHidden/>
          </w:rPr>
          <w:instrText xml:space="preserve"> PAGEREF _Toc178961685 \h </w:instrText>
        </w:r>
        <w:r>
          <w:rPr>
            <w:webHidden/>
          </w:rPr>
        </w:r>
        <w:r>
          <w:rPr>
            <w:webHidden/>
          </w:rPr>
          <w:fldChar w:fldCharType="separate"/>
        </w:r>
        <w:r w:rsidR="00850DA1">
          <w:rPr>
            <w:webHidden/>
          </w:rPr>
          <w:t>74</w:t>
        </w:r>
        <w:r>
          <w:rPr>
            <w:webHidden/>
          </w:rPr>
          <w:fldChar w:fldCharType="end"/>
        </w:r>
      </w:hyperlink>
    </w:p>
    <w:p w14:paraId="3F8E6FD7" w14:textId="02D0A528"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86" w:history="1">
        <w:r w:rsidRPr="0011252D">
          <w:rPr>
            <w:rStyle w:val="Hyperlink"/>
            <w:lang w:val="en-US"/>
          </w:rPr>
          <w:t>7.1</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Signaling to support model inference</w:t>
        </w:r>
        <w:r>
          <w:rPr>
            <w:webHidden/>
          </w:rPr>
          <w:tab/>
        </w:r>
        <w:r>
          <w:rPr>
            <w:webHidden/>
          </w:rPr>
          <w:fldChar w:fldCharType="begin"/>
        </w:r>
        <w:r>
          <w:rPr>
            <w:webHidden/>
          </w:rPr>
          <w:instrText xml:space="preserve"> PAGEREF _Toc178961686 \h </w:instrText>
        </w:r>
        <w:r>
          <w:rPr>
            <w:webHidden/>
          </w:rPr>
        </w:r>
        <w:r>
          <w:rPr>
            <w:webHidden/>
          </w:rPr>
          <w:fldChar w:fldCharType="separate"/>
        </w:r>
        <w:r w:rsidR="00850DA1">
          <w:rPr>
            <w:webHidden/>
          </w:rPr>
          <w:t>74</w:t>
        </w:r>
        <w:r>
          <w:rPr>
            <w:webHidden/>
          </w:rPr>
          <w:fldChar w:fldCharType="end"/>
        </w:r>
      </w:hyperlink>
    </w:p>
    <w:p w14:paraId="5665507D" w14:textId="13DA7EE7"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87" w:history="1">
        <w:r w:rsidRPr="0011252D">
          <w:rPr>
            <w:rStyle w:val="Hyperlink"/>
          </w:rPr>
          <w:t>7.2</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Consistency of RS configuration between model inference and model training</w:t>
        </w:r>
        <w:r>
          <w:rPr>
            <w:webHidden/>
          </w:rPr>
          <w:tab/>
        </w:r>
        <w:r>
          <w:rPr>
            <w:webHidden/>
          </w:rPr>
          <w:fldChar w:fldCharType="begin"/>
        </w:r>
        <w:r>
          <w:rPr>
            <w:webHidden/>
          </w:rPr>
          <w:instrText xml:space="preserve"> PAGEREF _Toc178961687 \h </w:instrText>
        </w:r>
        <w:r>
          <w:rPr>
            <w:webHidden/>
          </w:rPr>
        </w:r>
        <w:r>
          <w:rPr>
            <w:webHidden/>
          </w:rPr>
          <w:fldChar w:fldCharType="separate"/>
        </w:r>
        <w:r w:rsidR="00850DA1">
          <w:rPr>
            <w:webHidden/>
          </w:rPr>
          <w:t>76</w:t>
        </w:r>
        <w:r>
          <w:rPr>
            <w:webHidden/>
          </w:rPr>
          <w:fldChar w:fldCharType="end"/>
        </w:r>
      </w:hyperlink>
    </w:p>
    <w:p w14:paraId="07CDACE5" w14:textId="684CF637"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88" w:history="1">
        <w:r w:rsidRPr="0011252D">
          <w:rPr>
            <w:rStyle w:val="Hyperlink"/>
          </w:rPr>
          <w:t>7.3</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Consistency of network-side additional conditions between model inference and model training</w:t>
        </w:r>
        <w:r>
          <w:rPr>
            <w:webHidden/>
          </w:rPr>
          <w:tab/>
        </w:r>
        <w:r>
          <w:rPr>
            <w:webHidden/>
          </w:rPr>
          <w:fldChar w:fldCharType="begin"/>
        </w:r>
        <w:r>
          <w:rPr>
            <w:webHidden/>
          </w:rPr>
          <w:instrText xml:space="preserve"> PAGEREF _Toc178961688 \h </w:instrText>
        </w:r>
        <w:r>
          <w:rPr>
            <w:webHidden/>
          </w:rPr>
        </w:r>
        <w:r>
          <w:rPr>
            <w:webHidden/>
          </w:rPr>
          <w:fldChar w:fldCharType="separate"/>
        </w:r>
        <w:r w:rsidR="00850DA1">
          <w:rPr>
            <w:webHidden/>
          </w:rPr>
          <w:t>76</w:t>
        </w:r>
        <w:r>
          <w:rPr>
            <w:webHidden/>
          </w:rPr>
          <w:fldChar w:fldCharType="end"/>
        </w:r>
      </w:hyperlink>
    </w:p>
    <w:p w14:paraId="786E8CBA" w14:textId="5735FDD3" w:rsidR="0044334C" w:rsidRDefault="0044334C">
      <w:pPr>
        <w:pStyle w:val="TOC2"/>
        <w:rPr>
          <w:rFonts w:asciiTheme="minorHAnsi" w:eastAsiaTheme="minorEastAsia" w:hAnsiTheme="minorHAnsi" w:cstheme="minorBidi"/>
          <w:kern w:val="2"/>
          <w:sz w:val="22"/>
          <w:szCs w:val="22"/>
          <w:lang w:val="en-US" w:eastAsia="en-US"/>
          <w14:ligatures w14:val="standardContextual"/>
        </w:rPr>
      </w:pPr>
      <w:hyperlink w:anchor="_Toc178961689" w:history="1">
        <w:r w:rsidRPr="0011252D">
          <w:rPr>
            <w:rStyle w:val="Hyperlink"/>
          </w:rPr>
          <w:t>7.4</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Consistency of measurements reported between model inference and model training</w:t>
        </w:r>
        <w:r>
          <w:rPr>
            <w:webHidden/>
          </w:rPr>
          <w:tab/>
        </w:r>
        <w:r>
          <w:rPr>
            <w:webHidden/>
          </w:rPr>
          <w:fldChar w:fldCharType="begin"/>
        </w:r>
        <w:r>
          <w:rPr>
            <w:webHidden/>
          </w:rPr>
          <w:instrText xml:space="preserve"> PAGEREF _Toc178961689 \h </w:instrText>
        </w:r>
        <w:r>
          <w:rPr>
            <w:webHidden/>
          </w:rPr>
        </w:r>
        <w:r>
          <w:rPr>
            <w:webHidden/>
          </w:rPr>
          <w:fldChar w:fldCharType="separate"/>
        </w:r>
        <w:r w:rsidR="00850DA1">
          <w:rPr>
            <w:webHidden/>
          </w:rPr>
          <w:t>78</w:t>
        </w:r>
        <w:r>
          <w:rPr>
            <w:webHidden/>
          </w:rPr>
          <w:fldChar w:fldCharType="end"/>
        </w:r>
      </w:hyperlink>
    </w:p>
    <w:p w14:paraId="4419BCF9" w14:textId="2F23CF57"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90" w:history="1">
        <w:r w:rsidRPr="0011252D">
          <w:rPr>
            <w:rStyle w:val="Hyperlink"/>
            <w:lang w:val="en-US"/>
          </w:rPr>
          <w:t>8</w:t>
        </w:r>
        <w:r>
          <w:rPr>
            <w:rFonts w:asciiTheme="minorHAnsi" w:eastAsiaTheme="minorEastAsia" w:hAnsiTheme="minorHAnsi" w:cstheme="minorBidi"/>
            <w:kern w:val="2"/>
            <w:szCs w:val="22"/>
            <w:lang w:val="en-US" w:eastAsia="en-US"/>
            <w14:ligatures w14:val="standardContextual"/>
          </w:rPr>
          <w:tab/>
        </w:r>
        <w:r w:rsidRPr="0011252D">
          <w:rPr>
            <w:rStyle w:val="Hyperlink"/>
            <w:lang w:val="en-US"/>
          </w:rPr>
          <w:t>Conclusion</w:t>
        </w:r>
        <w:r>
          <w:rPr>
            <w:webHidden/>
          </w:rPr>
          <w:tab/>
        </w:r>
        <w:r>
          <w:rPr>
            <w:webHidden/>
          </w:rPr>
          <w:fldChar w:fldCharType="begin"/>
        </w:r>
        <w:r>
          <w:rPr>
            <w:webHidden/>
          </w:rPr>
          <w:instrText xml:space="preserve"> PAGEREF _Toc178961690 \h </w:instrText>
        </w:r>
        <w:r>
          <w:rPr>
            <w:webHidden/>
          </w:rPr>
        </w:r>
        <w:r>
          <w:rPr>
            <w:webHidden/>
          </w:rPr>
          <w:fldChar w:fldCharType="separate"/>
        </w:r>
        <w:r w:rsidR="00850DA1">
          <w:rPr>
            <w:webHidden/>
          </w:rPr>
          <w:t>79</w:t>
        </w:r>
        <w:r>
          <w:rPr>
            <w:webHidden/>
          </w:rPr>
          <w:fldChar w:fldCharType="end"/>
        </w:r>
      </w:hyperlink>
    </w:p>
    <w:p w14:paraId="2A736A9C" w14:textId="2C36C6F9"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91" w:history="1">
        <w:r w:rsidRPr="0011252D">
          <w:rPr>
            <w:rStyle w:val="Hyperlink"/>
            <w:lang w:val="en-US"/>
          </w:rPr>
          <w:t>9</w:t>
        </w:r>
        <w:r>
          <w:rPr>
            <w:rFonts w:asciiTheme="minorHAnsi" w:eastAsiaTheme="minorEastAsia" w:hAnsiTheme="minorHAnsi" w:cstheme="minorBidi"/>
            <w:kern w:val="2"/>
            <w:szCs w:val="22"/>
            <w:lang w:val="en-US" w:eastAsia="en-US"/>
            <w14:ligatures w14:val="standardContextual"/>
          </w:rPr>
          <w:tab/>
        </w:r>
        <w:r w:rsidRPr="0011252D">
          <w:rPr>
            <w:rStyle w:val="Hyperlink"/>
            <w:lang w:val="en-US"/>
          </w:rPr>
          <w:t>References</w:t>
        </w:r>
        <w:r>
          <w:rPr>
            <w:webHidden/>
          </w:rPr>
          <w:tab/>
        </w:r>
        <w:r>
          <w:rPr>
            <w:webHidden/>
          </w:rPr>
          <w:fldChar w:fldCharType="begin"/>
        </w:r>
        <w:r>
          <w:rPr>
            <w:webHidden/>
          </w:rPr>
          <w:instrText xml:space="preserve"> PAGEREF _Toc178961691 \h </w:instrText>
        </w:r>
        <w:r>
          <w:rPr>
            <w:webHidden/>
          </w:rPr>
        </w:r>
        <w:r>
          <w:rPr>
            <w:webHidden/>
          </w:rPr>
          <w:fldChar w:fldCharType="separate"/>
        </w:r>
        <w:r w:rsidR="00850DA1">
          <w:rPr>
            <w:webHidden/>
          </w:rPr>
          <w:t>86</w:t>
        </w:r>
        <w:r>
          <w:rPr>
            <w:webHidden/>
          </w:rPr>
          <w:fldChar w:fldCharType="end"/>
        </w:r>
      </w:hyperlink>
    </w:p>
    <w:p w14:paraId="28CDA775" w14:textId="4AC0A6B4"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92" w:history="1">
        <w:r w:rsidRPr="0011252D">
          <w:rPr>
            <w:rStyle w:val="Hyperlink"/>
            <w:lang w:val="en-US"/>
          </w:rPr>
          <w:t>10</w:t>
        </w:r>
        <w:r>
          <w:rPr>
            <w:rFonts w:asciiTheme="minorHAnsi" w:eastAsiaTheme="minorEastAsia" w:hAnsiTheme="minorHAnsi" w:cstheme="minorBidi"/>
            <w:kern w:val="2"/>
            <w:szCs w:val="22"/>
            <w:lang w:val="en-US" w:eastAsia="en-US"/>
            <w14:ligatures w14:val="standardContextual"/>
          </w:rPr>
          <w:tab/>
        </w:r>
        <w:r w:rsidRPr="0011252D">
          <w:rPr>
            <w:rStyle w:val="Hyperlink"/>
            <w:lang w:val="en-US"/>
          </w:rPr>
          <w:t>Appendix A. High accuracy uncertainty and confidence as defined in TS 23.032</w:t>
        </w:r>
        <w:r>
          <w:rPr>
            <w:webHidden/>
          </w:rPr>
          <w:tab/>
        </w:r>
        <w:r>
          <w:rPr>
            <w:webHidden/>
          </w:rPr>
          <w:fldChar w:fldCharType="begin"/>
        </w:r>
        <w:r>
          <w:rPr>
            <w:webHidden/>
          </w:rPr>
          <w:instrText xml:space="preserve"> PAGEREF _Toc178961692 \h </w:instrText>
        </w:r>
        <w:r>
          <w:rPr>
            <w:webHidden/>
          </w:rPr>
        </w:r>
        <w:r>
          <w:rPr>
            <w:webHidden/>
          </w:rPr>
          <w:fldChar w:fldCharType="separate"/>
        </w:r>
        <w:r w:rsidR="00850DA1">
          <w:rPr>
            <w:webHidden/>
          </w:rPr>
          <w:t>87</w:t>
        </w:r>
        <w:r>
          <w:rPr>
            <w:webHidden/>
          </w:rPr>
          <w:fldChar w:fldCharType="end"/>
        </w:r>
      </w:hyperlink>
    </w:p>
    <w:p w14:paraId="749E0399" w14:textId="25DDFB0F" w:rsidR="0044334C" w:rsidRDefault="0044334C">
      <w:pPr>
        <w:pStyle w:val="TOC1"/>
        <w:rPr>
          <w:rFonts w:asciiTheme="minorHAnsi" w:eastAsiaTheme="minorEastAsia" w:hAnsiTheme="minorHAnsi" w:cstheme="minorBidi"/>
          <w:kern w:val="2"/>
          <w:szCs w:val="22"/>
          <w:lang w:val="en-US" w:eastAsia="en-US"/>
          <w14:ligatures w14:val="standardContextual"/>
        </w:rPr>
      </w:pPr>
      <w:hyperlink w:anchor="_Toc178961693" w:history="1">
        <w:r w:rsidRPr="0011252D">
          <w:rPr>
            <w:rStyle w:val="Hyperlink"/>
          </w:rPr>
          <w:t>11</w:t>
        </w:r>
        <w:r>
          <w:rPr>
            <w:rFonts w:asciiTheme="minorHAnsi" w:eastAsiaTheme="minorEastAsia" w:hAnsiTheme="minorHAnsi" w:cstheme="minorBidi"/>
            <w:kern w:val="2"/>
            <w:szCs w:val="22"/>
            <w:lang w:val="en-US" w:eastAsia="en-US"/>
            <w14:ligatures w14:val="standardContextual"/>
          </w:rPr>
          <w:tab/>
        </w:r>
        <w:r w:rsidRPr="0011252D">
          <w:rPr>
            <w:rStyle w:val="Hyperlink"/>
          </w:rPr>
          <w:t xml:space="preserve">Appendix B. </w:t>
        </w:r>
        <w:r w:rsidRPr="0011252D">
          <w:rPr>
            <w:rStyle w:val="Hyperlink"/>
            <w:lang w:val="en-US"/>
          </w:rPr>
          <w:t>Model performance monitoring approaches</w:t>
        </w:r>
        <w:r>
          <w:rPr>
            <w:webHidden/>
          </w:rPr>
          <w:tab/>
        </w:r>
        <w:r>
          <w:rPr>
            <w:webHidden/>
          </w:rPr>
          <w:fldChar w:fldCharType="begin"/>
        </w:r>
        <w:r>
          <w:rPr>
            <w:webHidden/>
          </w:rPr>
          <w:instrText xml:space="preserve"> PAGEREF _Toc178961693 \h </w:instrText>
        </w:r>
        <w:r>
          <w:rPr>
            <w:webHidden/>
          </w:rPr>
        </w:r>
        <w:r>
          <w:rPr>
            <w:webHidden/>
          </w:rPr>
          <w:fldChar w:fldCharType="separate"/>
        </w:r>
        <w:r w:rsidR="00850DA1">
          <w:rPr>
            <w:webHidden/>
          </w:rPr>
          <w:t>88</w:t>
        </w:r>
        <w:r>
          <w:rPr>
            <w:webHidden/>
          </w:rPr>
          <w:fldChar w:fldCharType="end"/>
        </w:r>
      </w:hyperlink>
    </w:p>
    <w:p w14:paraId="6CFD0B73" w14:textId="0C6238E8"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94" w:history="1">
        <w:r w:rsidRPr="0011252D">
          <w:rPr>
            <w:rStyle w:val="Hyperlink"/>
          </w:rPr>
          <w:t>11.1.1</w:t>
        </w:r>
        <w:r>
          <w:rPr>
            <w:rFonts w:asciiTheme="minorHAnsi" w:eastAsiaTheme="minorEastAsia" w:hAnsiTheme="minorHAnsi" w:cstheme="minorBidi"/>
            <w:kern w:val="2"/>
            <w:sz w:val="22"/>
            <w:szCs w:val="22"/>
            <w:lang w:val="en-US" w:eastAsia="en-US"/>
            <w14:ligatures w14:val="standardContextual"/>
          </w:rPr>
          <w:tab/>
        </w:r>
        <w:r w:rsidRPr="0011252D">
          <w:rPr>
            <w:rStyle w:val="Hyperlink"/>
            <w:lang w:val="en-US"/>
          </w:rPr>
          <w:t>Monitoring approach 1 (Label-based): Opportunistic LoS links</w:t>
        </w:r>
        <w:r>
          <w:rPr>
            <w:webHidden/>
          </w:rPr>
          <w:tab/>
        </w:r>
        <w:r>
          <w:rPr>
            <w:webHidden/>
          </w:rPr>
          <w:fldChar w:fldCharType="begin"/>
        </w:r>
        <w:r>
          <w:rPr>
            <w:webHidden/>
          </w:rPr>
          <w:instrText xml:space="preserve"> PAGEREF _Toc178961694 \h </w:instrText>
        </w:r>
        <w:r>
          <w:rPr>
            <w:webHidden/>
          </w:rPr>
        </w:r>
        <w:r>
          <w:rPr>
            <w:webHidden/>
          </w:rPr>
          <w:fldChar w:fldCharType="separate"/>
        </w:r>
        <w:r w:rsidR="00850DA1">
          <w:rPr>
            <w:webHidden/>
          </w:rPr>
          <w:t>88</w:t>
        </w:r>
        <w:r>
          <w:rPr>
            <w:webHidden/>
          </w:rPr>
          <w:fldChar w:fldCharType="end"/>
        </w:r>
      </w:hyperlink>
    </w:p>
    <w:p w14:paraId="42AD392E" w14:textId="0E6DB5C9"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95" w:history="1">
        <w:r w:rsidRPr="0011252D">
          <w:rPr>
            <w:rStyle w:val="Hyperlink"/>
          </w:rPr>
          <w:t>11.1.2</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 xml:space="preserve">Monitoring approach 2 </w:t>
        </w:r>
        <w:r w:rsidRPr="0011252D">
          <w:rPr>
            <w:rStyle w:val="Hyperlink"/>
            <w:lang w:val="en-US"/>
          </w:rPr>
          <w:t>(Label-based)</w:t>
        </w:r>
        <w:r w:rsidRPr="0011252D">
          <w:rPr>
            <w:rStyle w:val="Hyperlink"/>
          </w:rPr>
          <w:t xml:space="preserve"> for assisted AI/ML positioning</w:t>
        </w:r>
        <w:r>
          <w:rPr>
            <w:webHidden/>
          </w:rPr>
          <w:tab/>
        </w:r>
        <w:r>
          <w:rPr>
            <w:webHidden/>
          </w:rPr>
          <w:fldChar w:fldCharType="begin"/>
        </w:r>
        <w:r>
          <w:rPr>
            <w:webHidden/>
          </w:rPr>
          <w:instrText xml:space="preserve"> PAGEREF _Toc178961695 \h </w:instrText>
        </w:r>
        <w:r>
          <w:rPr>
            <w:webHidden/>
          </w:rPr>
        </w:r>
        <w:r>
          <w:rPr>
            <w:webHidden/>
          </w:rPr>
          <w:fldChar w:fldCharType="separate"/>
        </w:r>
        <w:r w:rsidR="00850DA1">
          <w:rPr>
            <w:webHidden/>
          </w:rPr>
          <w:t>92</w:t>
        </w:r>
        <w:r>
          <w:rPr>
            <w:webHidden/>
          </w:rPr>
          <w:fldChar w:fldCharType="end"/>
        </w:r>
      </w:hyperlink>
    </w:p>
    <w:p w14:paraId="0A77840A" w14:textId="3430AEB4" w:rsidR="0044334C" w:rsidRDefault="0044334C">
      <w:pPr>
        <w:pStyle w:val="TOC3"/>
        <w:rPr>
          <w:rFonts w:asciiTheme="minorHAnsi" w:eastAsiaTheme="minorEastAsia" w:hAnsiTheme="minorHAnsi" w:cstheme="minorBidi"/>
          <w:kern w:val="2"/>
          <w:sz w:val="22"/>
          <w:szCs w:val="22"/>
          <w:lang w:val="en-US" w:eastAsia="en-US"/>
          <w14:ligatures w14:val="standardContextual"/>
        </w:rPr>
      </w:pPr>
      <w:hyperlink w:anchor="_Toc178961696" w:history="1">
        <w:r w:rsidRPr="0011252D">
          <w:rPr>
            <w:rStyle w:val="Hyperlink"/>
          </w:rPr>
          <w:t>11.1.3</w:t>
        </w:r>
        <w:r>
          <w:rPr>
            <w:rFonts w:asciiTheme="minorHAnsi" w:eastAsiaTheme="minorEastAsia" w:hAnsiTheme="minorHAnsi" w:cstheme="minorBidi"/>
            <w:kern w:val="2"/>
            <w:sz w:val="22"/>
            <w:szCs w:val="22"/>
            <w:lang w:val="en-US" w:eastAsia="en-US"/>
            <w14:ligatures w14:val="standardContextual"/>
          </w:rPr>
          <w:tab/>
        </w:r>
        <w:r w:rsidRPr="0011252D">
          <w:rPr>
            <w:rStyle w:val="Hyperlink"/>
          </w:rPr>
          <w:t xml:space="preserve">Monitoring approach 3 </w:t>
        </w:r>
        <w:r w:rsidRPr="0011252D">
          <w:rPr>
            <w:rStyle w:val="Hyperlink"/>
            <w:lang w:val="en-US"/>
          </w:rPr>
          <w:t>(Label-free)</w:t>
        </w:r>
        <w:r w:rsidRPr="0011252D">
          <w:rPr>
            <w:rStyle w:val="Hyperlink"/>
          </w:rPr>
          <w:t>: ML model self-monitoring</w:t>
        </w:r>
        <w:r>
          <w:rPr>
            <w:webHidden/>
          </w:rPr>
          <w:tab/>
        </w:r>
        <w:r>
          <w:rPr>
            <w:webHidden/>
          </w:rPr>
          <w:fldChar w:fldCharType="begin"/>
        </w:r>
        <w:r>
          <w:rPr>
            <w:webHidden/>
          </w:rPr>
          <w:instrText xml:space="preserve"> PAGEREF _Toc178961696 \h </w:instrText>
        </w:r>
        <w:r>
          <w:rPr>
            <w:webHidden/>
          </w:rPr>
        </w:r>
        <w:r>
          <w:rPr>
            <w:webHidden/>
          </w:rPr>
          <w:fldChar w:fldCharType="separate"/>
        </w:r>
        <w:r w:rsidR="00850DA1">
          <w:rPr>
            <w:webHidden/>
          </w:rPr>
          <w:t>93</w:t>
        </w:r>
        <w:r>
          <w:rPr>
            <w:webHidden/>
          </w:rPr>
          <w:fldChar w:fldCharType="end"/>
        </w:r>
      </w:hyperlink>
    </w:p>
    <w:p w14:paraId="658E08B7" w14:textId="26111D72" w:rsidR="000D3B37" w:rsidRPr="00CE0424" w:rsidRDefault="007F0535" w:rsidP="00EE0974">
      <w:pPr>
        <w:pStyle w:val="3GPPHeader"/>
      </w:pPr>
      <w:r>
        <w:fldChar w:fldCharType="end"/>
      </w:r>
    </w:p>
    <w:p w14:paraId="203458E0" w14:textId="60206F55" w:rsidR="00E90E49" w:rsidRPr="00E215F0" w:rsidRDefault="00E90E49" w:rsidP="002550D1">
      <w:pPr>
        <w:pStyle w:val="Heading1"/>
        <w:rPr>
          <w:lang w:val="en-US"/>
        </w:rPr>
      </w:pPr>
      <w:bookmarkStart w:id="0" w:name="_Toc165990973"/>
      <w:bookmarkStart w:id="1" w:name="_Toc178961635"/>
      <w:r w:rsidRPr="00E215F0">
        <w:rPr>
          <w:lang w:val="en-US"/>
        </w:rPr>
        <w:t>Introduction</w:t>
      </w:r>
      <w:bookmarkEnd w:id="0"/>
      <w:bookmarkEnd w:id="1"/>
    </w:p>
    <w:p w14:paraId="4E266DD4" w14:textId="1E433178" w:rsidR="00024894" w:rsidRDefault="00024894" w:rsidP="00863FE5">
      <w:r>
        <w:t>In RAN#10</w:t>
      </w:r>
      <w:r w:rsidR="00EC511D">
        <w:t>5</w:t>
      </w:r>
      <w:r>
        <w:t xml:space="preserve"> meeting, </w:t>
      </w:r>
      <w:r w:rsidR="005A6F68">
        <w:t>the</w:t>
      </w:r>
      <w:r>
        <w:t xml:space="preserve"> WID </w:t>
      </w:r>
      <w:r w:rsidR="005A6F68">
        <w:t>wa</w:t>
      </w:r>
      <w:r>
        <w:t xml:space="preserve">s </w:t>
      </w:r>
      <w:r w:rsidR="005A6F68">
        <w:t>revised</w:t>
      </w:r>
      <w:r>
        <w:t xml:space="preserve"> for </w:t>
      </w:r>
      <w:r w:rsidRPr="0006010D">
        <w:t xml:space="preserve">Artificial Intelligence (AI)/Machine Learning (ML) for NR </w:t>
      </w:r>
      <w:r>
        <w:t>a</w:t>
      </w:r>
      <w:r w:rsidRPr="0006010D">
        <w:t xml:space="preserve">ir </w:t>
      </w:r>
      <w:r>
        <w:t>i</w:t>
      </w:r>
      <w:r w:rsidRPr="0006010D">
        <w:t>nterface</w:t>
      </w:r>
      <w:r w:rsidR="00E91034">
        <w:t xml:space="preserve"> </w:t>
      </w:r>
      <w:r w:rsidR="00500110">
        <w:fldChar w:fldCharType="begin"/>
      </w:r>
      <w:r w:rsidR="00500110">
        <w:instrText xml:space="preserve"> REF _Ref155559231 \r </w:instrText>
      </w:r>
      <w:r w:rsidR="00500110">
        <w:fldChar w:fldCharType="separate"/>
      </w:r>
      <w:r w:rsidR="00850DA1">
        <w:t>[5]</w:t>
      </w:r>
      <w:r w:rsidR="00500110">
        <w:fldChar w:fldCharType="end"/>
      </w:r>
      <w:r>
        <w:t>.</w:t>
      </w:r>
    </w:p>
    <w:p w14:paraId="5325414E" w14:textId="14D5E72E" w:rsidR="00681679" w:rsidRDefault="00681679" w:rsidP="00024894">
      <w:pPr>
        <w:pStyle w:val="BodyText"/>
      </w:pPr>
      <w:r>
        <w:t>The objective of the normative work is copied below</w:t>
      </w:r>
      <w:r w:rsidR="00832441">
        <w:t>. In this contribution, we focus on the normative</w:t>
      </w:r>
      <w:r w:rsidR="000E2835">
        <w:t xml:space="preserve"> work</w:t>
      </w:r>
      <w:r w:rsidR="00832441">
        <w:t xml:space="preserve"> for the use case of p</w:t>
      </w:r>
      <w:r w:rsidR="00832441" w:rsidRPr="00832441">
        <w:t>ositioning accuracy enhancements</w:t>
      </w:r>
      <w:r w:rsidR="00832441">
        <w:t>.</w:t>
      </w:r>
    </w:p>
    <w:tbl>
      <w:tblPr>
        <w:tblStyle w:val="TableGrid"/>
        <w:tblW w:w="0" w:type="auto"/>
        <w:tblLook w:val="04A0" w:firstRow="1" w:lastRow="0" w:firstColumn="1" w:lastColumn="0" w:noHBand="0" w:noVBand="1"/>
      </w:tblPr>
      <w:tblGrid>
        <w:gridCol w:w="9629"/>
      </w:tblGrid>
      <w:tr w:rsidR="00024894" w:rsidRPr="00E373A5" w14:paraId="4AC401F0" w14:textId="77777777" w:rsidTr="00747F70">
        <w:tc>
          <w:tcPr>
            <w:tcW w:w="9629" w:type="dxa"/>
          </w:tcPr>
          <w:p w14:paraId="33502C64" w14:textId="77777777" w:rsidR="00024894" w:rsidRPr="00E373A5" w:rsidRDefault="00024894" w:rsidP="00E373A5">
            <w:pPr>
              <w:spacing w:after="0"/>
              <w:rPr>
                <w:color w:val="0070C0"/>
                <w:sz w:val="20"/>
                <w:szCs w:val="20"/>
                <w:lang w:eastAsia="en-GB"/>
              </w:rPr>
            </w:pPr>
            <w:r w:rsidRPr="00E373A5">
              <w:rPr>
                <w:color w:val="0070C0"/>
                <w:sz w:val="20"/>
                <w:szCs w:val="20"/>
                <w:lang w:eastAsia="en-GB"/>
              </w:rPr>
              <w:t>Provide specification support for the following aspects:</w:t>
            </w:r>
          </w:p>
          <w:p w14:paraId="6DD26E83" w14:textId="77777777" w:rsidR="00DB26D6" w:rsidRPr="00E373A5" w:rsidRDefault="00DB26D6" w:rsidP="00E373A5">
            <w:pPr>
              <w:numPr>
                <w:ilvl w:val="0"/>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AI/ML general framework for one-sided AI/ML models within the realm of what has been studied in the FS_NR_AIML_Air project [RAN2]:</w:t>
            </w:r>
          </w:p>
          <w:p w14:paraId="3CE67DF1"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 xml:space="preserve">Signalling and protocol aspects of Life Cycle </w:t>
            </w:r>
            <w:r w:rsidRPr="00E373A5">
              <w:rPr>
                <w:sz w:val="20"/>
                <w:szCs w:val="20"/>
                <w:lang w:eastAsia="en-GB"/>
              </w:rPr>
              <w:t>Management (LCM) enabling functionality and model (if justified) selection, activation, deactivation, switching, fallback</w:t>
            </w:r>
          </w:p>
          <w:p w14:paraId="717A652F" w14:textId="77777777" w:rsidR="00DB26D6" w:rsidRPr="00E373A5" w:rsidRDefault="00DB26D6" w:rsidP="00E373A5">
            <w:pPr>
              <w:numPr>
                <w:ilvl w:val="2"/>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 xml:space="preserve">Identification related signalling is part of the above objective </w:t>
            </w:r>
          </w:p>
          <w:p w14:paraId="7F88A5B8"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Necessary signalling/mechanism(s) for LCM to facilitate model training, inference, performance monitoring, data collection (except for the purpose of CN/OAM/OTT collection of UE-sided model training data) for both UE-sided and NW-sided models</w:t>
            </w:r>
          </w:p>
          <w:p w14:paraId="384A888B"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Signalling mechanism of applicable functionalities/models</w:t>
            </w:r>
          </w:p>
          <w:p w14:paraId="1E650A59" w14:textId="77777777" w:rsidR="00DB26D6" w:rsidRPr="00E373A5" w:rsidRDefault="00DB26D6" w:rsidP="00E373A5">
            <w:pPr>
              <w:overflowPunct w:val="0"/>
              <w:autoSpaceDE w:val="0"/>
              <w:autoSpaceDN w:val="0"/>
              <w:adjustRightInd w:val="0"/>
              <w:spacing w:after="0"/>
              <w:ind w:left="720"/>
              <w:textAlignment w:val="baseline"/>
              <w:rPr>
                <w:rFonts w:eastAsia="Malgun Gothic"/>
                <w:sz w:val="20"/>
                <w:szCs w:val="20"/>
                <w:lang w:val="en-GB" w:eastAsia="en-GB"/>
              </w:rPr>
            </w:pPr>
          </w:p>
          <w:p w14:paraId="254AC79C" w14:textId="77777777" w:rsidR="00DB26D6" w:rsidRPr="00E373A5" w:rsidRDefault="00DB26D6" w:rsidP="00E373A5">
            <w:pPr>
              <w:numPr>
                <w:ilvl w:val="0"/>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Beam management - DL Tx beam prediction for both UE-sided model and NW-sided model, encompassing [RAN1/RAN2]:</w:t>
            </w:r>
          </w:p>
          <w:p w14:paraId="40D865E4"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Spatial-domain DL Tx beam prediction for Set A of beams based on measurement results of Set B of beams (“BM-Case1”)</w:t>
            </w:r>
          </w:p>
          <w:p w14:paraId="48C9BAD6"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Temporal DL Tx beam prediction for Set A of beams based on the historic measurement results of Set B of beams (“BM-Case2”)</w:t>
            </w:r>
          </w:p>
          <w:p w14:paraId="7E1189DE"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Specify necessary signalling/mechanism(s) to facilitate LCM operations specific to the Beam Management use cases, if any</w:t>
            </w:r>
          </w:p>
          <w:p w14:paraId="01E2F998"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 xml:space="preserve">Enabling method(s) to ensure consistency between training and inference regarding NW-side additional conditions (if identified) for inference at UE </w:t>
            </w:r>
          </w:p>
          <w:p w14:paraId="7B8DFE14" w14:textId="77777777" w:rsidR="00DB26D6" w:rsidRPr="00E373A5" w:rsidRDefault="00DB26D6" w:rsidP="00E373A5">
            <w:pPr>
              <w:overflowPunct w:val="0"/>
              <w:autoSpaceDE w:val="0"/>
              <w:autoSpaceDN w:val="0"/>
              <w:adjustRightInd w:val="0"/>
              <w:spacing w:after="0"/>
              <w:ind w:left="360" w:firstLine="720"/>
              <w:textAlignment w:val="baseline"/>
              <w:rPr>
                <w:rFonts w:eastAsia="Malgun Gothic"/>
                <w:sz w:val="20"/>
                <w:szCs w:val="20"/>
                <w:lang w:val="en-GB" w:eastAsia="en-GB"/>
              </w:rPr>
            </w:pPr>
            <w:r w:rsidRPr="00E373A5">
              <w:rPr>
                <w:rFonts w:eastAsia="Malgun Gothic"/>
                <w:sz w:val="20"/>
                <w:szCs w:val="20"/>
                <w:lang w:val="en-GB" w:eastAsia="en-GB"/>
              </w:rPr>
              <w:t>NOTE: Strive for common framework design to support both BM-Case1 and BM-Case2</w:t>
            </w:r>
          </w:p>
          <w:p w14:paraId="11593883" w14:textId="77777777" w:rsidR="00DB26D6" w:rsidRPr="00E373A5" w:rsidRDefault="00DB26D6" w:rsidP="00E373A5">
            <w:pPr>
              <w:overflowPunct w:val="0"/>
              <w:autoSpaceDE w:val="0"/>
              <w:autoSpaceDN w:val="0"/>
              <w:adjustRightInd w:val="0"/>
              <w:spacing w:after="0"/>
              <w:ind w:left="720"/>
              <w:textAlignment w:val="baseline"/>
              <w:rPr>
                <w:rFonts w:eastAsia="Malgun Gothic"/>
                <w:sz w:val="20"/>
                <w:szCs w:val="20"/>
                <w:lang w:val="en-GB" w:eastAsia="en-GB"/>
              </w:rPr>
            </w:pPr>
          </w:p>
          <w:p w14:paraId="26D9ABB8" w14:textId="77777777" w:rsidR="00DB26D6" w:rsidRPr="00E373A5" w:rsidRDefault="00DB26D6" w:rsidP="00E373A5">
            <w:pPr>
              <w:numPr>
                <w:ilvl w:val="0"/>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Positioning accuracy enhancements, encompassing [RAN1/RAN2/RAN3]:</w:t>
            </w:r>
          </w:p>
          <w:p w14:paraId="079D792E"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 xml:space="preserve">Direct AI/ML </w:t>
            </w:r>
            <w:r w:rsidRPr="00E373A5">
              <w:rPr>
                <w:color w:val="0070C0"/>
                <w:sz w:val="20"/>
                <w:szCs w:val="20"/>
                <w:lang w:eastAsia="en-GB"/>
              </w:rPr>
              <w:t>positioning:</w:t>
            </w:r>
          </w:p>
          <w:p w14:paraId="3F3E8A31"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(1</w:t>
            </w:r>
            <w:r w:rsidRPr="00E373A5">
              <w:rPr>
                <w:color w:val="0070C0"/>
                <w:sz w:val="20"/>
                <w:szCs w:val="20"/>
                <w:vertAlign w:val="superscript"/>
                <w:lang w:eastAsia="en-GB"/>
              </w:rPr>
              <w:t>st</w:t>
            </w:r>
            <w:r w:rsidRPr="00E373A5">
              <w:rPr>
                <w:color w:val="0070C0"/>
                <w:sz w:val="20"/>
                <w:szCs w:val="20"/>
                <w:lang w:eastAsia="en-GB"/>
              </w:rPr>
              <w:t xml:space="preserve"> priority) Case 1: UE-based positioning with UE-side model, direct AI/ML positioning</w:t>
            </w:r>
          </w:p>
          <w:p w14:paraId="5D484148"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lastRenderedPageBreak/>
              <w:t>(2</w:t>
            </w:r>
            <w:r w:rsidRPr="00E373A5">
              <w:rPr>
                <w:color w:val="0070C0"/>
                <w:sz w:val="20"/>
                <w:szCs w:val="20"/>
                <w:vertAlign w:val="superscript"/>
                <w:lang w:eastAsia="en-GB"/>
              </w:rPr>
              <w:t>nd</w:t>
            </w:r>
            <w:r w:rsidRPr="00E373A5">
              <w:rPr>
                <w:color w:val="0070C0"/>
                <w:sz w:val="20"/>
                <w:szCs w:val="20"/>
                <w:lang w:eastAsia="en-GB"/>
              </w:rPr>
              <w:t xml:space="preserve"> priority) Case 2b: UE-assisted/LMF-based positioning with LMF-side model, direct AI/ML positioning</w:t>
            </w:r>
          </w:p>
          <w:p w14:paraId="37FD4BF0"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(1</w:t>
            </w:r>
            <w:r w:rsidRPr="00E373A5">
              <w:rPr>
                <w:color w:val="0070C0"/>
                <w:sz w:val="20"/>
                <w:szCs w:val="20"/>
                <w:vertAlign w:val="superscript"/>
                <w:lang w:eastAsia="en-GB"/>
              </w:rPr>
              <w:t>st</w:t>
            </w:r>
            <w:r w:rsidRPr="00E373A5">
              <w:rPr>
                <w:color w:val="0070C0"/>
                <w:sz w:val="20"/>
                <w:szCs w:val="20"/>
                <w:lang w:eastAsia="en-GB"/>
              </w:rPr>
              <w:t xml:space="preserve"> priority) Case 3b: NG-RAN node assisted positioning with LMF-side model, direct AI/ML positioning</w:t>
            </w:r>
          </w:p>
          <w:p w14:paraId="0B56F56E"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 xml:space="preserve">AI/ML assisted positioning </w:t>
            </w:r>
            <w:r w:rsidRPr="00E373A5">
              <w:rPr>
                <w:rFonts w:eastAsia="Malgun Gothic"/>
                <w:color w:val="0070C0"/>
                <w:sz w:val="20"/>
                <w:szCs w:val="20"/>
                <w:lang w:val="en-GB" w:eastAsia="en-GB"/>
              </w:rPr>
              <w:tab/>
            </w:r>
            <w:r w:rsidRPr="00E373A5">
              <w:rPr>
                <w:rFonts w:eastAsia="Malgun Gothic"/>
                <w:color w:val="0070C0"/>
                <w:sz w:val="20"/>
                <w:szCs w:val="20"/>
                <w:lang w:val="en-GB" w:eastAsia="en-GB"/>
              </w:rPr>
              <w:tab/>
              <w:t xml:space="preserve"> </w:t>
            </w:r>
          </w:p>
          <w:p w14:paraId="22123C21"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(2</w:t>
            </w:r>
            <w:r w:rsidRPr="00E373A5">
              <w:rPr>
                <w:color w:val="0070C0"/>
                <w:sz w:val="20"/>
                <w:szCs w:val="20"/>
                <w:vertAlign w:val="superscript"/>
                <w:lang w:eastAsia="en-GB"/>
              </w:rPr>
              <w:t>nd</w:t>
            </w:r>
            <w:r w:rsidRPr="00E373A5">
              <w:rPr>
                <w:color w:val="0070C0"/>
                <w:sz w:val="20"/>
                <w:szCs w:val="20"/>
                <w:lang w:eastAsia="en-GB"/>
              </w:rPr>
              <w:t xml:space="preserve"> priority) Case 2a: UE-assisted/LMF-based positioning with UE-side model, AI/ML assisted positioning</w:t>
            </w:r>
            <w:r w:rsidRPr="00E373A5">
              <w:rPr>
                <w:color w:val="0070C0"/>
                <w:sz w:val="20"/>
                <w:szCs w:val="20"/>
                <w:lang w:eastAsia="en-GB"/>
              </w:rPr>
              <w:tab/>
            </w:r>
          </w:p>
          <w:p w14:paraId="30997630"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(1</w:t>
            </w:r>
            <w:r w:rsidRPr="00E373A5">
              <w:rPr>
                <w:color w:val="0070C0"/>
                <w:sz w:val="20"/>
                <w:szCs w:val="20"/>
                <w:vertAlign w:val="superscript"/>
                <w:lang w:eastAsia="en-GB"/>
              </w:rPr>
              <w:t>st</w:t>
            </w:r>
            <w:r w:rsidRPr="00E373A5">
              <w:rPr>
                <w:color w:val="0070C0"/>
                <w:sz w:val="20"/>
                <w:szCs w:val="20"/>
                <w:lang w:eastAsia="en-GB"/>
              </w:rPr>
              <w:t xml:space="preserve"> priority) Case 3a: NG-RAN node assisted positioning with gNB-side model, AI/ML assisted positioning</w:t>
            </w:r>
          </w:p>
          <w:p w14:paraId="0A57CBC2"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Specify necessary measurements, signalling/mechanism(s) to facilitate LCM operations specific to the Positioning accuracy enhancements use cases, if any</w:t>
            </w:r>
          </w:p>
          <w:p w14:paraId="65308D6B"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Investigate and specify the necessary signalling of necessary measurement enhancements (if any)</w:t>
            </w:r>
          </w:p>
          <w:p w14:paraId="12AE27B4"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Enabling method(s) to ensure consistency between training and inference regarding NW-side additional conditions (if identified) for inference at UE for relevant positioning sub use cases</w:t>
            </w:r>
          </w:p>
          <w:p w14:paraId="3E35D219" w14:textId="77777777" w:rsidR="00DB26D6" w:rsidRPr="00E373A5" w:rsidRDefault="00DB26D6" w:rsidP="00E373A5">
            <w:pPr>
              <w:numPr>
                <w:ilvl w:val="1"/>
                <w:numId w:val="14"/>
              </w:numPr>
              <w:overflowPunct w:val="0"/>
              <w:autoSpaceDE w:val="0"/>
              <w:autoSpaceDN w:val="0"/>
              <w:adjustRightInd w:val="0"/>
              <w:spacing w:after="0"/>
              <w:textAlignment w:val="baseline"/>
              <w:rPr>
                <w:rFonts w:eastAsia="Malgun Gothic"/>
                <w:color w:val="0070C0"/>
                <w:sz w:val="20"/>
                <w:szCs w:val="20"/>
                <w:lang w:val="en-GB" w:eastAsia="en-GB"/>
              </w:rPr>
            </w:pPr>
            <w:r w:rsidRPr="00E373A5">
              <w:rPr>
                <w:rFonts w:eastAsia="Malgun Gothic"/>
                <w:color w:val="0070C0"/>
                <w:sz w:val="20"/>
                <w:szCs w:val="20"/>
                <w:lang w:val="en-GB" w:eastAsia="en-GB"/>
              </w:rPr>
              <w:t>Note: RAN1 will not discuss any proposals targeting 2</w:t>
            </w:r>
            <w:r w:rsidRPr="00E373A5">
              <w:rPr>
                <w:rFonts w:eastAsia="Malgun Gothic"/>
                <w:color w:val="0070C0"/>
                <w:sz w:val="20"/>
                <w:szCs w:val="20"/>
                <w:vertAlign w:val="superscript"/>
                <w:lang w:val="en-GB" w:eastAsia="en-GB"/>
              </w:rPr>
              <w:t>nd</w:t>
            </w:r>
            <w:r w:rsidRPr="00E373A5">
              <w:rPr>
                <w:rFonts w:eastAsia="Malgun Gothic"/>
                <w:color w:val="0070C0"/>
                <w:sz w:val="20"/>
                <w:szCs w:val="20"/>
                <w:lang w:val="en-GB" w:eastAsia="en-GB"/>
              </w:rPr>
              <w:t xml:space="preserve"> priority issues in Q4 of 2024.</w:t>
            </w:r>
          </w:p>
          <w:p w14:paraId="31C9DB48" w14:textId="77777777" w:rsidR="00DB26D6" w:rsidRPr="00E373A5" w:rsidRDefault="00DB26D6" w:rsidP="00E373A5">
            <w:pPr>
              <w:overflowPunct w:val="0"/>
              <w:autoSpaceDE w:val="0"/>
              <w:autoSpaceDN w:val="0"/>
              <w:adjustRightInd w:val="0"/>
              <w:spacing w:after="0"/>
              <w:textAlignment w:val="baseline"/>
              <w:rPr>
                <w:rFonts w:eastAsia="Malgun Gothic"/>
                <w:sz w:val="20"/>
                <w:szCs w:val="20"/>
                <w:lang w:val="en-GB" w:eastAsia="en-GB"/>
              </w:rPr>
            </w:pPr>
          </w:p>
          <w:p w14:paraId="27EE1699" w14:textId="77777777" w:rsidR="00DB26D6" w:rsidRPr="00E373A5" w:rsidRDefault="00DB26D6" w:rsidP="00E373A5">
            <w:pPr>
              <w:numPr>
                <w:ilvl w:val="0"/>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 xml:space="preserve">CSI feedback enhancement, encompassing [RAN1/RAN2]: </w:t>
            </w:r>
          </w:p>
          <w:p w14:paraId="73E5C352" w14:textId="77777777" w:rsidR="00DB26D6" w:rsidRPr="00E373A5" w:rsidRDefault="00DB26D6" w:rsidP="00E373A5">
            <w:pPr>
              <w:numPr>
                <w:ilvl w:val="1"/>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 xml:space="preserve">CSI prediction (UE-sided model): </w:t>
            </w:r>
          </w:p>
          <w:p w14:paraId="50831587" w14:textId="77777777" w:rsidR="00DB26D6" w:rsidRPr="00E373A5" w:rsidRDefault="00DB26D6" w:rsidP="00E373A5">
            <w:pPr>
              <w:numPr>
                <w:ilvl w:val="2"/>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Functionality-based LCM leveraged from other use cases, when necessary and applicable,</w:t>
            </w:r>
          </w:p>
          <w:p w14:paraId="4FDDB5E2" w14:textId="77777777" w:rsidR="00DB26D6" w:rsidRPr="00E373A5" w:rsidRDefault="00DB26D6" w:rsidP="00E373A5">
            <w:pPr>
              <w:numPr>
                <w:ilvl w:val="2"/>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Study, and if necessary, specify consistency of training/inference,</w:t>
            </w:r>
          </w:p>
          <w:p w14:paraId="079770C7" w14:textId="77777777" w:rsidR="00DB26D6" w:rsidRPr="00E373A5" w:rsidRDefault="00DB26D6" w:rsidP="00E373A5">
            <w:pPr>
              <w:numPr>
                <w:ilvl w:val="2"/>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Note: Normative work in RAN1 for CSI prediction will start from Q1 of 2025</w:t>
            </w:r>
          </w:p>
          <w:p w14:paraId="57CE3551" w14:textId="77777777" w:rsidR="00DB26D6" w:rsidRPr="00E373A5" w:rsidRDefault="00DB26D6" w:rsidP="00E373A5">
            <w:pPr>
              <w:overflowPunct w:val="0"/>
              <w:autoSpaceDE w:val="0"/>
              <w:autoSpaceDN w:val="0"/>
              <w:adjustRightInd w:val="0"/>
              <w:spacing w:after="0"/>
              <w:ind w:left="720"/>
              <w:textAlignment w:val="baseline"/>
              <w:rPr>
                <w:rFonts w:eastAsia="Malgun Gothic"/>
                <w:sz w:val="20"/>
                <w:szCs w:val="20"/>
                <w:lang w:val="en-GB" w:eastAsia="en-GB"/>
              </w:rPr>
            </w:pPr>
          </w:p>
          <w:p w14:paraId="1CE05904" w14:textId="77777777" w:rsidR="00DB26D6" w:rsidRPr="00E373A5" w:rsidRDefault="00DB26D6" w:rsidP="00E373A5">
            <w:pPr>
              <w:numPr>
                <w:ilvl w:val="0"/>
                <w:numId w:val="14"/>
              </w:numPr>
              <w:overflowPunct w:val="0"/>
              <w:autoSpaceDE w:val="0"/>
              <w:autoSpaceDN w:val="0"/>
              <w:adjustRightInd w:val="0"/>
              <w:spacing w:after="0"/>
              <w:textAlignment w:val="baseline"/>
              <w:rPr>
                <w:rFonts w:eastAsia="Malgun Gothic"/>
                <w:sz w:val="20"/>
                <w:szCs w:val="20"/>
                <w:lang w:eastAsia="en-GB"/>
              </w:rPr>
            </w:pPr>
            <w:r w:rsidRPr="00E373A5">
              <w:rPr>
                <w:rFonts w:eastAsia="Batang"/>
                <w:sz w:val="20"/>
                <w:szCs w:val="20"/>
                <w:lang w:val="en-GB" w:eastAsia="x-none"/>
              </w:rPr>
              <w:t xml:space="preserve">Core requirements for </w:t>
            </w:r>
            <w:r w:rsidRPr="00E373A5">
              <w:rPr>
                <w:rFonts w:eastAsia="Malgun Gothic"/>
                <w:sz w:val="20"/>
                <w:szCs w:val="20"/>
                <w:lang w:eastAsia="en-GB"/>
              </w:rPr>
              <w:t xml:space="preserve">the above two use cases for AI/ML </w:t>
            </w:r>
            <w:r w:rsidRPr="00E373A5">
              <w:rPr>
                <w:sz w:val="20"/>
                <w:szCs w:val="20"/>
              </w:rPr>
              <w:t>LCM procedures and UE features [RAN4]:</w:t>
            </w:r>
          </w:p>
          <w:p w14:paraId="65C3BA34" w14:textId="245770CF"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Specify necessary RAN4 core requirements for the above three use cases. This includes the test setup and methodology for the beam management use case.</w:t>
            </w:r>
          </w:p>
          <w:p w14:paraId="3CFCD6AA" w14:textId="1AAA408B" w:rsidR="00024894" w:rsidRPr="00E373A5" w:rsidRDefault="00DB26D6" w:rsidP="00E373A5">
            <w:pPr>
              <w:numPr>
                <w:ilvl w:val="1"/>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Batang"/>
                <w:sz w:val="20"/>
                <w:szCs w:val="20"/>
                <w:lang w:val="en-GB" w:eastAsia="x-none"/>
              </w:rPr>
              <w:t>Specify necessary RAN4 core requirements for LCM procedures including performance monitoring.</w:t>
            </w:r>
          </w:p>
        </w:tc>
      </w:tr>
    </w:tbl>
    <w:p w14:paraId="5C8B2748" w14:textId="77777777" w:rsidR="00024894" w:rsidRPr="00CE0424" w:rsidRDefault="00024894" w:rsidP="00024894">
      <w:pPr>
        <w:pStyle w:val="BodyText"/>
      </w:pPr>
    </w:p>
    <w:p w14:paraId="42A3A09B" w14:textId="2074CEE0" w:rsidR="00B77F2C" w:rsidRDefault="003E7A63" w:rsidP="001B0F2D">
      <w:pPr>
        <w:pStyle w:val="Heading1"/>
        <w:rPr>
          <w:lang w:val="en-US"/>
        </w:rPr>
      </w:pPr>
      <w:bookmarkStart w:id="2" w:name="_Toc165990974"/>
      <w:bookmarkStart w:id="3" w:name="_Toc178961636"/>
      <w:r>
        <w:rPr>
          <w:lang w:val="en-US"/>
        </w:rPr>
        <w:t>Integrating AI/ML based p</w:t>
      </w:r>
      <w:r w:rsidR="00FE0482">
        <w:rPr>
          <w:lang w:val="en-US"/>
        </w:rPr>
        <w:t xml:space="preserve">ositioning methods </w:t>
      </w:r>
      <w:r>
        <w:rPr>
          <w:lang w:val="en-US"/>
        </w:rPr>
        <w:t>with existing protocol</w:t>
      </w:r>
      <w:bookmarkEnd w:id="3"/>
      <w:r w:rsidR="00FE0482">
        <w:rPr>
          <w:lang w:val="en-US"/>
        </w:rPr>
        <w:t xml:space="preserve"> </w:t>
      </w:r>
    </w:p>
    <w:p w14:paraId="7B9206C8" w14:textId="65DDF018" w:rsidR="00BC06AB" w:rsidRPr="0037719E" w:rsidRDefault="001E272C" w:rsidP="00BC06AB">
      <w:r>
        <w:t>In order to specify enhancements to enable AI/ML based positioning, a framework issue to consider is how to integrate the AI/ML based methods with existing protocol</w:t>
      </w:r>
      <w:r w:rsidR="002A4AC1">
        <w:t>.</w:t>
      </w:r>
      <w:r>
        <w:t xml:space="preserve"> </w:t>
      </w:r>
      <w:r w:rsidR="00BC06AB" w:rsidRPr="0037719E">
        <w:t xml:space="preserve">Different phases of AIML operations will map to different procedures and it is important to understand what is already available and what must be introduced to </w:t>
      </w:r>
      <w:r w:rsidR="00045E5A">
        <w:t xml:space="preserve">the </w:t>
      </w:r>
      <w:r w:rsidR="00BC06AB" w:rsidRPr="0037719E">
        <w:t xml:space="preserve">specifications. Even if RAN2 is the driving force for such new high level </w:t>
      </w:r>
      <w:r w:rsidR="00754BBA" w:rsidRPr="0037719E">
        <w:t>procedure, RAN</w:t>
      </w:r>
      <w:r w:rsidR="00BC06AB" w:rsidRPr="0037719E">
        <w:t>1 needs to understand these procedure</w:t>
      </w:r>
      <w:r w:rsidR="000A2296">
        <w:t>s</w:t>
      </w:r>
      <w:r w:rsidR="00BC06AB" w:rsidRPr="0037719E">
        <w:t xml:space="preserve"> to go forward.  In our RAN2 contribution, we present our view for AI</w:t>
      </w:r>
      <w:r w:rsidR="00703205">
        <w:t>/</w:t>
      </w:r>
      <w:r w:rsidR="00BC06AB" w:rsidRPr="0037719E">
        <w:t>ML positioning integration into the positioning framework</w:t>
      </w:r>
      <w:r w:rsidR="00FD4343">
        <w:t xml:space="preserve">.  At a high level, the </w:t>
      </w:r>
      <w:r w:rsidR="003E7A63">
        <w:t xml:space="preserve">LCM </w:t>
      </w:r>
      <w:r w:rsidR="00FD4343">
        <w:t>procedures for each case are model inference, model monitoring</w:t>
      </w:r>
      <w:r w:rsidR="00444B08">
        <w:t xml:space="preserve"> and</w:t>
      </w:r>
      <w:r w:rsidR="00FD4343">
        <w:t xml:space="preserve"> data collection</w:t>
      </w:r>
      <w:r w:rsidR="00444B08">
        <w:t>.</w:t>
      </w:r>
    </w:p>
    <w:p w14:paraId="4CADC347" w14:textId="239E55F2" w:rsidR="00233E1A" w:rsidRPr="0037719E" w:rsidRDefault="00FE16BE" w:rsidP="00233E1A">
      <w:pPr>
        <w:pStyle w:val="Heading2"/>
        <w:rPr>
          <w:lang w:val="en-US"/>
        </w:rPr>
      </w:pPr>
      <w:bookmarkStart w:id="4" w:name="_Toc178961637"/>
      <w:r>
        <w:rPr>
          <w:lang w:val="en-US"/>
        </w:rPr>
        <w:t xml:space="preserve">Cases </w:t>
      </w:r>
      <w:r w:rsidR="0095069F">
        <w:rPr>
          <w:lang w:val="en-US"/>
        </w:rPr>
        <w:t>with</w:t>
      </w:r>
      <w:r>
        <w:rPr>
          <w:lang w:val="en-US"/>
        </w:rPr>
        <w:t xml:space="preserve"> AI</w:t>
      </w:r>
      <w:r w:rsidR="00703205">
        <w:rPr>
          <w:lang w:val="en-US"/>
        </w:rPr>
        <w:t>/</w:t>
      </w:r>
      <w:r>
        <w:rPr>
          <w:lang w:val="en-US"/>
        </w:rPr>
        <w:t>ML model hosted in the UE (</w:t>
      </w:r>
      <w:r w:rsidR="00754BBA">
        <w:rPr>
          <w:lang w:val="en-US"/>
        </w:rPr>
        <w:t>C</w:t>
      </w:r>
      <w:r>
        <w:rPr>
          <w:lang w:val="en-US"/>
        </w:rPr>
        <w:t>ase 1)</w:t>
      </w:r>
      <w:bookmarkEnd w:id="4"/>
    </w:p>
    <w:p w14:paraId="2B246AF4" w14:textId="5A58FD1B" w:rsidR="0057672E" w:rsidRPr="0037719E" w:rsidRDefault="0057672E" w:rsidP="0057672E">
      <w:r w:rsidRPr="0037719E">
        <w:t>Case 1 is a UE based positioning case. The 3GPP positioning framework currently supports two methods for UE based positioning, namely DL-</w:t>
      </w:r>
      <w:r w:rsidR="00754BBA" w:rsidRPr="0037719E">
        <w:t>A</w:t>
      </w:r>
      <w:r w:rsidR="00754BBA">
        <w:t>o</w:t>
      </w:r>
      <w:r w:rsidR="00754BBA" w:rsidRPr="0037719E">
        <w:t xml:space="preserve">D </w:t>
      </w:r>
      <w:r w:rsidRPr="0037719E">
        <w:t xml:space="preserve">and DL-TDOA based positioning. </w:t>
      </w:r>
      <w:r w:rsidR="00754BBA">
        <w:t>A</w:t>
      </w:r>
      <w:r w:rsidRPr="0037719E">
        <w:t xml:space="preserve">dditionally, these methods can be initiated either by the network (LMF) via MT LR procedures, or by the UE via MO LR procedures. To support </w:t>
      </w:r>
      <w:r w:rsidR="00754BBA">
        <w:t>C</w:t>
      </w:r>
      <w:r w:rsidRPr="0037719E">
        <w:t xml:space="preserve">ase 1, an existing procedure  can be reused or a completely new procedure with associated AD transfer, capability transfer and location request procedures can be designed. </w:t>
      </w:r>
    </w:p>
    <w:p w14:paraId="2F27E357" w14:textId="5376F5B2" w:rsidR="0057672E" w:rsidRPr="0037719E" w:rsidRDefault="005C7796" w:rsidP="0057672E">
      <w:pPr>
        <w:pStyle w:val="Observation"/>
      </w:pPr>
      <w:bookmarkStart w:id="5" w:name="_Toc178961831"/>
      <w:r>
        <w:t xml:space="preserve">The template for specifying </w:t>
      </w:r>
      <w:r w:rsidR="0057672E" w:rsidRPr="0037719E">
        <w:t xml:space="preserve">Case 1 should be </w:t>
      </w:r>
      <w:r w:rsidR="00754BBA">
        <w:t>decided</w:t>
      </w:r>
      <w:r w:rsidR="0057672E" w:rsidRPr="0037719E">
        <w:t xml:space="preserve"> by RAN WG, choosing between existing DL-TDOA, DL-A</w:t>
      </w:r>
      <w:r w:rsidR="0073649B">
        <w:t>o</w:t>
      </w:r>
      <w:r w:rsidR="0057672E" w:rsidRPr="0037719E">
        <w:t xml:space="preserve">D or a new procedure as </w:t>
      </w:r>
      <w:r w:rsidR="00E4286F">
        <w:t xml:space="preserve">the </w:t>
      </w:r>
      <w:r w:rsidR="0057672E" w:rsidRPr="0037719E">
        <w:t>base</w:t>
      </w:r>
      <w:r w:rsidR="00E4286F">
        <w:t>line</w:t>
      </w:r>
      <w:r w:rsidR="0057672E" w:rsidRPr="0037719E">
        <w:t xml:space="preserve"> procedure.</w:t>
      </w:r>
      <w:bookmarkEnd w:id="5"/>
      <w:r w:rsidR="0057672E" w:rsidRPr="0037719E">
        <w:t xml:space="preserve"> </w:t>
      </w:r>
    </w:p>
    <w:p w14:paraId="28494C23" w14:textId="01F55D72" w:rsidR="0057672E" w:rsidRPr="0037719E" w:rsidRDefault="00FD4343" w:rsidP="0057672E">
      <w:r>
        <w:lastRenderedPageBreak/>
        <w:t xml:space="preserve"> </w:t>
      </w:r>
      <w:r w:rsidR="0057672E" w:rsidRPr="0037719E">
        <w:t xml:space="preserve">In our view, it should be sufficient for </w:t>
      </w:r>
      <w:r w:rsidR="00E4286F">
        <w:t>C</w:t>
      </w:r>
      <w:r w:rsidR="0057672E" w:rsidRPr="0037719E">
        <w:t xml:space="preserve">ase 1 to </w:t>
      </w:r>
      <w:r w:rsidR="00E4286F">
        <w:t>take</w:t>
      </w:r>
      <w:r w:rsidR="0057672E" w:rsidRPr="0037719E">
        <w:t xml:space="preserve"> DL-TDOA </w:t>
      </w:r>
      <w:r w:rsidR="00E4286F">
        <w:t>as</w:t>
      </w:r>
      <w:r w:rsidR="0057672E" w:rsidRPr="0037719E">
        <w:t xml:space="preserve"> the base positioning method</w:t>
      </w:r>
      <w:r w:rsidR="007939CD">
        <w:t xml:space="preserve"> for inference, data collection and monitoring.</w:t>
      </w:r>
      <w:r w:rsidR="0057672E" w:rsidRPr="0037719E">
        <w:t xml:space="preserve">  The </w:t>
      </w:r>
      <w:r w:rsidR="00E4286F" w:rsidRPr="0037719E">
        <w:t xml:space="preserve">DL-TDOA </w:t>
      </w:r>
      <w:r w:rsidR="0057672E" w:rsidRPr="0037719E">
        <w:t>procedure</w:t>
      </w:r>
      <w:r w:rsidR="007939CD">
        <w:t>s</w:t>
      </w:r>
      <w:r w:rsidR="0057672E" w:rsidRPr="0037719E">
        <w:t xml:space="preserve"> </w:t>
      </w:r>
      <w:r w:rsidR="00E4286F">
        <w:t>can</w:t>
      </w:r>
      <w:r w:rsidR="0057672E" w:rsidRPr="0037719E">
        <w:t xml:space="preserve"> be further extended to cater to AIML positioning </w:t>
      </w:r>
      <w:r w:rsidR="00E4286F">
        <w:t>C</w:t>
      </w:r>
      <w:r w:rsidR="0057672E" w:rsidRPr="0037719E">
        <w:t>ase 1</w:t>
      </w:r>
      <w:r w:rsidR="007939CD">
        <w:t xml:space="preserve"> </w:t>
      </w:r>
      <w:r w:rsidR="0057672E" w:rsidRPr="0037719E">
        <w:t>specific needs</w:t>
      </w:r>
      <w:r w:rsidR="007939CD">
        <w:t xml:space="preserve"> if needed</w:t>
      </w:r>
      <w:r w:rsidR="0057672E" w:rsidRPr="0037719E">
        <w:t xml:space="preserve">. </w:t>
      </w:r>
      <w:r w:rsidR="00387A0A">
        <w:t xml:space="preserve"> </w:t>
      </w:r>
      <w:r w:rsidR="009D4CA4">
        <w:t xml:space="preserve"> </w:t>
      </w:r>
    </w:p>
    <w:p w14:paraId="04C23170" w14:textId="5E1A4143" w:rsidR="00EA1B13" w:rsidRPr="0037719E" w:rsidRDefault="00E2448C" w:rsidP="00894767">
      <w:pPr>
        <w:pStyle w:val="Proposal"/>
      </w:pPr>
      <w:bookmarkStart w:id="6" w:name="_Toc178961883"/>
      <w:r>
        <w:t xml:space="preserve">RAN1 assumes </w:t>
      </w:r>
      <w:r w:rsidR="0057672E" w:rsidRPr="0037719E">
        <w:t xml:space="preserve">Case 1 </w:t>
      </w:r>
      <w:r>
        <w:t>is</w:t>
      </w:r>
      <w:r w:rsidR="0057672E" w:rsidRPr="0037719E">
        <w:t xml:space="preserve"> supported using UE based DL-TDOA procedure</w:t>
      </w:r>
      <w:r w:rsidR="0054601B">
        <w:t>s</w:t>
      </w:r>
      <w:r w:rsidR="0057672E" w:rsidRPr="0037719E">
        <w:t xml:space="preserve"> as a foundation. </w:t>
      </w:r>
      <w:r w:rsidR="000D22B1">
        <w:t xml:space="preserve">It is up to RAN2 to decide whether a set of new procedure is to be defined for Case 1, or extension to DL-TDOA suffices. </w:t>
      </w:r>
      <w:r w:rsidR="00894767">
        <w:t>RAN1 c</w:t>
      </w:r>
      <w:r w:rsidR="0057672E" w:rsidRPr="0037719E">
        <w:t>onfirm</w:t>
      </w:r>
      <w:r w:rsidR="00894767">
        <w:t>s</w:t>
      </w:r>
      <w:r w:rsidR="0057672E" w:rsidRPr="0037719E">
        <w:t xml:space="preserve"> the understanding with RAN2.</w:t>
      </w:r>
      <w:bookmarkEnd w:id="6"/>
      <w:r w:rsidR="0057672E" w:rsidRPr="0037719E">
        <w:t xml:space="preserve"> </w:t>
      </w:r>
      <w:r w:rsidR="00FE16BE">
        <w:t xml:space="preserve"> </w:t>
      </w:r>
    </w:p>
    <w:p w14:paraId="2D79C58D" w14:textId="568C5E57" w:rsidR="005505F8" w:rsidRPr="0037719E" w:rsidRDefault="005505F8" w:rsidP="005505F8">
      <w:pPr>
        <w:pStyle w:val="Heading2"/>
        <w:rPr>
          <w:lang w:val="en-US"/>
        </w:rPr>
      </w:pPr>
      <w:bookmarkStart w:id="7" w:name="_Toc178704927"/>
      <w:bookmarkStart w:id="8" w:name="_Toc178705829"/>
      <w:bookmarkStart w:id="9" w:name="_Toc178708807"/>
      <w:bookmarkStart w:id="10" w:name="_Toc178772529"/>
      <w:bookmarkStart w:id="11" w:name="_Toc178929503"/>
      <w:bookmarkStart w:id="12" w:name="_Toc178704928"/>
      <w:bookmarkStart w:id="13" w:name="_Toc178705830"/>
      <w:bookmarkStart w:id="14" w:name="_Toc178708808"/>
      <w:bookmarkStart w:id="15" w:name="_Toc178772530"/>
      <w:bookmarkStart w:id="16" w:name="_Toc178929504"/>
      <w:bookmarkStart w:id="17" w:name="_Toc178704929"/>
      <w:bookmarkStart w:id="18" w:name="_Toc178705831"/>
      <w:bookmarkStart w:id="19" w:name="_Toc178708809"/>
      <w:bookmarkStart w:id="20" w:name="_Toc178772531"/>
      <w:bookmarkStart w:id="21" w:name="_Toc178929505"/>
      <w:bookmarkStart w:id="22" w:name="_Toc178704930"/>
      <w:bookmarkStart w:id="23" w:name="_Toc178705832"/>
      <w:bookmarkStart w:id="24" w:name="_Toc178708810"/>
      <w:bookmarkStart w:id="25" w:name="_Toc178772532"/>
      <w:bookmarkStart w:id="26" w:name="_Toc178929506"/>
      <w:bookmarkStart w:id="27" w:name="_Toc178704931"/>
      <w:bookmarkStart w:id="28" w:name="_Toc178705833"/>
      <w:bookmarkStart w:id="29" w:name="_Toc178708811"/>
      <w:bookmarkStart w:id="30" w:name="_Toc178772533"/>
      <w:bookmarkStart w:id="31" w:name="_Toc178929507"/>
      <w:bookmarkStart w:id="32" w:name="_Toc178961638"/>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Pr>
          <w:lang w:val="en-US"/>
        </w:rPr>
        <w:t xml:space="preserve">Case </w:t>
      </w:r>
      <w:r w:rsidR="0095069F">
        <w:rPr>
          <w:lang w:val="en-US"/>
        </w:rPr>
        <w:t>with</w:t>
      </w:r>
      <w:r>
        <w:rPr>
          <w:lang w:val="en-US"/>
        </w:rPr>
        <w:t xml:space="preserve"> AI</w:t>
      </w:r>
      <w:r w:rsidR="00703205">
        <w:rPr>
          <w:lang w:val="en-US"/>
        </w:rPr>
        <w:t>/</w:t>
      </w:r>
      <w:r>
        <w:rPr>
          <w:lang w:val="en-US"/>
        </w:rPr>
        <w:t>ML model hosted in the TRP/gNB (</w:t>
      </w:r>
      <w:r w:rsidR="000D22B1">
        <w:rPr>
          <w:lang w:val="en-US"/>
        </w:rPr>
        <w:t>C</w:t>
      </w:r>
      <w:r>
        <w:rPr>
          <w:lang w:val="en-US"/>
        </w:rPr>
        <w:t>ase 3a)</w:t>
      </w:r>
      <w:bookmarkEnd w:id="32"/>
    </w:p>
    <w:p w14:paraId="10821E94" w14:textId="20698BBF" w:rsidR="00DE5F43" w:rsidRDefault="008A66C5" w:rsidP="00DE5F43">
      <w:r>
        <w:t>In RAN1#118, u</w:t>
      </w:r>
      <w:r w:rsidR="00DE5F43">
        <w:t>plink positioning for case 3a was discussed with the following outcome:</w:t>
      </w:r>
    </w:p>
    <w:tbl>
      <w:tblPr>
        <w:tblStyle w:val="TableGrid"/>
        <w:tblW w:w="0" w:type="auto"/>
        <w:tblLook w:val="04A0" w:firstRow="1" w:lastRow="0" w:firstColumn="1" w:lastColumn="0" w:noHBand="0" w:noVBand="1"/>
      </w:tblPr>
      <w:tblGrid>
        <w:gridCol w:w="9962"/>
      </w:tblGrid>
      <w:tr w:rsidR="00DE5F43" w:rsidRPr="008A66C5" w14:paraId="7620C242" w14:textId="77777777">
        <w:tc>
          <w:tcPr>
            <w:tcW w:w="9962" w:type="dxa"/>
          </w:tcPr>
          <w:p w14:paraId="6ADBCE22" w14:textId="77777777" w:rsidR="00DE5F43" w:rsidRPr="008A66C5" w:rsidRDefault="00DE5F43" w:rsidP="008A66C5">
            <w:pPr>
              <w:spacing w:after="0"/>
              <w:rPr>
                <w:rFonts w:ascii="Times New Roman" w:eastAsia="DengXian" w:hAnsi="Times New Roman" w:cs="Times New Roman"/>
                <w:sz w:val="20"/>
                <w:szCs w:val="20"/>
                <w:lang w:eastAsia="zh-CN"/>
              </w:rPr>
            </w:pPr>
            <w:r w:rsidRPr="008A66C5">
              <w:rPr>
                <w:rFonts w:ascii="Times New Roman" w:eastAsia="DengXian" w:hAnsi="Times New Roman" w:cs="Times New Roman"/>
                <w:sz w:val="20"/>
                <w:szCs w:val="20"/>
                <w:lang w:eastAsia="zh-CN"/>
              </w:rPr>
              <w:t>Conclusion</w:t>
            </w:r>
          </w:p>
          <w:p w14:paraId="0D7FDB4D" w14:textId="77777777" w:rsidR="00DE5F43" w:rsidRPr="008A66C5" w:rsidRDefault="00DE5F43" w:rsidP="008A66C5">
            <w:pPr>
              <w:spacing w:after="0"/>
              <w:rPr>
                <w:rFonts w:ascii="Times New Roman" w:hAnsi="Times New Roman" w:cs="Times New Roman"/>
                <w:sz w:val="20"/>
                <w:szCs w:val="20"/>
              </w:rPr>
            </w:pPr>
            <w:r w:rsidRPr="008A66C5">
              <w:rPr>
                <w:rFonts w:ascii="Times New Roman" w:eastAsia="Calibri" w:hAnsi="Times New Roman" w:cs="Times New Roman"/>
                <w:sz w:val="20"/>
                <w:szCs w:val="20"/>
              </w:rPr>
              <w:t>From RAN1 perspective,</w:t>
            </w:r>
            <w:r w:rsidRPr="008A66C5">
              <w:rPr>
                <w:rFonts w:ascii="Times New Roman" w:hAnsi="Times New Roman" w:cs="Times New Roman"/>
                <w:sz w:val="20"/>
                <w:szCs w:val="20"/>
              </w:rPr>
              <w:t xml:space="preserve"> for Case 3a measurements,  </w:t>
            </w:r>
          </w:p>
          <w:p w14:paraId="7D0CD07E" w14:textId="77777777" w:rsidR="00DE5F43" w:rsidRPr="008A66C5" w:rsidRDefault="00DE5F43" w:rsidP="00D35F36">
            <w:pPr>
              <w:pStyle w:val="ListParagraph"/>
              <w:numPr>
                <w:ilvl w:val="0"/>
                <w:numId w:val="79"/>
              </w:numPr>
              <w:spacing w:line="276" w:lineRule="auto"/>
              <w:rPr>
                <w:rFonts w:ascii="Times New Roman" w:hAnsi="Times New Roman" w:cs="Times New Roman"/>
                <w:sz w:val="20"/>
              </w:rPr>
            </w:pPr>
            <w:r w:rsidRPr="008A66C5">
              <w:rPr>
                <w:rFonts w:ascii="Times New Roman" w:hAnsi="Times New Roman" w:cs="Times New Roman"/>
                <w:sz w:val="20"/>
              </w:rPr>
              <w:t xml:space="preserve">The existing procedures </w:t>
            </w:r>
            <w:r w:rsidRPr="008A66C5">
              <w:rPr>
                <w:rFonts w:ascii="Times New Roman" w:eastAsia="DengXian" w:hAnsi="Times New Roman" w:cs="Times New Roman"/>
                <w:sz w:val="20"/>
              </w:rPr>
              <w:t xml:space="preserve">can be </w:t>
            </w:r>
            <w:r w:rsidRPr="008A66C5">
              <w:rPr>
                <w:rFonts w:ascii="Times New Roman" w:hAnsi="Times New Roman" w:cs="Times New Roman"/>
                <w:sz w:val="20"/>
              </w:rPr>
              <w:t>reused in terms of SRS configuration.</w:t>
            </w:r>
          </w:p>
          <w:p w14:paraId="6FA76277" w14:textId="77777777" w:rsidR="00DE5F43" w:rsidRPr="008A66C5" w:rsidRDefault="00DE5F43" w:rsidP="00D35F36">
            <w:pPr>
              <w:pStyle w:val="ListParagraph"/>
              <w:numPr>
                <w:ilvl w:val="1"/>
                <w:numId w:val="79"/>
              </w:numPr>
              <w:spacing w:line="276" w:lineRule="auto"/>
              <w:rPr>
                <w:rFonts w:ascii="Times New Roman" w:hAnsi="Times New Roman" w:cs="Times New Roman"/>
                <w:sz w:val="20"/>
              </w:rPr>
            </w:pPr>
            <w:r w:rsidRPr="008A66C5">
              <w:rPr>
                <w:rFonts w:ascii="Times New Roman" w:hAnsi="Times New Roman" w:cs="Times New Roman"/>
                <w:sz w:val="20"/>
              </w:rPr>
              <w:t>Note: parameter values for SRS configuration can be further discussed</w:t>
            </w:r>
          </w:p>
          <w:p w14:paraId="03795044" w14:textId="77777777" w:rsidR="00DE5F43" w:rsidRPr="008A66C5" w:rsidRDefault="00DE5F43" w:rsidP="00D35F36">
            <w:pPr>
              <w:pStyle w:val="ListParagraph"/>
              <w:numPr>
                <w:ilvl w:val="0"/>
                <w:numId w:val="79"/>
              </w:numPr>
              <w:spacing w:line="276" w:lineRule="auto"/>
              <w:rPr>
                <w:rFonts w:ascii="Times New Roman" w:hAnsi="Times New Roman" w:cs="Times New Roman"/>
                <w:sz w:val="20"/>
              </w:rPr>
            </w:pPr>
            <w:r w:rsidRPr="008A66C5">
              <w:rPr>
                <w:rFonts w:ascii="Times New Roman" w:hAnsi="Times New Roman" w:cs="Times New Roman"/>
                <w:sz w:val="20"/>
              </w:rPr>
              <w:t xml:space="preserve">These measurements can be used for multiple aspects related to case 3a, e.g. training data collection, monitoring, or inference procedures. </w:t>
            </w:r>
          </w:p>
          <w:p w14:paraId="6008FCDE" w14:textId="77777777" w:rsidR="00DE5F43" w:rsidRPr="008A66C5" w:rsidRDefault="00DE5F43" w:rsidP="00D35F36">
            <w:pPr>
              <w:numPr>
                <w:ilvl w:val="0"/>
                <w:numId w:val="79"/>
              </w:numPr>
              <w:spacing w:after="0"/>
              <w:rPr>
                <w:rFonts w:ascii="Times New Roman" w:hAnsi="Times New Roman" w:cs="Times New Roman"/>
                <w:sz w:val="20"/>
                <w:szCs w:val="20"/>
              </w:rPr>
            </w:pPr>
            <w:r w:rsidRPr="008A66C5">
              <w:rPr>
                <w:rFonts w:ascii="Times New Roman" w:hAnsi="Times New Roman" w:cs="Times New Roman"/>
                <w:sz w:val="20"/>
                <w:szCs w:val="20"/>
              </w:rPr>
              <w:t>Note: Purpose, such as the</w:t>
            </w:r>
            <w:r w:rsidRPr="008A66C5">
              <w:rPr>
                <w:rFonts w:ascii="Times New Roman" w:eastAsia="DengXian" w:hAnsi="Times New Roman" w:cs="Times New Roman"/>
                <w:sz w:val="20"/>
                <w:szCs w:val="20"/>
                <w:lang w:eastAsia="zh-CN"/>
              </w:rPr>
              <w:t xml:space="preserve"> training</w:t>
            </w:r>
            <w:r w:rsidRPr="008A66C5">
              <w:rPr>
                <w:rFonts w:ascii="Times New Roman" w:hAnsi="Times New Roman" w:cs="Times New Roman"/>
                <w:sz w:val="20"/>
                <w:szCs w:val="20"/>
              </w:rPr>
              <w:t xml:space="preserve"> data collection</w:t>
            </w:r>
            <w:r w:rsidRPr="008A66C5">
              <w:rPr>
                <w:rFonts w:ascii="Times New Roman" w:eastAsia="DengXian" w:hAnsi="Times New Roman" w:cs="Times New Roman"/>
                <w:sz w:val="20"/>
                <w:szCs w:val="20"/>
                <w:lang w:eastAsia="zh-CN"/>
              </w:rPr>
              <w:t>,</w:t>
            </w:r>
            <w:r w:rsidRPr="008A66C5">
              <w:rPr>
                <w:rFonts w:ascii="Times New Roman" w:hAnsi="Times New Roman" w:cs="Times New Roman"/>
                <w:sz w:val="20"/>
                <w:szCs w:val="20"/>
              </w:rPr>
              <w:t xml:space="preserve"> monitoring, or inference procedures mentioned above, will not necessarily be specified in RAN 1 specifications</w:t>
            </w:r>
          </w:p>
          <w:p w14:paraId="53D9CB61" w14:textId="77777777" w:rsidR="00DE5F43" w:rsidRPr="008A66C5" w:rsidRDefault="00DE5F43" w:rsidP="008A66C5">
            <w:pPr>
              <w:spacing w:after="0"/>
              <w:rPr>
                <w:rFonts w:ascii="Times New Roman" w:eastAsia="DengXian" w:hAnsi="Times New Roman" w:cs="Times New Roman"/>
                <w:b/>
                <w:bCs/>
                <w:sz w:val="20"/>
                <w:szCs w:val="20"/>
                <w:highlight w:val="green"/>
                <w:lang w:eastAsia="zh-CN"/>
              </w:rPr>
            </w:pPr>
            <w:r w:rsidRPr="008A66C5">
              <w:rPr>
                <w:rFonts w:ascii="Times New Roman" w:eastAsia="DengXian" w:hAnsi="Times New Roman" w:cs="Times New Roman"/>
                <w:b/>
                <w:bCs/>
                <w:sz w:val="20"/>
                <w:szCs w:val="20"/>
                <w:highlight w:val="green"/>
                <w:lang w:eastAsia="zh-CN"/>
              </w:rPr>
              <w:t>Agreement</w:t>
            </w:r>
          </w:p>
          <w:p w14:paraId="655C364E" w14:textId="77777777" w:rsidR="00DE5F43" w:rsidRPr="008A66C5" w:rsidRDefault="00DE5F43" w:rsidP="008A66C5">
            <w:pPr>
              <w:spacing w:after="0"/>
              <w:rPr>
                <w:rFonts w:ascii="Times New Roman" w:hAnsi="Times New Roman" w:cs="Times New Roman"/>
                <w:sz w:val="20"/>
                <w:szCs w:val="20"/>
              </w:rPr>
            </w:pPr>
            <w:r w:rsidRPr="008A66C5">
              <w:rPr>
                <w:rFonts w:ascii="Times New Roman" w:hAnsi="Times New Roman" w:cs="Times New Roman"/>
                <w:sz w:val="20"/>
                <w:szCs w:val="20"/>
              </w:rPr>
              <w:t xml:space="preserve">For AI/ML assisted positioning Case 3a, at least LOS/NLOS indicator and/or timing information are supported for reporting. </w:t>
            </w:r>
          </w:p>
          <w:p w14:paraId="1D9C4806" w14:textId="77777777" w:rsidR="00DE5F43" w:rsidRPr="008A66C5" w:rsidRDefault="00DE5F43" w:rsidP="00D35F36">
            <w:pPr>
              <w:pStyle w:val="ListParagraph"/>
              <w:widowControl w:val="0"/>
              <w:numPr>
                <w:ilvl w:val="0"/>
                <w:numId w:val="56"/>
              </w:numPr>
              <w:jc w:val="both"/>
              <w:rPr>
                <w:rFonts w:ascii="Times New Roman" w:hAnsi="Times New Roman" w:cs="Times New Roman"/>
                <w:sz w:val="20"/>
              </w:rPr>
            </w:pPr>
            <w:r w:rsidRPr="008A66C5">
              <w:rPr>
                <w:rFonts w:ascii="Times New Roman" w:hAnsi="Times New Roman" w:cs="Times New Roman"/>
                <w:sz w:val="20"/>
              </w:rPr>
              <w:t>If LOS/NLOS indicator is reported, the indicator can be reported as soft indicator or hard indicator as defined in 38.214.</w:t>
            </w:r>
          </w:p>
          <w:p w14:paraId="0F83C10F" w14:textId="77777777" w:rsidR="00DE5F43" w:rsidRPr="008A66C5" w:rsidRDefault="00DE5F43" w:rsidP="00D35F36">
            <w:pPr>
              <w:pStyle w:val="ListParagraph"/>
              <w:widowControl w:val="0"/>
              <w:numPr>
                <w:ilvl w:val="0"/>
                <w:numId w:val="56"/>
              </w:numPr>
              <w:jc w:val="both"/>
              <w:rPr>
                <w:rFonts w:ascii="Times New Roman" w:hAnsi="Times New Roman" w:cs="Times New Roman"/>
                <w:sz w:val="20"/>
              </w:rPr>
            </w:pPr>
            <w:r w:rsidRPr="008A66C5">
              <w:rPr>
                <w:rFonts w:ascii="Times New Roman" w:hAnsi="Times New Roman" w:cs="Times New Roman"/>
                <w:sz w:val="20"/>
              </w:rPr>
              <w:t>If timing information is reported, the timing information at least can be reported via UL RTOA or gNB Rx-Tx time difference as defined in 38.215.</w:t>
            </w:r>
          </w:p>
          <w:p w14:paraId="4C921CBD" w14:textId="77777777" w:rsidR="00DE5F43" w:rsidRPr="008A66C5" w:rsidRDefault="00DE5F43" w:rsidP="00D35F36">
            <w:pPr>
              <w:pStyle w:val="ListParagraph"/>
              <w:widowControl w:val="0"/>
              <w:numPr>
                <w:ilvl w:val="0"/>
                <w:numId w:val="56"/>
              </w:numPr>
              <w:jc w:val="both"/>
              <w:rPr>
                <w:rFonts w:ascii="Times New Roman" w:hAnsi="Times New Roman" w:cs="Times New Roman"/>
                <w:sz w:val="20"/>
              </w:rPr>
            </w:pPr>
            <w:r w:rsidRPr="008A66C5">
              <w:rPr>
                <w:rFonts w:ascii="Times New Roman" w:hAnsi="Times New Roman" w:cs="Times New Roman"/>
                <w:sz w:val="20"/>
              </w:rPr>
              <w:t>Note: details of the report are pending further discussion.</w:t>
            </w:r>
          </w:p>
          <w:p w14:paraId="1C6552A8" w14:textId="77777777" w:rsidR="00DE5F43" w:rsidRPr="008A66C5" w:rsidRDefault="00DE5F43" w:rsidP="008A66C5">
            <w:pPr>
              <w:spacing w:after="0"/>
              <w:rPr>
                <w:rFonts w:ascii="Times New Roman" w:hAnsi="Times New Roman" w:cs="Times New Roman"/>
                <w:sz w:val="20"/>
                <w:szCs w:val="20"/>
              </w:rPr>
            </w:pPr>
          </w:p>
        </w:tc>
      </w:tr>
    </w:tbl>
    <w:p w14:paraId="60394D7B" w14:textId="77777777" w:rsidR="005E23EB" w:rsidRDefault="005E23EB" w:rsidP="00F50D06"/>
    <w:p w14:paraId="107C7725" w14:textId="3D75F577" w:rsidR="00F50D06" w:rsidRDefault="005E23EB" w:rsidP="00F50D06">
      <w:r>
        <w:t xml:space="preserve">Even though some measurement reporting </w:t>
      </w:r>
      <w:r w:rsidR="00E2448C">
        <w:t>has been</w:t>
      </w:r>
      <w:r>
        <w:t xml:space="preserve"> agreed, </w:t>
      </w:r>
      <w:r w:rsidR="005C7796">
        <w:t>it was not clarified</w:t>
      </w:r>
      <w:r>
        <w:t xml:space="preserve"> what </w:t>
      </w:r>
      <w:r w:rsidR="00754BBA">
        <w:t xml:space="preserve">legacy </w:t>
      </w:r>
      <w:r>
        <w:t xml:space="preserve">method should be </w:t>
      </w:r>
      <w:r w:rsidR="008B3A63">
        <w:t>used as a baseline for</w:t>
      </w:r>
      <w:r>
        <w:t xml:space="preserve"> </w:t>
      </w:r>
      <w:r w:rsidR="005C7796">
        <w:t>C</w:t>
      </w:r>
      <w:r>
        <w:t>ase</w:t>
      </w:r>
      <w:r w:rsidR="00552016">
        <w:t xml:space="preserve"> 3a. </w:t>
      </w:r>
      <w:r>
        <w:t xml:space="preserve"> </w:t>
      </w:r>
      <w:r w:rsidR="00F50D06">
        <w:t>For this RAN1 should consider the following:</w:t>
      </w:r>
    </w:p>
    <w:p w14:paraId="11F377D3" w14:textId="77777777" w:rsidR="00F50D06" w:rsidRPr="00E215F0" w:rsidRDefault="00F50D06" w:rsidP="00F50D06">
      <w:pPr>
        <w:pStyle w:val="ListParagraph"/>
        <w:numPr>
          <w:ilvl w:val="0"/>
          <w:numId w:val="14"/>
        </w:numPr>
      </w:pPr>
      <w:r w:rsidRPr="00E215F0">
        <w:t>The</w:t>
      </w:r>
      <w:r>
        <w:t xml:space="preserve"> Rel-18</w:t>
      </w:r>
      <w:r w:rsidRPr="00E215F0">
        <w:t xml:space="preserve"> study item phase of the AI</w:t>
      </w:r>
      <w:r>
        <w:t>/</w:t>
      </w:r>
      <w:r w:rsidRPr="00E215F0">
        <w:t xml:space="preserve">ML positioning work focused on time-based methods.  </w:t>
      </w:r>
    </w:p>
    <w:p w14:paraId="444881AA" w14:textId="77777777" w:rsidR="00F50D06" w:rsidRPr="00194B5B" w:rsidRDefault="00F50D06" w:rsidP="00F50D06">
      <w:pPr>
        <w:pStyle w:val="ListParagraph"/>
        <w:numPr>
          <w:ilvl w:val="0"/>
          <w:numId w:val="14"/>
        </w:numPr>
      </w:pPr>
      <w:r>
        <w:t>P</w:t>
      </w:r>
      <w:r w:rsidRPr="006F6085">
        <w:t xml:space="preserve">ositioning </w:t>
      </w:r>
      <w:r w:rsidRPr="00E215F0">
        <w:t>methods</w:t>
      </w:r>
      <w:r w:rsidRPr="006F6085">
        <w:t xml:space="preserve"> and enhancements introduced in </w:t>
      </w:r>
      <w:r>
        <w:t>R</w:t>
      </w:r>
      <w:r w:rsidRPr="006F6085">
        <w:t>el</w:t>
      </w:r>
      <w:r>
        <w:t>-</w:t>
      </w:r>
      <w:r w:rsidRPr="006F6085">
        <w:t xml:space="preserve">18 </w:t>
      </w:r>
      <w:r>
        <w:t xml:space="preserve">study item </w:t>
      </w:r>
      <w:r w:rsidRPr="006F6085">
        <w:t xml:space="preserve">have not been </w:t>
      </w:r>
      <w:r>
        <w:t>investigated thoroughly for specification</w:t>
      </w:r>
      <w:r w:rsidRPr="006F6085">
        <w:t>.</w:t>
      </w:r>
    </w:p>
    <w:p w14:paraId="0199C04D" w14:textId="43F9A45C" w:rsidR="00F50D06" w:rsidRDefault="00F50D06" w:rsidP="00FA4B81">
      <w:r>
        <w:t>Based on the lack of studies on angle-based methods, it is reasonable to</w:t>
      </w:r>
      <w:r>
        <w:rPr>
          <w:rFonts w:cs="Arial"/>
        </w:rPr>
        <w:t xml:space="preserve"> focus only on time-based positioning methods that use the reported AI/ML model output as </w:t>
      </w:r>
      <w:r w:rsidR="009E283D">
        <w:rPr>
          <w:rFonts w:cs="Arial"/>
        </w:rPr>
        <w:t>model input, i.e.</w:t>
      </w:r>
      <w:r w:rsidRPr="00E215F0">
        <w:t xml:space="preserve"> UL-DTOA</w:t>
      </w:r>
      <w:r w:rsidR="009E283D">
        <w:t xml:space="preserve"> and </w:t>
      </w:r>
      <w:r w:rsidRPr="00E215F0">
        <w:t>Multi-RT</w:t>
      </w:r>
      <w:r w:rsidR="009E283D">
        <w:t xml:space="preserve">T. Thus </w:t>
      </w:r>
      <w:r w:rsidR="008B3A63">
        <w:t>i</w:t>
      </w:r>
      <w:r>
        <w:t>n our view, the above agreement</w:t>
      </w:r>
      <w:r w:rsidR="002C51F6">
        <w:t xml:space="preserve"> and conclusion</w:t>
      </w:r>
      <w:r>
        <w:t xml:space="preserve"> are sufficient for defining model output types of assisted positioning. </w:t>
      </w:r>
      <w:r w:rsidR="009E283D">
        <w:t xml:space="preserve"> </w:t>
      </w:r>
      <w:r w:rsidR="008B3A63">
        <w:t>O</w:t>
      </w:r>
      <w:r w:rsidR="00FA4B81">
        <w:t>ther types of measurements, such as angle measurements</w:t>
      </w:r>
      <w:r w:rsidR="008B3A63">
        <w:t>,</w:t>
      </w:r>
      <w:r w:rsidR="00FA4B81">
        <w:t xml:space="preserve"> </w:t>
      </w:r>
      <w:r>
        <w:t>were not thoroughly evaluated in Rel-18 SI</w:t>
      </w:r>
      <w:r w:rsidR="008B3A63">
        <w:t xml:space="preserve"> and should not be considered for Rel-19</w:t>
      </w:r>
      <w:r>
        <w:t xml:space="preserve">.  </w:t>
      </w:r>
    </w:p>
    <w:p w14:paraId="018B865D" w14:textId="02B7607E" w:rsidR="00DE5F43" w:rsidRDefault="00DE5F43" w:rsidP="00DE5F43">
      <w:r>
        <w:t xml:space="preserve">Based on the agreements, RAN1 should assume that the procedures for UL-RTOA and multi RTT should be the basis for </w:t>
      </w:r>
      <w:r w:rsidR="009C3EA7">
        <w:t>C</w:t>
      </w:r>
      <w:r>
        <w:t>ase 3a.</w:t>
      </w:r>
      <w:r w:rsidR="009C3F5F">
        <w:t xml:space="preserve">  </w:t>
      </w:r>
      <w:r w:rsidR="009C3EA7">
        <w:t>S</w:t>
      </w:r>
      <w:r w:rsidR="0018099A">
        <w:t xml:space="preserve">ome of the </w:t>
      </w:r>
      <w:r w:rsidR="00BB1032">
        <w:t xml:space="preserve">signalling requests and reports </w:t>
      </w:r>
      <w:r w:rsidR="0018099A">
        <w:t xml:space="preserve">in the procedure may need further extension to properly support the </w:t>
      </w:r>
      <w:r w:rsidR="00756788">
        <w:t xml:space="preserve">training and </w:t>
      </w:r>
      <w:r w:rsidR="00BB1032">
        <w:t>operation</w:t>
      </w:r>
      <w:r w:rsidR="0018099A">
        <w:t xml:space="preserve"> of an AI model in the gNB</w:t>
      </w:r>
      <w:r w:rsidR="00756788">
        <w:rPr>
          <w:rFonts w:hint="eastAsia"/>
        </w:rPr>
        <w:t>/TRP</w:t>
      </w:r>
      <w:r w:rsidR="00CA7DD7">
        <w:t>.</w:t>
      </w:r>
    </w:p>
    <w:p w14:paraId="1EDD5E52" w14:textId="5E8ACA9B" w:rsidR="00203864" w:rsidRPr="0037719E" w:rsidRDefault="00710408" w:rsidP="00E2448C">
      <w:pPr>
        <w:pStyle w:val="Proposal"/>
        <w:tabs>
          <w:tab w:val="clear" w:pos="1304"/>
        </w:tabs>
        <w:ind w:left="1701" w:hanging="1701"/>
      </w:pPr>
      <w:bookmarkStart w:id="33" w:name="_Toc178961884"/>
      <w:r>
        <w:t xml:space="preserve">RAN1 assumes </w:t>
      </w:r>
      <w:r w:rsidR="00203864" w:rsidRPr="0037719E">
        <w:t xml:space="preserve">Case </w:t>
      </w:r>
      <w:r w:rsidR="00203864">
        <w:t>3a</w:t>
      </w:r>
      <w:r w:rsidR="00203864" w:rsidRPr="0037719E">
        <w:t xml:space="preserve"> </w:t>
      </w:r>
      <w:r>
        <w:t>is supported</w:t>
      </w:r>
      <w:r w:rsidR="00203864" w:rsidRPr="0037719E">
        <w:t xml:space="preserve"> using</w:t>
      </w:r>
      <w:r w:rsidR="00203864">
        <w:t xml:space="preserve"> </w:t>
      </w:r>
      <w:r w:rsidR="00DC31D3">
        <w:t>UL</w:t>
      </w:r>
      <w:r w:rsidR="00362F09">
        <w:t>-</w:t>
      </w:r>
      <w:r w:rsidR="00DC31D3">
        <w:t xml:space="preserve">TDOA </w:t>
      </w:r>
      <w:r w:rsidR="00BB5AF6">
        <w:t>or multi RTT</w:t>
      </w:r>
      <w:r w:rsidR="00203864">
        <w:t xml:space="preserve"> </w:t>
      </w:r>
      <w:r w:rsidR="00203864" w:rsidRPr="0037719E">
        <w:t xml:space="preserve"> procedure as a foundation. </w:t>
      </w:r>
      <w:r w:rsidR="000D22B1">
        <w:t xml:space="preserve">It is up to RAN3 to decide whether a set of new procedure is to be defined for Case 3a, or extension to existing procedure suffices. </w:t>
      </w:r>
      <w:r w:rsidR="00E2448C">
        <w:t>RAN1 c</w:t>
      </w:r>
      <w:r w:rsidR="00203864" w:rsidRPr="0037719E">
        <w:t>onfirm</w:t>
      </w:r>
      <w:r w:rsidR="00E2448C">
        <w:t>s</w:t>
      </w:r>
      <w:r w:rsidR="00203864" w:rsidRPr="0037719E">
        <w:t xml:space="preserve"> the understanding with RAN2</w:t>
      </w:r>
      <w:r w:rsidR="00203864">
        <w:t xml:space="preserve"> and RAN3</w:t>
      </w:r>
      <w:r w:rsidR="00E2448C">
        <w:t>.</w:t>
      </w:r>
      <w:bookmarkEnd w:id="33"/>
    </w:p>
    <w:p w14:paraId="17F3767F" w14:textId="11DC20BD" w:rsidR="00D04467" w:rsidRPr="0037719E" w:rsidRDefault="00D04467" w:rsidP="00D04467">
      <w:pPr>
        <w:pStyle w:val="Heading2"/>
        <w:rPr>
          <w:lang w:val="en-US"/>
        </w:rPr>
      </w:pPr>
      <w:bookmarkStart w:id="34" w:name="_Toc178961639"/>
      <w:r>
        <w:rPr>
          <w:lang w:val="en-US"/>
        </w:rPr>
        <w:t>Case with AI</w:t>
      </w:r>
      <w:r w:rsidR="00703205">
        <w:rPr>
          <w:lang w:val="en-US"/>
        </w:rPr>
        <w:t>/</w:t>
      </w:r>
      <w:r>
        <w:rPr>
          <w:lang w:val="en-US"/>
        </w:rPr>
        <w:t>ML model hosted in the LMF (</w:t>
      </w:r>
      <w:r w:rsidR="008600BA">
        <w:rPr>
          <w:lang w:val="en-US"/>
        </w:rPr>
        <w:t xml:space="preserve">case </w:t>
      </w:r>
      <w:r>
        <w:rPr>
          <w:lang w:val="en-US"/>
        </w:rPr>
        <w:t>3b)</w:t>
      </w:r>
      <w:bookmarkEnd w:id="34"/>
    </w:p>
    <w:p w14:paraId="6EE82E65" w14:textId="6D9BE9FC" w:rsidR="0064689C" w:rsidRDefault="00D04467" w:rsidP="00FE0482">
      <w:r>
        <w:t>For</w:t>
      </w:r>
      <w:r w:rsidR="000D22B1">
        <w:t xml:space="preserve"> model inference of</w:t>
      </w:r>
      <w:r>
        <w:t xml:space="preserve"> </w:t>
      </w:r>
      <w:r w:rsidR="000D22B1">
        <w:t>C</w:t>
      </w:r>
      <w:r>
        <w:t xml:space="preserve">ase 2b and 3b, the LMF requests measurements and </w:t>
      </w:r>
      <w:r w:rsidR="00133062">
        <w:t>runs it</w:t>
      </w:r>
      <w:r w:rsidR="000D22B1">
        <w:t>s</w:t>
      </w:r>
      <w:r w:rsidR="00133062">
        <w:t xml:space="preserve"> own model. </w:t>
      </w:r>
      <w:r w:rsidR="0064689C">
        <w:t xml:space="preserve"> </w:t>
      </w:r>
    </w:p>
    <w:p w14:paraId="6CBF29B1" w14:textId="226E4172" w:rsidR="006C2536" w:rsidRDefault="0064689C" w:rsidP="00FE0482">
      <w:r>
        <w:t xml:space="preserve">For </w:t>
      </w:r>
      <w:r w:rsidR="000D22B1">
        <w:t>C</w:t>
      </w:r>
      <w:r>
        <w:t>ase 3b, the framework in RAN3 is flexible enough to be reused</w:t>
      </w:r>
      <w:r w:rsidR="000D22B1">
        <w:t>. H</w:t>
      </w:r>
      <w:r w:rsidR="0002459D">
        <w:t xml:space="preserve">owever, for sample based reporting, the </w:t>
      </w:r>
      <w:r w:rsidR="003175DC">
        <w:t>gNB  behaviour should be clarified</w:t>
      </w:r>
      <w:r w:rsidR="000D22B1">
        <w:t>,</w:t>
      </w:r>
      <w:r w:rsidR="003C14B5">
        <w:t xml:space="preserve"> i.e. how the LMF request</w:t>
      </w:r>
      <w:r w:rsidR="002B65AA">
        <w:t>s</w:t>
      </w:r>
      <w:r w:rsidR="003C14B5">
        <w:t xml:space="preserve"> sample</w:t>
      </w:r>
      <w:r w:rsidR="000D22B1">
        <w:t>-</w:t>
      </w:r>
      <w:r w:rsidR="003C14B5">
        <w:t xml:space="preserve">based measurements. </w:t>
      </w:r>
      <w:r w:rsidR="00170EC3">
        <w:t xml:space="preserve"> From the RAN1 perspective, it </w:t>
      </w:r>
      <w:r w:rsidR="00170EC3">
        <w:lastRenderedPageBreak/>
        <w:t xml:space="preserve">should be sufficient to </w:t>
      </w:r>
      <w:r w:rsidR="00D14BD5">
        <w:t xml:space="preserve">assume a separate procedure, specific to </w:t>
      </w:r>
      <w:r w:rsidR="000D22B1">
        <w:t>C</w:t>
      </w:r>
      <w:r w:rsidR="00D14BD5">
        <w:t>ase 3b, is used</w:t>
      </w:r>
      <w:r w:rsidR="000D22B1">
        <w:t xml:space="preserve"> to support sample-based measurements</w:t>
      </w:r>
      <w:r w:rsidR="006C2536">
        <w:t xml:space="preserve">. How the procedure is implemented is up to RAN3. </w:t>
      </w:r>
    </w:p>
    <w:p w14:paraId="529687D2" w14:textId="676ED5C5" w:rsidR="00CA1FF0" w:rsidRDefault="00CA1FF0" w:rsidP="000D22B1">
      <w:pPr>
        <w:pStyle w:val="Proposal"/>
        <w:tabs>
          <w:tab w:val="clear" w:pos="1304"/>
        </w:tabs>
        <w:ind w:left="1701" w:hanging="1701"/>
      </w:pPr>
      <w:bookmarkStart w:id="35" w:name="_Toc178961885"/>
      <w:r>
        <w:t xml:space="preserve">RAN1 assumes </w:t>
      </w:r>
      <w:r w:rsidRPr="0037719E">
        <w:t xml:space="preserve">Case </w:t>
      </w:r>
      <w:r>
        <w:t>3b</w:t>
      </w:r>
      <w:r w:rsidRPr="0037719E">
        <w:t xml:space="preserve"> </w:t>
      </w:r>
      <w:r w:rsidR="003B0D71">
        <w:t xml:space="preserve">with </w:t>
      </w:r>
      <w:r w:rsidR="002B65AA">
        <w:t>sample-based</w:t>
      </w:r>
      <w:r w:rsidR="003B0D71">
        <w:t xml:space="preserve"> reporting </w:t>
      </w:r>
      <w:r w:rsidRPr="0037719E">
        <w:t>should be supported using</w:t>
      </w:r>
      <w:r>
        <w:t xml:space="preserve"> </w:t>
      </w:r>
      <w:r w:rsidR="003B0D71">
        <w:t>a separate procedure</w:t>
      </w:r>
      <w:r w:rsidR="00A4248E">
        <w:t xml:space="preserve"> from </w:t>
      </w:r>
      <w:r w:rsidR="008D1781">
        <w:t xml:space="preserve">legacy UL RTOA </w:t>
      </w:r>
      <w:r w:rsidR="002B65AA">
        <w:t xml:space="preserve">and </w:t>
      </w:r>
      <w:r w:rsidR="002B65AA" w:rsidRPr="002B65AA">
        <w:t>gNB RxTx</w:t>
      </w:r>
      <w:r w:rsidR="002B65AA">
        <w:t>T</w:t>
      </w:r>
      <w:r w:rsidR="002B65AA" w:rsidRPr="002B65AA">
        <w:t>ime</w:t>
      </w:r>
      <w:r w:rsidR="002B65AA">
        <w:t>D</w:t>
      </w:r>
      <w:r w:rsidR="002B65AA" w:rsidRPr="002B65AA">
        <w:t xml:space="preserve">iff </w:t>
      </w:r>
      <w:r w:rsidR="008D1781">
        <w:t>reporting</w:t>
      </w:r>
      <w:r w:rsidR="0035415D">
        <w:t xml:space="preserve"> for measurement reporting for model input</w:t>
      </w:r>
      <w:r w:rsidR="000D22B1">
        <w:t>. RAN1 c</w:t>
      </w:r>
      <w:r w:rsidRPr="0037719E">
        <w:t>onfirm the understanding with RAN2</w:t>
      </w:r>
      <w:r>
        <w:t xml:space="preserve"> and RAN3</w:t>
      </w:r>
      <w:r w:rsidR="000D22B1">
        <w:t>.</w:t>
      </w:r>
      <w:bookmarkEnd w:id="35"/>
    </w:p>
    <w:p w14:paraId="7E90397E" w14:textId="499DB7DE" w:rsidR="001B0F2D" w:rsidRPr="0081078D" w:rsidRDefault="0081078D" w:rsidP="001B0F2D">
      <w:pPr>
        <w:pStyle w:val="Heading1"/>
        <w:rPr>
          <w:lang w:val="en-US"/>
        </w:rPr>
      </w:pPr>
      <w:bookmarkStart w:id="36" w:name="_Toc178704934"/>
      <w:bookmarkStart w:id="37" w:name="_Toc178705836"/>
      <w:bookmarkStart w:id="38" w:name="_Toc178708814"/>
      <w:bookmarkStart w:id="39" w:name="_Toc178772536"/>
      <w:bookmarkStart w:id="40" w:name="_Toc178929510"/>
      <w:bookmarkStart w:id="41" w:name="_Toc178704935"/>
      <w:bookmarkStart w:id="42" w:name="_Toc178705837"/>
      <w:bookmarkStart w:id="43" w:name="_Toc178708815"/>
      <w:bookmarkStart w:id="44" w:name="_Toc178772537"/>
      <w:bookmarkStart w:id="45" w:name="_Toc178929511"/>
      <w:bookmarkStart w:id="46" w:name="_Toc178704936"/>
      <w:bookmarkStart w:id="47" w:name="_Toc178705838"/>
      <w:bookmarkStart w:id="48" w:name="_Toc178708816"/>
      <w:bookmarkStart w:id="49" w:name="_Toc178772538"/>
      <w:bookmarkStart w:id="50" w:name="_Toc178929512"/>
      <w:bookmarkStart w:id="51" w:name="_Toc178961640"/>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Pr="00E215F0">
        <w:rPr>
          <w:lang w:val="en-US"/>
        </w:rPr>
        <w:t>Signaling enhancement for model input</w:t>
      </w:r>
      <w:r>
        <w:rPr>
          <w:lang w:val="en-US"/>
        </w:rPr>
        <w:t>s</w:t>
      </w:r>
      <w:bookmarkEnd w:id="2"/>
      <w:bookmarkEnd w:id="51"/>
    </w:p>
    <w:p w14:paraId="1ED4CA70" w14:textId="31788A3C" w:rsidR="0018196F" w:rsidRDefault="00F5693F" w:rsidP="0018196F">
      <w:r>
        <w:t>In th</w:t>
      </w:r>
      <w:r w:rsidR="00963C8B">
        <w:t>is</w:t>
      </w:r>
      <w:r>
        <w:t xml:space="preserve"> </w:t>
      </w:r>
      <w:r w:rsidR="008A5F27">
        <w:t>Section</w:t>
      </w:r>
      <w:r>
        <w:t xml:space="preserve">, we </w:t>
      </w:r>
      <w:r w:rsidR="00963C8B">
        <w:t>investigate the issues</w:t>
      </w:r>
      <w:r w:rsidR="009C07F3">
        <w:t xml:space="preserve"> related to model input.</w:t>
      </w:r>
      <w:r w:rsidR="00397CA4">
        <w:t xml:space="preserve"> </w:t>
      </w:r>
      <w:r w:rsidR="00A63A8D">
        <w:t xml:space="preserve">We </w:t>
      </w:r>
      <w:r w:rsidR="0007370E">
        <w:t xml:space="preserve">first </w:t>
      </w:r>
      <w:r w:rsidR="00A63A8D">
        <w:t>note that, f</w:t>
      </w:r>
      <w:r w:rsidR="0018196F">
        <w:t xml:space="preserve">or the </w:t>
      </w:r>
      <w:r w:rsidR="00950A13">
        <w:t xml:space="preserve">following two </w:t>
      </w:r>
      <w:r w:rsidR="0018196F">
        <w:t>positioning cases</w:t>
      </w:r>
      <w:r w:rsidR="00950A13">
        <w:t xml:space="preserve"> with UE-side model</w:t>
      </w:r>
      <w:r w:rsidR="0018196F">
        <w:t>:</w:t>
      </w:r>
    </w:p>
    <w:p w14:paraId="1D6F9995" w14:textId="77777777" w:rsidR="00950A13" w:rsidRPr="00E215F0" w:rsidRDefault="00950A13" w:rsidP="00863182">
      <w:pPr>
        <w:pStyle w:val="ListParagraph"/>
        <w:numPr>
          <w:ilvl w:val="0"/>
          <w:numId w:val="19"/>
        </w:numPr>
      </w:pPr>
      <w:r w:rsidRPr="00E215F0">
        <w:t>(1st priority) Case 1: UE-based positioning with UE-side model, direct AI/ML positioning</w:t>
      </w:r>
    </w:p>
    <w:p w14:paraId="6466E5F4" w14:textId="77777777" w:rsidR="0018196F" w:rsidRPr="00E215F0" w:rsidRDefault="0018196F" w:rsidP="00863182">
      <w:pPr>
        <w:pStyle w:val="ListParagraph"/>
        <w:numPr>
          <w:ilvl w:val="0"/>
          <w:numId w:val="19"/>
        </w:numPr>
      </w:pPr>
      <w:r w:rsidRPr="00E215F0">
        <w:t>(2nd priority) Case 2a: UE-assisted/LMF-based positioning with UE-side model, AI/ML assisted positioning</w:t>
      </w:r>
    </w:p>
    <w:p w14:paraId="58132874" w14:textId="273F5AF2" w:rsidR="00B01843" w:rsidRDefault="0018196F" w:rsidP="0018196F">
      <w:r>
        <w:t xml:space="preserve">the measurement </w:t>
      </w:r>
      <w:r w:rsidR="00950A13">
        <w:t>generation process is</w:t>
      </w:r>
      <w:r>
        <w:t xml:space="preserve"> collocated with the AI/ML models. The exact details of the model inputs are </w:t>
      </w:r>
      <w:r w:rsidR="00CC49C1">
        <w:t xml:space="preserve">largely </w:t>
      </w:r>
      <w:r>
        <w:t>implementation issues.</w:t>
      </w:r>
      <w:r w:rsidR="00CC49C1">
        <w:t xml:space="preserve"> There is no need to specify model input for </w:t>
      </w:r>
      <w:r w:rsidR="006E3734">
        <w:t xml:space="preserve">model </w:t>
      </w:r>
      <w:r w:rsidR="00CC49C1">
        <w:t>inference stage. Whether model input need any specification work for training data collection can be further discussed.</w:t>
      </w:r>
    </w:p>
    <w:p w14:paraId="4AA6473F" w14:textId="1B9795F8" w:rsidR="00B247BF" w:rsidRDefault="00D30D12" w:rsidP="00F17FE1">
      <w:pPr>
        <w:pStyle w:val="Observation"/>
      </w:pPr>
      <w:bookmarkStart w:id="52" w:name="_Toc161827802"/>
      <w:bookmarkStart w:id="53" w:name="_Toc178961832"/>
      <w:r>
        <w:t xml:space="preserve">For </w:t>
      </w:r>
      <w:r w:rsidR="00AB594E">
        <w:t>C</w:t>
      </w:r>
      <w:r>
        <w:t>ase 1/2a</w:t>
      </w:r>
      <w:r w:rsidR="007061D5">
        <w:t xml:space="preserve"> (</w:t>
      </w:r>
      <w:r w:rsidR="00FE19CB">
        <w:t xml:space="preserve">i.e., </w:t>
      </w:r>
      <w:r w:rsidR="007061D5">
        <w:t>UE-side model),</w:t>
      </w:r>
      <w:r>
        <w:t xml:space="preserve"> channel </w:t>
      </w:r>
      <w:r w:rsidR="007061D5">
        <w:t>measurement generation process is</w:t>
      </w:r>
      <w:r>
        <w:t xml:space="preserve"> collocated </w:t>
      </w:r>
      <w:r w:rsidR="009D2FAD">
        <w:t xml:space="preserve">in the same node </w:t>
      </w:r>
      <w:r>
        <w:t xml:space="preserve">with the AI/ML models. </w:t>
      </w:r>
      <w:r w:rsidR="00084935">
        <w:t xml:space="preserve">The exact details of the model inputs are implementation issues </w:t>
      </w:r>
      <w:r w:rsidR="004B42C5">
        <w:t xml:space="preserve">at least </w:t>
      </w:r>
      <w:r w:rsidR="00CC49C1">
        <w:t>for model inference</w:t>
      </w:r>
      <w:r w:rsidR="00084935">
        <w:t>.</w:t>
      </w:r>
      <w:bookmarkEnd w:id="52"/>
      <w:bookmarkEnd w:id="53"/>
    </w:p>
    <w:p w14:paraId="22535CAC" w14:textId="29EC3BE1" w:rsidR="0018196F" w:rsidRDefault="0018196F" w:rsidP="0018196F">
      <w:r>
        <w:t xml:space="preserve">For the two </w:t>
      </w:r>
      <w:r w:rsidR="007061D5">
        <w:t xml:space="preserve">direct </w:t>
      </w:r>
      <w:r>
        <w:t>AI/ML positioning cases:</w:t>
      </w:r>
    </w:p>
    <w:p w14:paraId="13601CD4" w14:textId="77777777" w:rsidR="00373428" w:rsidRPr="00E215F0" w:rsidRDefault="00373428" w:rsidP="00863182">
      <w:pPr>
        <w:pStyle w:val="ListParagraph"/>
        <w:numPr>
          <w:ilvl w:val="0"/>
          <w:numId w:val="19"/>
        </w:numPr>
      </w:pPr>
      <w:r w:rsidRPr="00E215F0">
        <w:t>(1st priority) Case 3b: NG-RAN node assisted positioning with LMF-side model, direct AI/ML positioning</w:t>
      </w:r>
    </w:p>
    <w:p w14:paraId="7316FB89" w14:textId="77777777" w:rsidR="0018196F" w:rsidRPr="00E215F0" w:rsidRDefault="0018196F" w:rsidP="00863182">
      <w:pPr>
        <w:pStyle w:val="ListParagraph"/>
        <w:numPr>
          <w:ilvl w:val="0"/>
          <w:numId w:val="19"/>
        </w:numPr>
      </w:pPr>
      <w:r w:rsidRPr="00E215F0">
        <w:t>(2nd priority) Case 2b: UE-assisted/LMF-based positioning with LMF-side model, direct AI/ML positioning</w:t>
      </w:r>
    </w:p>
    <w:p w14:paraId="0DD47746" w14:textId="7F35205F" w:rsidR="008D5D26" w:rsidRDefault="0018196F" w:rsidP="0018196F">
      <w:r>
        <w:t xml:space="preserve">the measurements obtained at one node </w:t>
      </w:r>
      <w:r w:rsidR="00AC5470">
        <w:t xml:space="preserve">(i.e., gNB or UE) </w:t>
      </w:r>
      <w:r>
        <w:t xml:space="preserve">need to be </w:t>
      </w:r>
      <w:r w:rsidR="007061D5">
        <w:t>signaled</w:t>
      </w:r>
      <w:r>
        <w:t xml:space="preserve"> to a second node</w:t>
      </w:r>
      <w:r w:rsidR="00BD4BF0">
        <w:t xml:space="preserve"> (i.e., LMF)</w:t>
      </w:r>
      <w:r>
        <w:t xml:space="preserve"> that applies the AI/ML models.</w:t>
      </w:r>
      <w:r w:rsidR="0087009F">
        <w:t xml:space="preserve"> Thus model input need to be specified at least for Case 3b/2b</w:t>
      </w:r>
      <w:r w:rsidR="00EF2CE5">
        <w:t>, and there is a need to clarify the model input formats</w:t>
      </w:r>
      <w:r w:rsidR="0087009F">
        <w:t>.</w:t>
      </w:r>
      <w:r w:rsidR="00034C3C">
        <w:t xml:space="preserve"> </w:t>
      </w:r>
    </w:p>
    <w:p w14:paraId="29ECE70A" w14:textId="17EA7F30" w:rsidR="008D5D26" w:rsidRDefault="008D5D26" w:rsidP="00F17FE1">
      <w:pPr>
        <w:pStyle w:val="Observation"/>
      </w:pPr>
      <w:bookmarkStart w:id="54" w:name="_Toc161827803"/>
      <w:bookmarkStart w:id="55" w:name="_Toc178961833"/>
      <w:r>
        <w:t xml:space="preserve">For Case 3b (1st priority) and Case 2b (2nd priority), </w:t>
      </w:r>
      <w:r w:rsidR="002F1168">
        <w:t xml:space="preserve">due to the LMF sided </w:t>
      </w:r>
      <w:r w:rsidR="00C724BB">
        <w:t xml:space="preserve">model, </w:t>
      </w:r>
      <w:r>
        <w:t>there is a need to clarify the target model input formats to be supported</w:t>
      </w:r>
      <w:r w:rsidR="00A26B79">
        <w:t xml:space="preserve"> </w:t>
      </w:r>
      <w:r w:rsidR="005E33CA">
        <w:t xml:space="preserve">for the </w:t>
      </w:r>
      <w:r w:rsidR="00B4685A">
        <w:t>AI/ML positioning models</w:t>
      </w:r>
      <w:r>
        <w:t>.</w:t>
      </w:r>
      <w:bookmarkEnd w:id="54"/>
      <w:bookmarkEnd w:id="55"/>
    </w:p>
    <w:p w14:paraId="36B2B3C8" w14:textId="68806D10" w:rsidR="00F16396" w:rsidRDefault="00A644F5" w:rsidP="0018196F">
      <w:r>
        <w:t>For the 1</w:t>
      </w:r>
      <w:r w:rsidRPr="00DC32F9">
        <w:rPr>
          <w:vertAlign w:val="superscript"/>
        </w:rPr>
        <w:t>st</w:t>
      </w:r>
      <w:r>
        <w:t xml:space="preserve"> priority Case 3a, the need to specify channel measurements for model input depends on the node that hosts the AI/ML model, as discussed in section </w:t>
      </w:r>
      <w:r w:rsidR="00D13F25">
        <w:t>3.7</w:t>
      </w:r>
      <w:r>
        <w:t xml:space="preserve">. If the need is confirmed by RAN3, the </w:t>
      </w:r>
      <w:r w:rsidR="0047624F">
        <w:t xml:space="preserve">same </w:t>
      </w:r>
      <w:r>
        <w:t>design choices made for Case 2b/3b can be applied to Case 3a as well. Thus RAN1 can proceed with the model input discussion on Case 2b/3b.</w:t>
      </w:r>
    </w:p>
    <w:p w14:paraId="08155FFA" w14:textId="08E786E4" w:rsidR="00300C42" w:rsidRPr="00E215F0" w:rsidRDefault="00300C42" w:rsidP="00300C42">
      <w:pPr>
        <w:pStyle w:val="Heading2"/>
        <w:rPr>
          <w:lang w:val="en-US"/>
        </w:rPr>
      </w:pPr>
      <w:bookmarkStart w:id="56" w:name="_Toc178704938"/>
      <w:bookmarkStart w:id="57" w:name="_Toc178705840"/>
      <w:bookmarkStart w:id="58" w:name="_Toc178708818"/>
      <w:bookmarkStart w:id="59" w:name="_Toc178772540"/>
      <w:bookmarkStart w:id="60" w:name="_Toc178704939"/>
      <w:bookmarkStart w:id="61" w:name="_Toc178705841"/>
      <w:bookmarkStart w:id="62" w:name="_Toc178708819"/>
      <w:bookmarkStart w:id="63" w:name="_Toc178772541"/>
      <w:bookmarkStart w:id="64" w:name="_Toc178704940"/>
      <w:bookmarkStart w:id="65" w:name="_Toc178705842"/>
      <w:bookmarkStart w:id="66" w:name="_Toc178708820"/>
      <w:bookmarkStart w:id="67" w:name="_Toc178772542"/>
      <w:bookmarkStart w:id="68" w:name="_Toc178704941"/>
      <w:bookmarkStart w:id="69" w:name="_Toc178705843"/>
      <w:bookmarkStart w:id="70" w:name="_Toc178708821"/>
      <w:bookmarkStart w:id="71" w:name="_Toc178772543"/>
      <w:bookmarkStart w:id="72" w:name="_Toc178704942"/>
      <w:bookmarkStart w:id="73" w:name="_Toc178705844"/>
      <w:bookmarkStart w:id="74" w:name="_Toc178708822"/>
      <w:bookmarkStart w:id="75" w:name="_Toc178772544"/>
      <w:bookmarkStart w:id="76" w:name="_Toc178704943"/>
      <w:bookmarkStart w:id="77" w:name="_Toc178705845"/>
      <w:bookmarkStart w:id="78" w:name="_Toc178708823"/>
      <w:bookmarkStart w:id="79" w:name="_Toc178772545"/>
      <w:bookmarkStart w:id="80" w:name="_Toc178704944"/>
      <w:bookmarkStart w:id="81" w:name="_Toc178705846"/>
      <w:bookmarkStart w:id="82" w:name="_Toc178708824"/>
      <w:bookmarkStart w:id="83" w:name="_Toc178772546"/>
      <w:bookmarkStart w:id="84" w:name="_Toc178704945"/>
      <w:bookmarkStart w:id="85" w:name="_Toc178705847"/>
      <w:bookmarkStart w:id="86" w:name="_Toc178708825"/>
      <w:bookmarkStart w:id="87" w:name="_Toc178772547"/>
      <w:bookmarkStart w:id="88" w:name="_Toc178704946"/>
      <w:bookmarkStart w:id="89" w:name="_Toc178705848"/>
      <w:bookmarkStart w:id="90" w:name="_Toc178708826"/>
      <w:bookmarkStart w:id="91" w:name="_Toc178772548"/>
      <w:bookmarkStart w:id="92" w:name="_Toc178704947"/>
      <w:bookmarkStart w:id="93" w:name="_Toc178705849"/>
      <w:bookmarkStart w:id="94" w:name="_Toc178708827"/>
      <w:bookmarkStart w:id="95" w:name="_Toc178772549"/>
      <w:bookmarkStart w:id="96" w:name="_Toc178704948"/>
      <w:bookmarkStart w:id="97" w:name="_Toc178705850"/>
      <w:bookmarkStart w:id="98" w:name="_Toc178708828"/>
      <w:bookmarkStart w:id="99" w:name="_Toc178772550"/>
      <w:bookmarkStart w:id="100" w:name="_Toc178704949"/>
      <w:bookmarkStart w:id="101" w:name="_Toc178705851"/>
      <w:bookmarkStart w:id="102" w:name="_Toc178708829"/>
      <w:bookmarkStart w:id="103" w:name="_Toc178772551"/>
      <w:bookmarkStart w:id="104" w:name="_Toc178704950"/>
      <w:bookmarkStart w:id="105" w:name="_Toc178705852"/>
      <w:bookmarkStart w:id="106" w:name="_Toc178708830"/>
      <w:bookmarkStart w:id="107" w:name="_Toc178772552"/>
      <w:bookmarkStart w:id="108" w:name="_Toc178704951"/>
      <w:bookmarkStart w:id="109" w:name="_Toc178705853"/>
      <w:bookmarkStart w:id="110" w:name="_Toc178708831"/>
      <w:bookmarkStart w:id="111" w:name="_Toc178772553"/>
      <w:bookmarkStart w:id="112" w:name="_Toc178704952"/>
      <w:bookmarkStart w:id="113" w:name="_Toc178705854"/>
      <w:bookmarkStart w:id="114" w:name="_Toc178708832"/>
      <w:bookmarkStart w:id="115" w:name="_Toc178772554"/>
      <w:bookmarkStart w:id="116" w:name="_Toc178704953"/>
      <w:bookmarkStart w:id="117" w:name="_Toc178705855"/>
      <w:bookmarkStart w:id="118" w:name="_Toc178708833"/>
      <w:bookmarkStart w:id="119" w:name="_Toc178772555"/>
      <w:bookmarkStart w:id="120" w:name="_Toc178704954"/>
      <w:bookmarkStart w:id="121" w:name="_Toc178705856"/>
      <w:bookmarkStart w:id="122" w:name="_Toc178708834"/>
      <w:bookmarkStart w:id="123" w:name="_Toc178772556"/>
      <w:bookmarkStart w:id="124" w:name="_Toc178704955"/>
      <w:bookmarkStart w:id="125" w:name="_Toc178705857"/>
      <w:bookmarkStart w:id="126" w:name="_Toc178708835"/>
      <w:bookmarkStart w:id="127" w:name="_Toc178772557"/>
      <w:bookmarkStart w:id="128" w:name="_Toc178704956"/>
      <w:bookmarkStart w:id="129" w:name="_Toc178705858"/>
      <w:bookmarkStart w:id="130" w:name="_Toc178708836"/>
      <w:bookmarkStart w:id="131" w:name="_Toc178772558"/>
      <w:bookmarkStart w:id="132" w:name="_Toc178704957"/>
      <w:bookmarkStart w:id="133" w:name="_Toc178705859"/>
      <w:bookmarkStart w:id="134" w:name="_Toc178708837"/>
      <w:bookmarkStart w:id="135" w:name="_Toc178772559"/>
      <w:bookmarkStart w:id="136" w:name="_Toc178704958"/>
      <w:bookmarkStart w:id="137" w:name="_Toc178705860"/>
      <w:bookmarkStart w:id="138" w:name="_Toc178708838"/>
      <w:bookmarkStart w:id="139" w:name="_Toc178772560"/>
      <w:bookmarkStart w:id="140" w:name="_Toc178704959"/>
      <w:bookmarkStart w:id="141" w:name="_Toc178705861"/>
      <w:bookmarkStart w:id="142" w:name="_Toc178708839"/>
      <w:bookmarkStart w:id="143" w:name="_Toc178772561"/>
      <w:bookmarkStart w:id="144" w:name="_Toc178704960"/>
      <w:bookmarkStart w:id="145" w:name="_Toc178705862"/>
      <w:bookmarkStart w:id="146" w:name="_Toc178708840"/>
      <w:bookmarkStart w:id="147" w:name="_Toc178772562"/>
      <w:bookmarkStart w:id="148" w:name="_Toc178704961"/>
      <w:bookmarkStart w:id="149" w:name="_Toc178705863"/>
      <w:bookmarkStart w:id="150" w:name="_Toc178708841"/>
      <w:bookmarkStart w:id="151" w:name="_Toc178772563"/>
      <w:bookmarkStart w:id="152" w:name="_Toc178704962"/>
      <w:bookmarkStart w:id="153" w:name="_Toc178705864"/>
      <w:bookmarkStart w:id="154" w:name="_Toc178708842"/>
      <w:bookmarkStart w:id="155" w:name="_Toc178772564"/>
      <w:bookmarkStart w:id="156" w:name="_Toc178704963"/>
      <w:bookmarkStart w:id="157" w:name="_Toc178705865"/>
      <w:bookmarkStart w:id="158" w:name="_Toc178708843"/>
      <w:bookmarkStart w:id="159" w:name="_Toc178772565"/>
      <w:bookmarkStart w:id="160" w:name="_Toc178704964"/>
      <w:bookmarkStart w:id="161" w:name="_Toc178705866"/>
      <w:bookmarkStart w:id="162" w:name="_Toc178708844"/>
      <w:bookmarkStart w:id="163" w:name="_Toc178772566"/>
      <w:bookmarkStart w:id="164" w:name="_Toc178704965"/>
      <w:bookmarkStart w:id="165" w:name="_Toc178705867"/>
      <w:bookmarkStart w:id="166" w:name="_Toc178708845"/>
      <w:bookmarkStart w:id="167" w:name="_Toc178772567"/>
      <w:bookmarkStart w:id="168" w:name="_Toc178704966"/>
      <w:bookmarkStart w:id="169" w:name="_Toc178705868"/>
      <w:bookmarkStart w:id="170" w:name="_Toc178708846"/>
      <w:bookmarkStart w:id="171" w:name="_Toc178772568"/>
      <w:bookmarkStart w:id="172" w:name="_Toc173940875"/>
      <w:bookmarkStart w:id="173" w:name="_Toc173940876"/>
      <w:bookmarkStart w:id="174" w:name="_Toc173940877"/>
      <w:bookmarkStart w:id="175" w:name="_Toc173940878"/>
      <w:bookmarkStart w:id="176" w:name="_Toc178704967"/>
      <w:bookmarkStart w:id="177" w:name="_Toc178705869"/>
      <w:bookmarkStart w:id="178" w:name="_Toc178708847"/>
      <w:bookmarkStart w:id="179" w:name="_Toc178772569"/>
      <w:bookmarkStart w:id="180" w:name="_Toc166157491"/>
      <w:bookmarkStart w:id="181" w:name="_Toc166157492"/>
      <w:bookmarkStart w:id="182" w:name="_Toc166157493"/>
      <w:bookmarkStart w:id="183" w:name="_Toc166157494"/>
      <w:bookmarkStart w:id="184" w:name="_Toc166157495"/>
      <w:bookmarkStart w:id="185" w:name="_Toc166157496"/>
      <w:bookmarkStart w:id="186" w:name="_Toc166157497"/>
      <w:bookmarkStart w:id="187" w:name="_Toc166157498"/>
      <w:bookmarkStart w:id="188" w:name="_Toc166157499"/>
      <w:bookmarkStart w:id="189" w:name="_Toc166157500"/>
      <w:bookmarkStart w:id="190" w:name="_Ref163135552"/>
      <w:bookmarkStart w:id="191" w:name="_Toc165990977"/>
      <w:bookmarkStart w:id="192" w:name="_Toc178961641"/>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t>S</w:t>
      </w:r>
      <w:r w:rsidRPr="000E1EE7">
        <w:t xml:space="preserve">ample-based </w:t>
      </w:r>
      <w:r>
        <w:t xml:space="preserve">vs path-based </w:t>
      </w:r>
      <w:r w:rsidRPr="000E1EE7">
        <w:t>measurements</w:t>
      </w:r>
      <w:bookmarkEnd w:id="190"/>
      <w:bookmarkEnd w:id="192"/>
    </w:p>
    <w:bookmarkEnd w:id="191"/>
    <w:p w14:paraId="6355C678" w14:textId="1DA76A32" w:rsidR="005B0946" w:rsidRDefault="005B0946" w:rsidP="005B0946">
      <w:r>
        <w:t>In RAN1#116, it was agreed to investigate the way timing information was conveyed, i.e., sample-based vs path-based measurements:</w:t>
      </w:r>
    </w:p>
    <w:tbl>
      <w:tblPr>
        <w:tblStyle w:val="TableGrid"/>
        <w:tblW w:w="0" w:type="auto"/>
        <w:tblLook w:val="04A0" w:firstRow="1" w:lastRow="0" w:firstColumn="1" w:lastColumn="0" w:noHBand="0" w:noVBand="1"/>
      </w:tblPr>
      <w:tblGrid>
        <w:gridCol w:w="9962"/>
      </w:tblGrid>
      <w:tr w:rsidR="005B0946" w14:paraId="5D05502C" w14:textId="77777777" w:rsidTr="00E06AD0">
        <w:tc>
          <w:tcPr>
            <w:tcW w:w="9962" w:type="dxa"/>
          </w:tcPr>
          <w:p w14:paraId="6CABD51D" w14:textId="77777777" w:rsidR="005B0946" w:rsidRPr="00DF2B5B" w:rsidRDefault="005B0946" w:rsidP="00E06AD0">
            <w:pPr>
              <w:rPr>
                <w:rFonts w:ascii="Times" w:eastAsia="DengXian" w:hAnsi="Times"/>
                <w:b/>
                <w:bCs/>
                <w:sz w:val="18"/>
                <w:szCs w:val="18"/>
                <w:highlight w:val="green"/>
                <w:lang w:val="en-GB"/>
              </w:rPr>
            </w:pPr>
            <w:r w:rsidRPr="00DF2B5B">
              <w:rPr>
                <w:rFonts w:ascii="Times" w:eastAsia="DengXian" w:hAnsi="Times" w:hint="eastAsia"/>
                <w:b/>
                <w:bCs/>
                <w:sz w:val="18"/>
                <w:szCs w:val="18"/>
                <w:highlight w:val="green"/>
                <w:lang w:val="en-GB"/>
              </w:rPr>
              <w:t>A</w:t>
            </w:r>
            <w:r w:rsidRPr="00DF2B5B">
              <w:rPr>
                <w:rFonts w:ascii="Times" w:eastAsia="DengXian" w:hAnsi="Times"/>
                <w:b/>
                <w:bCs/>
                <w:sz w:val="18"/>
                <w:szCs w:val="18"/>
                <w:highlight w:val="green"/>
                <w:lang w:val="en-GB"/>
              </w:rPr>
              <w:t>greement</w:t>
            </w:r>
          </w:p>
          <w:p w14:paraId="171BAC7A" w14:textId="77777777" w:rsidR="005B0946" w:rsidRPr="00DF2B5B" w:rsidRDefault="005B0946" w:rsidP="00E06AD0">
            <w:pPr>
              <w:rPr>
                <w:rFonts w:ascii="Times" w:eastAsia="Batang" w:hAnsi="Times"/>
                <w:sz w:val="18"/>
                <w:szCs w:val="18"/>
                <w:lang w:val="en-GB"/>
              </w:rPr>
            </w:pPr>
            <w:r w:rsidRPr="00DF2B5B">
              <w:rPr>
                <w:rFonts w:ascii="Times" w:eastAsia="Batang" w:hAnsi="Times"/>
                <w:sz w:val="18"/>
                <w:szCs w:val="18"/>
                <w:lang w:val="en-GB"/>
              </w:rPr>
              <w:t>In Rel-19 AI/ML based positioning, regarding the time domain channel measurements, RAN1 investigate the following alternatives:</w:t>
            </w:r>
          </w:p>
          <w:p w14:paraId="1BB49060" w14:textId="77777777" w:rsidR="005B0946" w:rsidRPr="00DF2B5B" w:rsidRDefault="005B0946" w:rsidP="00D35F36">
            <w:pPr>
              <w:widowControl w:val="0"/>
              <w:numPr>
                <w:ilvl w:val="3"/>
                <w:numId w:val="46"/>
              </w:numPr>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Alternative (a).  Sample-based measurements, where the timing information is an integer multiple of sampling periods. </w:t>
            </w:r>
          </w:p>
          <w:p w14:paraId="7913745C" w14:textId="77777777" w:rsidR="005B0946" w:rsidRPr="00DF2B5B" w:rsidRDefault="005B0946" w:rsidP="00D35F36">
            <w:pPr>
              <w:widowControl w:val="0"/>
              <w:numPr>
                <w:ilvl w:val="3"/>
                <w:numId w:val="46"/>
              </w:numPr>
              <w:ind w:left="720"/>
              <w:rPr>
                <w:rFonts w:ascii="Times" w:eastAsia="Batang" w:hAnsi="Times"/>
                <w:sz w:val="18"/>
                <w:szCs w:val="18"/>
                <w:lang w:val="en-GB" w:eastAsia="x-none"/>
              </w:rPr>
            </w:pPr>
            <w:r w:rsidRPr="00DF2B5B">
              <w:rPr>
                <w:rFonts w:ascii="Times" w:eastAsia="Batang" w:hAnsi="Times"/>
                <w:sz w:val="18"/>
                <w:szCs w:val="18"/>
                <w:lang w:val="en-GB" w:eastAsia="x-none"/>
              </w:rPr>
              <w:t>Alternative (b).  Path-based measurements, where the timing information is according to the detected path timing and may not be an integer multiple of sampling periods.</w:t>
            </w:r>
          </w:p>
          <w:p w14:paraId="7A63E42E" w14:textId="77777777" w:rsidR="005B0946" w:rsidRPr="00DF2B5B" w:rsidRDefault="005B0946" w:rsidP="00E06AD0">
            <w:pPr>
              <w:rPr>
                <w:rFonts w:ascii="Times" w:eastAsia="Batang" w:hAnsi="Times"/>
                <w:sz w:val="18"/>
                <w:szCs w:val="18"/>
                <w:lang w:val="en-GB"/>
              </w:rPr>
            </w:pPr>
            <w:r w:rsidRPr="00DF2B5B">
              <w:rPr>
                <w:rFonts w:ascii="Times" w:eastAsia="Batang" w:hAnsi="Times"/>
                <w:sz w:val="18"/>
                <w:szCs w:val="18"/>
                <w:lang w:val="en-GB"/>
              </w:rPr>
              <w:t>The issues to be studied include, but not limited to, the following:</w:t>
            </w:r>
          </w:p>
          <w:p w14:paraId="6535B52A" w14:textId="77777777" w:rsidR="005B0946" w:rsidRPr="00DF2B5B" w:rsidRDefault="005B0946" w:rsidP="00D35F36">
            <w:pPr>
              <w:widowControl w:val="0"/>
              <w:numPr>
                <w:ilvl w:val="3"/>
                <w:numId w:val="46"/>
              </w:numPr>
              <w:ind w:left="720"/>
              <w:rPr>
                <w:rFonts w:ascii="Times" w:eastAsia="Batang" w:hAnsi="Times"/>
                <w:sz w:val="18"/>
                <w:szCs w:val="18"/>
                <w:lang w:val="en-GB" w:eastAsia="x-none"/>
              </w:rPr>
            </w:pPr>
            <w:r w:rsidRPr="00DF2B5B">
              <w:rPr>
                <w:rFonts w:ascii="Times" w:eastAsia="Batang" w:hAnsi="Times"/>
                <w:sz w:val="18"/>
                <w:szCs w:val="18"/>
                <w:lang w:val="en-GB" w:eastAsia="x-none"/>
              </w:rPr>
              <w:t>Tradeoff of positioning accuracy and signaling overhead</w:t>
            </w:r>
          </w:p>
          <w:p w14:paraId="58740138" w14:textId="77777777" w:rsidR="005B0946" w:rsidRPr="00DF2B5B" w:rsidRDefault="005B0946" w:rsidP="00D35F36">
            <w:pPr>
              <w:widowControl w:val="0"/>
              <w:numPr>
                <w:ilvl w:val="3"/>
                <w:numId w:val="46"/>
              </w:numPr>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Impact and necessary details of gNB/UE implementation to obtain the channel measurement values. </w:t>
            </w:r>
          </w:p>
          <w:p w14:paraId="755FAFEF" w14:textId="77777777" w:rsidR="005B0946" w:rsidRPr="00DF2B5B" w:rsidRDefault="005B0946" w:rsidP="00D35F36">
            <w:pPr>
              <w:widowControl w:val="0"/>
              <w:numPr>
                <w:ilvl w:val="3"/>
                <w:numId w:val="46"/>
              </w:numPr>
              <w:ind w:left="720"/>
              <w:rPr>
                <w:rFonts w:ascii="Times" w:eastAsia="Batang" w:hAnsi="Times"/>
                <w:sz w:val="18"/>
                <w:szCs w:val="18"/>
                <w:lang w:val="en-GB" w:eastAsia="x-none"/>
              </w:rPr>
            </w:pPr>
            <w:r w:rsidRPr="00DF2B5B">
              <w:rPr>
                <w:rFonts w:ascii="Times" w:eastAsia="Batang" w:hAnsi="Times"/>
                <w:sz w:val="18"/>
                <w:szCs w:val="18"/>
                <w:lang w:val="en-GB" w:eastAsia="x-none"/>
              </w:rPr>
              <w:t>Whether the same Alternative(s) applies to all cases</w:t>
            </w:r>
            <w:r w:rsidRPr="00DF2B5B">
              <w:rPr>
                <w:rFonts w:ascii="Times" w:eastAsia="Batang" w:hAnsi="Times"/>
                <w:sz w:val="18"/>
                <w:szCs w:val="18"/>
                <w:lang w:eastAsia="x-none"/>
              </w:rPr>
              <w:t xml:space="preserve"> </w:t>
            </w:r>
            <w:r w:rsidRPr="00DF2B5B">
              <w:rPr>
                <w:rFonts w:ascii="Times" w:eastAsia="Batang" w:hAnsi="Times"/>
                <w:sz w:val="18"/>
                <w:szCs w:val="18"/>
                <w:lang w:val="en-GB" w:eastAsia="x-none"/>
              </w:rPr>
              <w:t>or not</w:t>
            </w:r>
          </w:p>
          <w:p w14:paraId="72ED67EC" w14:textId="77777777" w:rsidR="005B0946" w:rsidRPr="00DF2B5B" w:rsidRDefault="005B0946" w:rsidP="00D35F36">
            <w:pPr>
              <w:widowControl w:val="0"/>
              <w:numPr>
                <w:ilvl w:val="3"/>
                <w:numId w:val="46"/>
              </w:numPr>
              <w:ind w:left="720"/>
              <w:rPr>
                <w:rFonts w:ascii="Times" w:eastAsia="Batang" w:hAnsi="Times"/>
                <w:sz w:val="18"/>
                <w:szCs w:val="18"/>
                <w:lang w:val="en-GB" w:eastAsia="x-none"/>
              </w:rPr>
            </w:pPr>
            <w:r w:rsidRPr="00DF2B5B">
              <w:rPr>
                <w:rFonts w:ascii="Times" w:eastAsia="Batang" w:hAnsi="Times"/>
                <w:sz w:val="18"/>
                <w:szCs w:val="18"/>
                <w:lang w:val="en-GB" w:eastAsia="x-none"/>
              </w:rPr>
              <w:t>Applicability and necessity of specifying the Alternative(s) to different cases</w:t>
            </w:r>
          </w:p>
          <w:p w14:paraId="18B8AB91" w14:textId="77777777" w:rsidR="005B0946" w:rsidRPr="00DF2B5B" w:rsidRDefault="005B0946" w:rsidP="00D35F36">
            <w:pPr>
              <w:widowControl w:val="0"/>
              <w:numPr>
                <w:ilvl w:val="3"/>
                <w:numId w:val="46"/>
              </w:numPr>
              <w:ind w:left="720"/>
              <w:rPr>
                <w:rFonts w:ascii="Times" w:eastAsia="Batang" w:hAnsi="Times"/>
                <w:sz w:val="18"/>
                <w:szCs w:val="18"/>
                <w:lang w:val="en-GB" w:eastAsia="x-none"/>
              </w:rPr>
            </w:pPr>
            <w:r w:rsidRPr="00DF2B5B">
              <w:rPr>
                <w:rFonts w:ascii="Times" w:eastAsia="Batang" w:hAnsi="Times"/>
                <w:sz w:val="18"/>
                <w:szCs w:val="18"/>
                <w:lang w:val="en-GB" w:eastAsia="x-none"/>
              </w:rPr>
              <w:lastRenderedPageBreak/>
              <w:t xml:space="preserve">Note: different sub-cases may have different issues. </w:t>
            </w:r>
          </w:p>
          <w:p w14:paraId="6A843C0A" w14:textId="7B4CB077" w:rsidR="005B0946" w:rsidRPr="00FE783F" w:rsidRDefault="005B0946" w:rsidP="00FE783F">
            <w:pPr>
              <w:rPr>
                <w:rFonts w:ascii="Times" w:eastAsia="Batang" w:hAnsi="Times"/>
                <w:sz w:val="18"/>
                <w:szCs w:val="18"/>
                <w:lang w:val="en-GB"/>
              </w:rPr>
            </w:pPr>
            <w:r w:rsidRPr="00DF2B5B">
              <w:rPr>
                <w:rFonts w:ascii="Times" w:eastAsia="Batang" w:hAnsi="Times"/>
                <w:sz w:val="18"/>
                <w:szCs w:val="18"/>
                <w:lang w:val="en-GB"/>
              </w:rPr>
              <w:t>Note: In addition to timing information, the components for the channel measurement for model input may also include power and potentially phase. To provide the type of the channel measurement in their investigation.</w:t>
            </w:r>
          </w:p>
        </w:tc>
      </w:tr>
    </w:tbl>
    <w:p w14:paraId="1B1131F0" w14:textId="77777777" w:rsidR="005B0946" w:rsidRDefault="005B0946" w:rsidP="005B0946"/>
    <w:p w14:paraId="62D512D1" w14:textId="7F7EDB34" w:rsidR="00F61ACF" w:rsidRDefault="003F35AD" w:rsidP="003F35AD">
      <w:r>
        <w:t xml:space="preserve">Evaluation results show </w:t>
      </w:r>
      <w:r w:rsidR="00A61FFF">
        <w:t xml:space="preserve">that, compared to path-based measurements, </w:t>
      </w:r>
      <w:r>
        <w:t xml:space="preserve">sample-based </w:t>
      </w:r>
      <w:r w:rsidR="00A61FFF">
        <w:t>measurements</w:t>
      </w:r>
      <w:r>
        <w:t xml:space="preserve"> </w:t>
      </w:r>
    </w:p>
    <w:p w14:paraId="6E0B9414" w14:textId="7B048778" w:rsidR="00F61ACF" w:rsidRDefault="003F35AD" w:rsidP="00D35F36">
      <w:pPr>
        <w:pStyle w:val="ListParagraph"/>
        <w:numPr>
          <w:ilvl w:val="0"/>
          <w:numId w:val="55"/>
        </w:numPr>
      </w:pPr>
      <w:r>
        <w:t xml:space="preserve">requires lower </w:t>
      </w:r>
      <w:r w:rsidR="00A61FFF">
        <w:t xml:space="preserve">receiver implementation </w:t>
      </w:r>
      <w:r>
        <w:t>complexity</w:t>
      </w:r>
      <w:r w:rsidR="00A61FFF">
        <w:t xml:space="preserve"> in the measurement node</w:t>
      </w:r>
      <w:r>
        <w:t xml:space="preserve">, </w:t>
      </w:r>
    </w:p>
    <w:p w14:paraId="0D368BDB" w14:textId="689738F1" w:rsidR="00F61ACF" w:rsidRDefault="003F35AD" w:rsidP="00D35F36">
      <w:pPr>
        <w:pStyle w:val="ListParagraph"/>
        <w:numPr>
          <w:ilvl w:val="0"/>
          <w:numId w:val="55"/>
        </w:numPr>
      </w:pPr>
      <w:r>
        <w:t>is more robust to measurement reports from different measurement node</w:t>
      </w:r>
      <w:r w:rsidR="00A61FFF">
        <w:t xml:space="preserve"> implementations</w:t>
      </w:r>
      <w:r>
        <w:t xml:space="preserve">, </w:t>
      </w:r>
    </w:p>
    <w:p w14:paraId="7246E978" w14:textId="36F94C56" w:rsidR="00F61ACF" w:rsidRDefault="003F35AD" w:rsidP="00D35F36">
      <w:pPr>
        <w:pStyle w:val="ListParagraph"/>
        <w:numPr>
          <w:ilvl w:val="0"/>
          <w:numId w:val="55"/>
        </w:numPr>
      </w:pPr>
      <w:r>
        <w:t>achieve</w:t>
      </w:r>
      <w:r w:rsidR="007D5230">
        <w:t>s</w:t>
      </w:r>
      <w:r>
        <w:t xml:space="preserve"> better positioning accuracy and </w:t>
      </w:r>
    </w:p>
    <w:p w14:paraId="6E09A9B0" w14:textId="0F3D9A23" w:rsidR="003F35AD" w:rsidRDefault="00F61ACF" w:rsidP="00D35F36">
      <w:pPr>
        <w:pStyle w:val="ListParagraph"/>
        <w:numPr>
          <w:ilvl w:val="0"/>
          <w:numId w:val="55"/>
        </w:numPr>
      </w:pPr>
      <w:r>
        <w:t xml:space="preserve">requires </w:t>
      </w:r>
      <w:r w:rsidR="003F35AD">
        <w:t xml:space="preserve">lower signaling </w:t>
      </w:r>
      <w:r>
        <w:t>overhead for sending the measurement report.</w:t>
      </w:r>
      <w:r w:rsidR="003F35AD">
        <w:t xml:space="preserve"> </w:t>
      </w:r>
    </w:p>
    <w:p w14:paraId="03BFB196" w14:textId="2E7041E6" w:rsidR="003F35AD" w:rsidRDefault="003F35AD" w:rsidP="003F35AD">
      <w:r>
        <w:t xml:space="preserve">For Cases that require sending measurement reports over standardized interfaces for inference (Case 2b/3b and potentially 3a), sample-based measurements are clearly preferred over path-based measurements, due to the lack of robustness and generalizability of path-based measurements, and its higher </w:t>
      </w:r>
      <w:r w:rsidR="007D5230">
        <w:t>signaling</w:t>
      </w:r>
      <w:r>
        <w:t xml:space="preserve"> overhead.</w:t>
      </w:r>
    </w:p>
    <w:p w14:paraId="675B444F" w14:textId="0C66A5B5" w:rsidR="003F35AD" w:rsidRDefault="003F35AD" w:rsidP="003F35AD">
      <w:r>
        <w:t xml:space="preserve">Even for Cases </w:t>
      </w:r>
      <w:r w:rsidR="007D5230">
        <w:t>where</w:t>
      </w:r>
      <w:r>
        <w:t xml:space="preserve"> measurements and inferences are performed by the same node (Case 1/2a</w:t>
      </w:r>
      <w:r w:rsidR="00061131" w:rsidRPr="00061131">
        <w:t xml:space="preserve"> </w:t>
      </w:r>
      <w:r w:rsidR="00061131">
        <w:t>and potentially 3a</w:t>
      </w:r>
      <w:r>
        <w:t>), sample-based measurements are preferred due to the high</w:t>
      </w:r>
      <w:r w:rsidR="00A61FFF">
        <w:t>er</w:t>
      </w:r>
      <w:r>
        <w:t xml:space="preserve"> receiver complexity and potentially reduced bandwidth processing capabilities associated with the path-based measurements.</w:t>
      </w:r>
    </w:p>
    <w:p w14:paraId="7AD1D142" w14:textId="395796DB" w:rsidR="00FE19CB" w:rsidRDefault="00FE19CB" w:rsidP="003F35AD">
      <w:r>
        <w:t>Thus sample-based measurements should be supported for Rel-19 AI/ML based positioning. As a compromise, legacy path-based measurement can be supported as well. In this case, an indicator needs to be included in the measurement request</w:t>
      </w:r>
      <w:r w:rsidR="001468C1">
        <w:t>.</w:t>
      </w:r>
    </w:p>
    <w:p w14:paraId="1E6BD8B8" w14:textId="77777777" w:rsidR="00FE19CB" w:rsidRDefault="00FE19CB" w:rsidP="00FE19CB">
      <w:pPr>
        <w:pStyle w:val="Proposal"/>
      </w:pPr>
      <w:bookmarkStart w:id="193" w:name="_Toc174398065"/>
      <w:bookmarkStart w:id="194" w:name="_Toc174398067"/>
      <w:bookmarkStart w:id="195" w:name="_Toc178961886"/>
      <w:r>
        <w:t xml:space="preserve">For </w:t>
      </w:r>
      <w:r w:rsidRPr="006D4F4F">
        <w:t xml:space="preserve">Rel-19 AI/ML based positioning </w:t>
      </w:r>
      <w:r>
        <w:t>Case 3b/2b, the measurement report of (PDP, DP) support sample-based measurement.</w:t>
      </w:r>
      <w:bookmarkEnd w:id="193"/>
      <w:bookmarkEnd w:id="195"/>
    </w:p>
    <w:p w14:paraId="1B1C0EAE" w14:textId="4872FB83" w:rsidR="00FE19CB" w:rsidRDefault="00FE19CB" w:rsidP="003F35AD">
      <w:pPr>
        <w:pStyle w:val="Proposal"/>
      </w:pPr>
      <w:bookmarkStart w:id="196" w:name="_Toc178961887"/>
      <w:r>
        <w:t xml:space="preserve">For </w:t>
      </w:r>
      <w:r w:rsidRPr="006D4F4F">
        <w:t>Rel-19 AI/ML based positioning Case 3b</w:t>
      </w:r>
      <w:r>
        <w:t xml:space="preserve">, </w:t>
      </w:r>
      <w:r w:rsidRPr="006D4F4F">
        <w:t xml:space="preserve">LMF </w:t>
      </w:r>
      <w:r>
        <w:t>includes an indicator in the measurement</w:t>
      </w:r>
      <w:r w:rsidRPr="006D4F4F">
        <w:t xml:space="preserve"> request to gNB</w:t>
      </w:r>
      <w:r>
        <w:t>, where the indicator is on the LMF preferred measurement report: either (a) sample measurement, or (b) l</w:t>
      </w:r>
      <w:r w:rsidRPr="00D52920">
        <w:t>egacy path-based measurement</w:t>
      </w:r>
      <w:r>
        <w:t>.</w:t>
      </w:r>
      <w:bookmarkEnd w:id="194"/>
      <w:bookmarkEnd w:id="196"/>
    </w:p>
    <w:p w14:paraId="0341A1A0" w14:textId="4E39BCB9" w:rsidR="00883EBE" w:rsidRPr="00E215F0" w:rsidRDefault="00671AE4" w:rsidP="004157FD">
      <w:pPr>
        <w:pStyle w:val="Heading3"/>
      </w:pPr>
      <w:bookmarkStart w:id="197" w:name="_Toc173940644"/>
      <w:bookmarkStart w:id="198" w:name="_Toc173940645"/>
      <w:bookmarkStart w:id="199" w:name="_Toc173940646"/>
      <w:bookmarkStart w:id="200" w:name="_Toc173940647"/>
      <w:bookmarkEnd w:id="197"/>
      <w:bookmarkEnd w:id="198"/>
      <w:bookmarkEnd w:id="199"/>
      <w:bookmarkEnd w:id="200"/>
      <w:r w:rsidRPr="00671AE4">
        <w:t xml:space="preserve"> </w:t>
      </w:r>
      <w:bookmarkStart w:id="201" w:name="_Toc178961642"/>
      <w:r>
        <w:t>S</w:t>
      </w:r>
      <w:r w:rsidRPr="000E1EE7">
        <w:t xml:space="preserve">ample-based </w:t>
      </w:r>
      <w:r>
        <w:t>measurements</w:t>
      </w:r>
      <w:bookmarkEnd w:id="201"/>
    </w:p>
    <w:p w14:paraId="70CE745C" w14:textId="2EE4F658" w:rsidR="00671AE4" w:rsidRDefault="00671AE4" w:rsidP="00671AE4">
      <w:pPr>
        <w:pStyle w:val="Heading4"/>
      </w:pPr>
      <w:bookmarkStart w:id="202" w:name="_Ref163069493"/>
      <w:bookmarkStart w:id="203" w:name="_Toc165990978"/>
      <w:bookmarkStart w:id="204" w:name="_Ref178959366"/>
      <w:bookmarkStart w:id="205" w:name="_Ref178959405"/>
      <w:bookmarkStart w:id="206" w:name="_Toc178961643"/>
      <w:r>
        <w:t>Remaining issue for the definition of s</w:t>
      </w:r>
      <w:r w:rsidRPr="000E1EE7">
        <w:t xml:space="preserve">ample-based </w:t>
      </w:r>
      <w:bookmarkEnd w:id="202"/>
      <w:bookmarkEnd w:id="203"/>
      <w:r>
        <w:t>measurements</w:t>
      </w:r>
      <w:bookmarkEnd w:id="204"/>
      <w:bookmarkEnd w:id="205"/>
      <w:bookmarkEnd w:id="206"/>
    </w:p>
    <w:p w14:paraId="3D785CDB" w14:textId="203EA48F" w:rsidR="001514B9" w:rsidRDefault="001514B9" w:rsidP="00F06DCE">
      <w:r>
        <w:t>In RAN1#117</w:t>
      </w:r>
      <w:r w:rsidR="000B6A9A">
        <w:t xml:space="preserve"> and RAN1#118</w:t>
      </w:r>
      <w:r>
        <w:t>, the following agreements were made on the definition of sample-based measurement and path-based measurement.</w:t>
      </w:r>
    </w:p>
    <w:tbl>
      <w:tblPr>
        <w:tblStyle w:val="TableGrid"/>
        <w:tblW w:w="0" w:type="auto"/>
        <w:tblLook w:val="04A0" w:firstRow="1" w:lastRow="0" w:firstColumn="1" w:lastColumn="0" w:noHBand="0" w:noVBand="1"/>
      </w:tblPr>
      <w:tblGrid>
        <w:gridCol w:w="9962"/>
      </w:tblGrid>
      <w:tr w:rsidR="001514B9" w:rsidRPr="001514B9" w14:paraId="355D82A5" w14:textId="77777777" w:rsidTr="001514B9">
        <w:tc>
          <w:tcPr>
            <w:tcW w:w="9962" w:type="dxa"/>
          </w:tcPr>
          <w:p w14:paraId="24900202" w14:textId="77777777" w:rsidR="001514B9" w:rsidRPr="00F60309" w:rsidRDefault="001514B9" w:rsidP="004F4D15">
            <w:pPr>
              <w:spacing w:after="0"/>
              <w:rPr>
                <w:rFonts w:ascii="Times" w:eastAsia="Batang" w:hAnsi="Times"/>
                <w:sz w:val="18"/>
                <w:szCs w:val="18"/>
                <w:highlight w:val="green"/>
                <w:lang w:eastAsia="x-none"/>
              </w:rPr>
            </w:pPr>
            <w:r w:rsidRPr="00F60309">
              <w:rPr>
                <w:rFonts w:ascii="Times" w:eastAsia="Batang" w:hAnsi="Times"/>
                <w:sz w:val="18"/>
                <w:szCs w:val="18"/>
                <w:highlight w:val="green"/>
                <w:lang w:eastAsia="x-none"/>
              </w:rPr>
              <w:t>Agreement</w:t>
            </w:r>
          </w:p>
          <w:p w14:paraId="43A9D733" w14:textId="77777777" w:rsidR="001514B9" w:rsidRPr="00F60309" w:rsidRDefault="001514B9" w:rsidP="004F4D15">
            <w:pPr>
              <w:spacing w:after="0"/>
              <w:rPr>
                <w:rFonts w:ascii="Times" w:eastAsia="Batang" w:hAnsi="Times"/>
                <w:sz w:val="18"/>
                <w:szCs w:val="18"/>
                <w:lang w:eastAsia="x-none"/>
              </w:rPr>
            </w:pPr>
            <w:r w:rsidRPr="00F60309">
              <w:rPr>
                <w:rFonts w:ascii="Times" w:eastAsia="Batang" w:hAnsi="Times"/>
                <w:sz w:val="18"/>
                <w:szCs w:val="18"/>
                <w:lang w:eastAsia="x-none"/>
              </w:rPr>
              <w:t>Sample-based measurement is defined as:</w:t>
            </w:r>
          </w:p>
          <w:p w14:paraId="65B19C83" w14:textId="77777777" w:rsidR="001514B9" w:rsidRPr="00F60309" w:rsidRDefault="001514B9" w:rsidP="00D35F36">
            <w:pPr>
              <w:widowControl w:val="0"/>
              <w:numPr>
                <w:ilvl w:val="0"/>
                <w:numId w:val="66"/>
              </w:numPr>
              <w:spacing w:after="0"/>
              <w:rPr>
                <w:rFonts w:ascii="Times" w:eastAsia="Batang" w:hAnsi="Times"/>
                <w:sz w:val="18"/>
                <w:szCs w:val="18"/>
                <w:lang w:eastAsia="x-none"/>
              </w:rPr>
            </w:pPr>
            <w:r w:rsidRPr="00F60309">
              <w:rPr>
                <w:rFonts w:ascii="Times" w:eastAsia="Batang" w:hAnsi="Times"/>
                <w:sz w:val="18"/>
                <w:szCs w:val="18"/>
                <w:lang w:eastAsia="x-none"/>
              </w:rPr>
              <w:t>The measurement is composed of Nt' samples of the estimated channel response in time domain. The timing information for the Nt' samples are reported with a timing granularity T, where T=2</w:t>
            </w:r>
            <w:r w:rsidRPr="00F60309">
              <w:rPr>
                <w:rFonts w:ascii="Times" w:eastAsia="Batang" w:hAnsi="Times"/>
                <w:sz w:val="18"/>
                <w:szCs w:val="18"/>
                <w:vertAlign w:val="superscript"/>
                <w:lang w:eastAsia="x-none"/>
              </w:rPr>
              <w:t>k</w:t>
            </w:r>
            <w:r w:rsidRPr="00F60309">
              <w:rPr>
                <w:rFonts w:ascii="Times" w:eastAsia="Batang" w:hAnsi="Times"/>
                <w:sz w:val="18"/>
                <w:szCs w:val="18"/>
                <w:lang w:eastAsia="x-none"/>
              </w:rPr>
              <w:t xml:space="preserve">xTc. k represents the timing reporting granularity factor. Tc is the basic time unit for NR. </w:t>
            </w:r>
          </w:p>
          <w:p w14:paraId="69CE3763" w14:textId="77777777" w:rsidR="001514B9" w:rsidRPr="00F60309" w:rsidRDefault="001514B9" w:rsidP="00D35F36">
            <w:pPr>
              <w:widowControl w:val="0"/>
              <w:numPr>
                <w:ilvl w:val="1"/>
                <w:numId w:val="66"/>
              </w:numPr>
              <w:spacing w:after="0"/>
              <w:rPr>
                <w:rFonts w:ascii="Times" w:eastAsia="Batang" w:hAnsi="Times"/>
                <w:sz w:val="18"/>
                <w:szCs w:val="18"/>
                <w:lang w:eastAsia="x-none"/>
              </w:rPr>
            </w:pPr>
            <w:r w:rsidRPr="00F60309">
              <w:rPr>
                <w:rFonts w:ascii="Times" w:eastAsia="Batang" w:hAnsi="Times"/>
                <w:sz w:val="18"/>
                <w:szCs w:val="18"/>
                <w:lang w:eastAsia="x-none"/>
              </w:rPr>
              <w:t>The corresponding measurement (e.g., power if reported) corresponds to the measurement for the reported Nt' samples.</w:t>
            </w:r>
          </w:p>
          <w:p w14:paraId="272FBD17" w14:textId="77777777" w:rsidR="001514B9" w:rsidRPr="00F60309" w:rsidRDefault="001514B9" w:rsidP="00D35F36">
            <w:pPr>
              <w:widowControl w:val="0"/>
              <w:numPr>
                <w:ilvl w:val="0"/>
                <w:numId w:val="66"/>
              </w:numPr>
              <w:spacing w:after="0"/>
              <w:rPr>
                <w:rFonts w:ascii="Times" w:eastAsia="Batang" w:hAnsi="Times"/>
                <w:sz w:val="18"/>
                <w:szCs w:val="18"/>
                <w:lang w:eastAsia="x-none"/>
              </w:rPr>
            </w:pPr>
            <w:r w:rsidRPr="00F60309">
              <w:rPr>
                <w:rFonts w:ascii="Times" w:eastAsia="Batang" w:hAnsi="Times"/>
                <w:sz w:val="18"/>
                <w:szCs w:val="18"/>
                <w:lang w:eastAsia="x-none"/>
              </w:rPr>
              <w:t xml:space="preserve">Nt' and k can be signalled </w:t>
            </w:r>
          </w:p>
          <w:p w14:paraId="6D75D2F3" w14:textId="77777777" w:rsidR="001514B9" w:rsidRPr="00F60309" w:rsidRDefault="001514B9" w:rsidP="00D35F36">
            <w:pPr>
              <w:widowControl w:val="0"/>
              <w:numPr>
                <w:ilvl w:val="1"/>
                <w:numId w:val="66"/>
              </w:numPr>
              <w:spacing w:after="0"/>
              <w:rPr>
                <w:rFonts w:ascii="Times" w:eastAsia="Batang" w:hAnsi="Times"/>
                <w:sz w:val="18"/>
                <w:szCs w:val="18"/>
                <w:lang w:eastAsia="x-none"/>
              </w:rPr>
            </w:pPr>
            <w:r w:rsidRPr="00F60309">
              <w:rPr>
                <w:rFonts w:ascii="Times" w:eastAsia="Batang" w:hAnsi="Times"/>
                <w:sz w:val="18"/>
                <w:szCs w:val="18"/>
                <w:lang w:eastAsia="x-none"/>
              </w:rPr>
              <w:t xml:space="preserve">FFS: the value range of Nt'; the value range of integer k for the timing granularity T. </w:t>
            </w:r>
          </w:p>
          <w:p w14:paraId="5C2AABF0" w14:textId="77777777" w:rsidR="001514B9" w:rsidRPr="00F60309" w:rsidRDefault="001514B9" w:rsidP="00D35F36">
            <w:pPr>
              <w:widowControl w:val="0"/>
              <w:numPr>
                <w:ilvl w:val="0"/>
                <w:numId w:val="66"/>
              </w:numPr>
              <w:spacing w:after="0"/>
              <w:rPr>
                <w:rFonts w:ascii="Times" w:eastAsia="Batang" w:hAnsi="Times"/>
                <w:sz w:val="18"/>
                <w:szCs w:val="18"/>
                <w:lang w:eastAsia="x-none"/>
              </w:rPr>
            </w:pPr>
            <w:r w:rsidRPr="00F60309">
              <w:rPr>
                <w:rFonts w:ascii="Times" w:eastAsia="Batang" w:hAnsi="Times"/>
                <w:sz w:val="18"/>
                <w:szCs w:val="18"/>
                <w:lang w:eastAsia="x-none"/>
              </w:rPr>
              <w:t xml:space="preserve">The timing information is defined relative to a reference time </w:t>
            </w:r>
          </w:p>
          <w:p w14:paraId="6C12F32C" w14:textId="77777777" w:rsidR="001514B9" w:rsidRPr="00F60309" w:rsidRDefault="001514B9" w:rsidP="004F4D15">
            <w:pPr>
              <w:spacing w:after="0"/>
              <w:rPr>
                <w:rFonts w:ascii="Times" w:eastAsia="Batang" w:hAnsi="Times"/>
                <w:sz w:val="18"/>
                <w:szCs w:val="18"/>
                <w:lang w:eastAsia="x-none"/>
              </w:rPr>
            </w:pPr>
            <w:r w:rsidRPr="00F60309">
              <w:rPr>
                <w:rFonts w:ascii="Times" w:eastAsia="Batang" w:hAnsi="Times"/>
                <w:sz w:val="18"/>
                <w:szCs w:val="18"/>
                <w:lang w:eastAsia="x-none"/>
              </w:rPr>
              <w:t>Further discussion is expected on the determination of Nt' and k (including signaling) , and a rule</w:t>
            </w:r>
            <w:r w:rsidRPr="00F60309">
              <w:rPr>
                <w:rFonts w:ascii="Times" w:eastAsia="DengXian" w:hAnsi="Times"/>
                <w:sz w:val="18"/>
                <w:szCs w:val="18"/>
              </w:rPr>
              <w:t xml:space="preserve"> to </w:t>
            </w:r>
            <w:r w:rsidRPr="00F60309">
              <w:rPr>
                <w:rFonts w:ascii="Times" w:eastAsia="Batang" w:hAnsi="Times"/>
                <w:sz w:val="18"/>
                <w:szCs w:val="18"/>
                <w:lang w:eastAsia="x-none"/>
              </w:rPr>
              <w:t>be introduced for selecting Nt' samples.</w:t>
            </w:r>
          </w:p>
          <w:p w14:paraId="2E07C8C9" w14:textId="77777777" w:rsidR="001514B9" w:rsidRPr="00F60309" w:rsidRDefault="001514B9" w:rsidP="004F4D15">
            <w:pPr>
              <w:spacing w:after="0"/>
              <w:rPr>
                <w:rFonts w:ascii="Times" w:eastAsia="Batang" w:hAnsi="Times"/>
                <w:sz w:val="18"/>
                <w:szCs w:val="18"/>
                <w:lang w:eastAsia="x-none"/>
              </w:rPr>
            </w:pPr>
            <w:r w:rsidRPr="00F60309">
              <w:rPr>
                <w:rFonts w:ascii="Times" w:eastAsia="Batang" w:hAnsi="Times"/>
                <w:sz w:val="18"/>
                <w:szCs w:val="18"/>
                <w:lang w:eastAsia="x-none"/>
              </w:rPr>
              <w:t>Note: It doesn’t imply the definition of Sample-based measurement will be captured into the spec.</w:t>
            </w:r>
          </w:p>
          <w:p w14:paraId="7BAE8CC6" w14:textId="77777777" w:rsidR="001514B9" w:rsidRPr="00F60309" w:rsidRDefault="001514B9" w:rsidP="004F4D15">
            <w:pPr>
              <w:spacing w:after="0"/>
              <w:rPr>
                <w:rFonts w:ascii="Times" w:eastAsia="Batang" w:hAnsi="Times"/>
                <w:sz w:val="18"/>
                <w:szCs w:val="18"/>
                <w:lang w:eastAsia="x-none"/>
              </w:rPr>
            </w:pPr>
          </w:p>
          <w:p w14:paraId="725B8C40" w14:textId="77777777" w:rsidR="001514B9" w:rsidRPr="00F60309" w:rsidRDefault="001514B9" w:rsidP="004F4D15">
            <w:pPr>
              <w:spacing w:after="0"/>
              <w:rPr>
                <w:rFonts w:ascii="Times" w:eastAsia="Batang" w:hAnsi="Times"/>
                <w:sz w:val="18"/>
                <w:szCs w:val="18"/>
                <w:highlight w:val="green"/>
                <w:lang w:eastAsia="x-none"/>
              </w:rPr>
            </w:pPr>
            <w:r w:rsidRPr="00F60309">
              <w:rPr>
                <w:rFonts w:ascii="Times" w:eastAsia="Batang" w:hAnsi="Times"/>
                <w:sz w:val="18"/>
                <w:szCs w:val="18"/>
                <w:highlight w:val="green"/>
                <w:lang w:eastAsia="x-none"/>
              </w:rPr>
              <w:t>Agreement</w:t>
            </w:r>
          </w:p>
          <w:p w14:paraId="180B1F50" w14:textId="77777777" w:rsidR="001514B9" w:rsidRDefault="001514B9" w:rsidP="004F4D15">
            <w:pPr>
              <w:spacing w:after="0"/>
              <w:rPr>
                <w:rFonts w:ascii="Times" w:eastAsia="Batang" w:hAnsi="Times"/>
                <w:sz w:val="18"/>
                <w:szCs w:val="18"/>
                <w:lang w:eastAsia="x-none"/>
              </w:rPr>
            </w:pPr>
            <w:r w:rsidRPr="00F60309">
              <w:rPr>
                <w:rFonts w:ascii="Times" w:eastAsia="Batang" w:hAnsi="Times"/>
                <w:sz w:val="18"/>
                <w:szCs w:val="18"/>
                <w:lang w:eastAsia="x-none"/>
              </w:rPr>
              <w:t>Path-based measurement refers to the measurement in the existing specifications (up to Rel-18) including measurement reporting, with potential enhancements on the number of reported paths (if needed).</w:t>
            </w:r>
          </w:p>
          <w:p w14:paraId="3B8C2AB4" w14:textId="77777777" w:rsidR="000B6A9A" w:rsidRPr="000B6A9A" w:rsidRDefault="000B6A9A" w:rsidP="004F4D15">
            <w:pPr>
              <w:spacing w:after="0"/>
              <w:rPr>
                <w:rFonts w:ascii="Times" w:eastAsia="Batang" w:hAnsi="Times"/>
                <w:sz w:val="18"/>
                <w:szCs w:val="18"/>
                <w:lang w:eastAsia="x-none"/>
              </w:rPr>
            </w:pPr>
          </w:p>
          <w:p w14:paraId="0AB10FE7" w14:textId="77777777" w:rsidR="000B6A9A" w:rsidRPr="002B65AA" w:rsidRDefault="000B6A9A" w:rsidP="004F4D15">
            <w:pPr>
              <w:spacing w:after="0"/>
              <w:rPr>
                <w:rFonts w:ascii="Times" w:eastAsia="DengXian" w:hAnsi="Times"/>
                <w:sz w:val="18"/>
                <w:szCs w:val="18"/>
                <w:highlight w:val="green"/>
                <w:lang w:val="en-GB" w:eastAsia="zh-CN"/>
              </w:rPr>
            </w:pPr>
            <w:r w:rsidRPr="002B65AA">
              <w:rPr>
                <w:rFonts w:ascii="Times" w:eastAsia="DengXian" w:hAnsi="Times"/>
                <w:sz w:val="18"/>
                <w:szCs w:val="18"/>
                <w:highlight w:val="green"/>
                <w:lang w:eastAsia="zh-CN"/>
              </w:rPr>
              <w:t>Agreement</w:t>
            </w:r>
          </w:p>
          <w:p w14:paraId="45BBC3CB" w14:textId="77777777" w:rsidR="000B6A9A" w:rsidRPr="002B65AA" w:rsidRDefault="000B6A9A" w:rsidP="004F4D15">
            <w:pPr>
              <w:spacing w:after="0"/>
              <w:rPr>
                <w:rFonts w:ascii="Times" w:eastAsia="Batang" w:hAnsi="Times"/>
                <w:sz w:val="18"/>
                <w:szCs w:val="18"/>
                <w:lang w:val="en-GB"/>
              </w:rPr>
            </w:pPr>
            <w:r w:rsidRPr="002B65AA">
              <w:rPr>
                <w:rFonts w:ascii="Times" w:eastAsia="Batang" w:hAnsi="Times"/>
                <w:sz w:val="18"/>
                <w:szCs w:val="18"/>
              </w:rPr>
              <w:t>For the definition of sample-based measurement, select N</w:t>
            </w:r>
            <w:r w:rsidRPr="002B65AA">
              <w:rPr>
                <w:rFonts w:ascii="Times" w:eastAsia="Batang" w:hAnsi="Times"/>
                <w:sz w:val="18"/>
                <w:szCs w:val="18"/>
                <w:vertAlign w:val="subscript"/>
              </w:rPr>
              <w:t>t</w:t>
            </w:r>
            <w:r w:rsidRPr="002B65AA">
              <w:rPr>
                <w:rFonts w:ascii="Times" w:eastAsia="Batang" w:hAnsi="Times"/>
                <w:sz w:val="18"/>
                <w:szCs w:val="18"/>
              </w:rPr>
              <w:t>’ samples out of a list of N</w:t>
            </w:r>
            <w:r w:rsidRPr="002B65AA">
              <w:rPr>
                <w:rFonts w:ascii="Times" w:eastAsia="Batang" w:hAnsi="Times"/>
                <w:sz w:val="18"/>
                <w:szCs w:val="18"/>
                <w:vertAlign w:val="subscript"/>
              </w:rPr>
              <w:t>t</w:t>
            </w:r>
            <w:r w:rsidRPr="002B65AA">
              <w:rPr>
                <w:rFonts w:ascii="Times" w:eastAsia="DengXian" w:hAnsi="Times"/>
                <w:sz w:val="18"/>
                <w:szCs w:val="18"/>
              </w:rPr>
              <w:t xml:space="preserve"> consecutive samples</w:t>
            </w:r>
          </w:p>
          <w:p w14:paraId="4F532966" w14:textId="77777777" w:rsidR="000B6A9A" w:rsidRPr="002B65AA" w:rsidRDefault="000B6A9A" w:rsidP="00D35F36">
            <w:pPr>
              <w:numPr>
                <w:ilvl w:val="0"/>
                <w:numId w:val="80"/>
              </w:numPr>
              <w:suppressAutoHyphens/>
              <w:spacing w:after="0" w:line="276" w:lineRule="auto"/>
              <w:rPr>
                <w:rFonts w:ascii="Times" w:eastAsia="Batang" w:hAnsi="Times"/>
                <w:sz w:val="18"/>
                <w:szCs w:val="18"/>
                <w:lang w:eastAsia="x-none"/>
              </w:rPr>
            </w:pPr>
            <w:r w:rsidRPr="002B65AA">
              <w:rPr>
                <w:rFonts w:ascii="Times" w:eastAsia="Batang" w:hAnsi="Times"/>
                <w:sz w:val="18"/>
                <w:szCs w:val="18"/>
                <w:lang w:eastAsia="x-none"/>
              </w:rPr>
              <w:t>The N</w:t>
            </w:r>
            <w:r w:rsidRPr="002B65AA">
              <w:rPr>
                <w:rFonts w:ascii="Times" w:eastAsia="Batang" w:hAnsi="Times"/>
                <w:sz w:val="18"/>
                <w:szCs w:val="18"/>
                <w:vertAlign w:val="subscript"/>
                <w:lang w:eastAsia="x-none"/>
              </w:rPr>
              <w:t>t</w:t>
            </w:r>
            <w:r w:rsidRPr="002B65AA">
              <w:rPr>
                <w:rFonts w:ascii="Times" w:eastAsia="DengXian" w:hAnsi="Times"/>
                <w:sz w:val="18"/>
                <w:szCs w:val="18"/>
                <w:lang w:eastAsia="x-none"/>
              </w:rPr>
              <w:t xml:space="preserve"> samples have timing granularity</w:t>
            </w:r>
            <w:r w:rsidRPr="002B65AA">
              <w:rPr>
                <w:rFonts w:ascii="Times" w:eastAsia="Batang" w:hAnsi="Times"/>
                <w:sz w:val="18"/>
                <w:szCs w:val="18"/>
                <w:lang w:eastAsia="x-none"/>
              </w:rPr>
              <w:t xml:space="preserve"> T. </w:t>
            </w:r>
          </w:p>
          <w:p w14:paraId="4468020D" w14:textId="77777777" w:rsidR="000B6A9A" w:rsidRPr="002B65AA" w:rsidRDefault="000B6A9A" w:rsidP="00D35F36">
            <w:pPr>
              <w:numPr>
                <w:ilvl w:val="0"/>
                <w:numId w:val="80"/>
              </w:numPr>
              <w:suppressAutoHyphens/>
              <w:spacing w:after="0" w:line="276" w:lineRule="auto"/>
              <w:rPr>
                <w:rFonts w:ascii="Times" w:eastAsia="Batang" w:hAnsi="Times"/>
                <w:sz w:val="18"/>
                <w:szCs w:val="18"/>
                <w:lang w:eastAsia="x-none"/>
              </w:rPr>
            </w:pPr>
            <w:r w:rsidRPr="002B65AA">
              <w:rPr>
                <w:rFonts w:ascii="Times" w:eastAsia="DengXian" w:hAnsi="Times"/>
                <w:sz w:val="18"/>
                <w:szCs w:val="18"/>
                <w:lang w:eastAsia="x-none"/>
              </w:rPr>
              <w:t xml:space="preserve">FFS: the starting time of the list of </w:t>
            </w:r>
            <w:r w:rsidRPr="002B65AA">
              <w:rPr>
                <w:rFonts w:ascii="Times" w:eastAsia="Batang" w:hAnsi="Times"/>
                <w:sz w:val="18"/>
                <w:szCs w:val="18"/>
                <w:lang w:eastAsia="x-none"/>
              </w:rPr>
              <w:t>N</w:t>
            </w:r>
            <w:r w:rsidRPr="002B65AA">
              <w:rPr>
                <w:rFonts w:ascii="Times" w:eastAsia="Batang" w:hAnsi="Times"/>
                <w:sz w:val="18"/>
                <w:szCs w:val="18"/>
                <w:vertAlign w:val="subscript"/>
                <w:lang w:eastAsia="x-none"/>
              </w:rPr>
              <w:t>t</w:t>
            </w:r>
            <w:r w:rsidRPr="002B65AA">
              <w:rPr>
                <w:rFonts w:ascii="Times" w:eastAsia="DengXian" w:hAnsi="Times"/>
                <w:sz w:val="18"/>
                <w:szCs w:val="18"/>
                <w:lang w:eastAsia="x-none"/>
              </w:rPr>
              <w:t xml:space="preserve"> samples </w:t>
            </w:r>
          </w:p>
          <w:p w14:paraId="652377F3" w14:textId="77777777" w:rsidR="000B6A9A" w:rsidRPr="002B65AA" w:rsidRDefault="000B6A9A" w:rsidP="00D35F36">
            <w:pPr>
              <w:numPr>
                <w:ilvl w:val="0"/>
                <w:numId w:val="80"/>
              </w:numPr>
              <w:suppressAutoHyphens/>
              <w:spacing w:after="0" w:line="276" w:lineRule="auto"/>
              <w:rPr>
                <w:rFonts w:ascii="Times" w:eastAsia="Batang" w:hAnsi="Times"/>
                <w:sz w:val="18"/>
                <w:szCs w:val="18"/>
                <w:lang w:eastAsia="x-none"/>
              </w:rPr>
            </w:pPr>
            <w:r w:rsidRPr="002B65AA">
              <w:rPr>
                <w:rFonts w:ascii="Times" w:eastAsia="Batang" w:hAnsi="Times"/>
                <w:sz w:val="18"/>
                <w:szCs w:val="18"/>
                <w:lang w:eastAsia="x-none"/>
              </w:rPr>
              <w:t>FFS: the value range of N</w:t>
            </w:r>
            <w:r w:rsidRPr="002B65AA">
              <w:rPr>
                <w:rFonts w:ascii="Times" w:eastAsia="Batang" w:hAnsi="Times"/>
                <w:sz w:val="18"/>
                <w:szCs w:val="18"/>
                <w:vertAlign w:val="subscript"/>
                <w:lang w:eastAsia="x-none"/>
              </w:rPr>
              <w:t>t</w:t>
            </w:r>
            <w:r w:rsidRPr="002B65AA">
              <w:rPr>
                <w:rFonts w:ascii="Times" w:eastAsia="Batang" w:hAnsi="Times"/>
                <w:sz w:val="18"/>
                <w:szCs w:val="18"/>
                <w:lang w:eastAsia="x-none"/>
              </w:rPr>
              <w:t xml:space="preserve"> </w:t>
            </w:r>
          </w:p>
          <w:p w14:paraId="1CBD8D35" w14:textId="77777777" w:rsidR="000B6A9A" w:rsidRPr="002B65AA" w:rsidRDefault="000B6A9A" w:rsidP="004F4D15">
            <w:pPr>
              <w:spacing w:after="0"/>
              <w:rPr>
                <w:rFonts w:ascii="Times" w:eastAsia="Batang" w:hAnsi="Times"/>
                <w:sz w:val="18"/>
                <w:szCs w:val="18"/>
                <w:lang w:val="en-GB"/>
              </w:rPr>
            </w:pPr>
            <w:r w:rsidRPr="002B65AA">
              <w:rPr>
                <w:rFonts w:ascii="Times" w:eastAsia="Batang" w:hAnsi="Times"/>
                <w:sz w:val="18"/>
                <w:szCs w:val="18"/>
              </w:rPr>
              <w:lastRenderedPageBreak/>
              <w:t xml:space="preserve">For the sample-based measurement (if accepted in Rel-19), </w:t>
            </w:r>
          </w:p>
          <w:p w14:paraId="2EDEDB42" w14:textId="77777777" w:rsidR="000B6A9A" w:rsidRPr="002B65AA" w:rsidRDefault="000B6A9A" w:rsidP="00D35F36">
            <w:pPr>
              <w:numPr>
                <w:ilvl w:val="0"/>
                <w:numId w:val="81"/>
              </w:numPr>
              <w:tabs>
                <w:tab w:val="left" w:pos="0"/>
              </w:tabs>
              <w:suppressAutoHyphens/>
              <w:spacing w:after="0" w:line="276" w:lineRule="auto"/>
              <w:rPr>
                <w:rFonts w:ascii="Times" w:eastAsia="Batang" w:hAnsi="Times"/>
                <w:sz w:val="18"/>
                <w:szCs w:val="18"/>
                <w:lang w:val="en-GB" w:eastAsia="x-none"/>
              </w:rPr>
            </w:pPr>
            <w:r w:rsidRPr="002B65AA">
              <w:rPr>
                <w:rFonts w:ascii="Times" w:eastAsia="Batang" w:hAnsi="Times"/>
                <w:sz w:val="18"/>
                <w:szCs w:val="18"/>
                <w:lang w:eastAsia="x-none"/>
              </w:rPr>
              <w:t>For measurement by TRP/gNB, t</w:t>
            </w:r>
            <w:r w:rsidRPr="002B65AA">
              <w:rPr>
                <w:rFonts w:ascii="Times" w:eastAsia="DengXian" w:hAnsi="Times"/>
                <w:sz w:val="18"/>
                <w:szCs w:val="18"/>
                <w:lang w:eastAsia="x-none"/>
              </w:rPr>
              <w:t xml:space="preserve">he </w:t>
            </w:r>
            <w:r w:rsidRPr="002B65AA">
              <w:rPr>
                <w:rFonts w:ascii="Times" w:eastAsia="Batang" w:hAnsi="Times"/>
                <w:sz w:val="18"/>
                <w:szCs w:val="18"/>
                <w:lang w:eastAsia="x-none"/>
              </w:rPr>
              <w:t>N</w:t>
            </w:r>
            <w:r w:rsidRPr="002B65AA">
              <w:rPr>
                <w:rFonts w:ascii="Times" w:eastAsia="Batang" w:hAnsi="Times"/>
                <w:sz w:val="18"/>
                <w:szCs w:val="18"/>
                <w:vertAlign w:val="subscript"/>
                <w:lang w:eastAsia="x-none"/>
              </w:rPr>
              <w:t>t</w:t>
            </w:r>
            <w:r w:rsidRPr="002B65AA">
              <w:rPr>
                <w:rFonts w:ascii="Times" w:eastAsia="Batang" w:hAnsi="Times"/>
                <w:sz w:val="18"/>
                <w:szCs w:val="18"/>
                <w:lang w:eastAsia="x-none"/>
              </w:rPr>
              <w:t xml:space="preserve">’ selected samples are </w:t>
            </w:r>
            <w:r w:rsidRPr="002B65AA">
              <w:rPr>
                <w:rFonts w:ascii="Times" w:eastAsia="DengXian" w:hAnsi="Times"/>
                <w:sz w:val="18"/>
                <w:szCs w:val="18"/>
                <w:lang w:eastAsia="x-none"/>
              </w:rPr>
              <w:t xml:space="preserve">expected to be </w:t>
            </w:r>
            <w:r w:rsidRPr="002B65AA">
              <w:rPr>
                <w:rFonts w:ascii="Times" w:eastAsia="Batang" w:hAnsi="Times"/>
                <w:sz w:val="18"/>
                <w:szCs w:val="18"/>
                <w:lang w:eastAsia="x-none"/>
              </w:rPr>
              <w:t>those with the highest power.</w:t>
            </w:r>
          </w:p>
          <w:p w14:paraId="368E44E0" w14:textId="77777777" w:rsidR="000B6A9A" w:rsidRPr="002B65AA" w:rsidRDefault="000B6A9A" w:rsidP="00D35F36">
            <w:pPr>
              <w:numPr>
                <w:ilvl w:val="0"/>
                <w:numId w:val="81"/>
              </w:numPr>
              <w:tabs>
                <w:tab w:val="left" w:pos="0"/>
              </w:tabs>
              <w:suppressAutoHyphens/>
              <w:spacing w:after="0" w:line="276" w:lineRule="auto"/>
              <w:rPr>
                <w:rFonts w:ascii="Times" w:eastAsia="Batang" w:hAnsi="Times"/>
                <w:sz w:val="18"/>
                <w:szCs w:val="18"/>
                <w:lang w:val="en-GB" w:eastAsia="x-none"/>
              </w:rPr>
            </w:pPr>
            <w:r w:rsidRPr="002B65AA">
              <w:rPr>
                <w:rFonts w:ascii="Times" w:eastAsia="Batang" w:hAnsi="Times"/>
                <w:sz w:val="18"/>
                <w:szCs w:val="18"/>
                <w:lang w:eastAsia="x-none"/>
              </w:rPr>
              <w:t>Note: Choice of the maximum value of Nt, Nt’ should take into account the need to preserve proprietary implementation.</w:t>
            </w:r>
          </w:p>
          <w:p w14:paraId="0AF50D4F" w14:textId="77777777" w:rsidR="000B6A9A" w:rsidRPr="002B65AA" w:rsidRDefault="000B6A9A" w:rsidP="004F4D15">
            <w:pPr>
              <w:tabs>
                <w:tab w:val="left" w:pos="0"/>
              </w:tabs>
              <w:suppressAutoHyphens/>
              <w:spacing w:after="0" w:line="276" w:lineRule="auto"/>
              <w:ind w:left="840"/>
              <w:rPr>
                <w:rFonts w:ascii="Times" w:eastAsia="DengXian" w:hAnsi="Times"/>
                <w:sz w:val="18"/>
                <w:szCs w:val="18"/>
                <w:lang w:val="en-GB" w:eastAsia="zh-CN"/>
              </w:rPr>
            </w:pPr>
          </w:p>
          <w:p w14:paraId="760C518F" w14:textId="77777777" w:rsidR="000B6A9A" w:rsidRPr="002B65AA" w:rsidRDefault="000B6A9A" w:rsidP="004F4D15">
            <w:pPr>
              <w:spacing w:after="0"/>
              <w:rPr>
                <w:rFonts w:ascii="Times" w:eastAsia="DengXian" w:hAnsi="Times"/>
                <w:sz w:val="18"/>
                <w:szCs w:val="18"/>
                <w:highlight w:val="green"/>
                <w:lang w:eastAsia="zh-CN"/>
              </w:rPr>
            </w:pPr>
            <w:r w:rsidRPr="002B65AA">
              <w:rPr>
                <w:rFonts w:ascii="Times" w:eastAsia="DengXian" w:hAnsi="Times"/>
                <w:sz w:val="18"/>
                <w:szCs w:val="18"/>
                <w:highlight w:val="green"/>
                <w:lang w:eastAsia="zh-CN"/>
              </w:rPr>
              <w:t>Agreement</w:t>
            </w:r>
          </w:p>
          <w:p w14:paraId="51A1CE30" w14:textId="77777777" w:rsidR="000B6A9A" w:rsidRPr="002B65AA" w:rsidRDefault="000B6A9A" w:rsidP="004F4D15">
            <w:pPr>
              <w:spacing w:after="0"/>
              <w:rPr>
                <w:rFonts w:ascii="Times" w:eastAsia="DengXian" w:hAnsi="Times"/>
                <w:sz w:val="18"/>
                <w:szCs w:val="18"/>
                <w:lang w:val="en-GB" w:eastAsia="zh-CN"/>
              </w:rPr>
            </w:pPr>
            <w:r w:rsidRPr="002B65AA">
              <w:rPr>
                <w:rFonts w:ascii="Times" w:eastAsia="DengXian" w:hAnsi="Times"/>
                <w:sz w:val="18"/>
                <w:szCs w:val="18"/>
                <w:lang w:eastAsia="zh-CN"/>
              </w:rPr>
              <w:t>F</w:t>
            </w:r>
            <w:r w:rsidRPr="002B65AA">
              <w:rPr>
                <w:rFonts w:ascii="Times" w:eastAsia="Batang" w:hAnsi="Times"/>
                <w:sz w:val="18"/>
                <w:szCs w:val="18"/>
              </w:rPr>
              <w:t xml:space="preserve">or Rel-19 AI/ML based positioning Case 3b, regarding sample-based measurement (if supported), </w:t>
            </w:r>
            <w:r w:rsidRPr="002B65AA">
              <w:rPr>
                <w:rFonts w:ascii="Times" w:eastAsia="DengXian" w:hAnsi="Times"/>
                <w:sz w:val="18"/>
                <w:szCs w:val="18"/>
                <w:lang w:eastAsia="zh-CN"/>
              </w:rPr>
              <w:t xml:space="preserve">from RAN1 perspective, </w:t>
            </w:r>
          </w:p>
          <w:p w14:paraId="4C50085C" w14:textId="3D51ADD2" w:rsidR="001514B9" w:rsidRPr="00F60309" w:rsidRDefault="000B6A9A" w:rsidP="00D35F36">
            <w:pPr>
              <w:numPr>
                <w:ilvl w:val="0"/>
                <w:numId w:val="82"/>
              </w:numPr>
              <w:tabs>
                <w:tab w:val="left" w:pos="0"/>
              </w:tabs>
              <w:suppressAutoHyphens/>
              <w:spacing w:after="0" w:line="276" w:lineRule="auto"/>
              <w:rPr>
                <w:rFonts w:ascii="Times" w:eastAsia="Batang" w:hAnsi="Times"/>
                <w:sz w:val="18"/>
                <w:szCs w:val="18"/>
                <w:lang w:eastAsia="x-none"/>
              </w:rPr>
            </w:pPr>
            <w:r w:rsidRPr="002B65AA">
              <w:rPr>
                <w:rFonts w:ascii="Times" w:eastAsia="Batang" w:hAnsi="Times"/>
                <w:sz w:val="18"/>
                <w:szCs w:val="18"/>
                <w:lang w:eastAsia="x-none"/>
              </w:rPr>
              <w:t xml:space="preserve">LMF </w:t>
            </w:r>
            <w:r w:rsidRPr="002B65AA">
              <w:rPr>
                <w:rFonts w:ascii="Times" w:eastAsia="DengXian" w:hAnsi="Times"/>
                <w:sz w:val="18"/>
                <w:szCs w:val="18"/>
                <w:lang w:eastAsia="zh-CN"/>
              </w:rPr>
              <w:t xml:space="preserve">can </w:t>
            </w:r>
            <w:r w:rsidRPr="002B65AA">
              <w:rPr>
                <w:rFonts w:ascii="Times" w:eastAsia="Batang" w:hAnsi="Times"/>
                <w:sz w:val="18"/>
                <w:szCs w:val="18"/>
                <w:lang w:eastAsia="x-none"/>
              </w:rPr>
              <w:t>signal parameter values of N</w:t>
            </w:r>
            <w:r w:rsidRPr="002B65AA">
              <w:rPr>
                <w:rFonts w:ascii="Times" w:eastAsia="Batang" w:hAnsi="Times"/>
                <w:sz w:val="18"/>
                <w:szCs w:val="18"/>
                <w:vertAlign w:val="subscript"/>
                <w:lang w:eastAsia="x-none"/>
              </w:rPr>
              <w:t>t</w:t>
            </w:r>
            <w:r w:rsidRPr="002B65AA">
              <w:rPr>
                <w:rFonts w:ascii="Times" w:eastAsia="Batang" w:hAnsi="Times"/>
                <w:sz w:val="18"/>
                <w:szCs w:val="18"/>
                <w:lang w:eastAsia="x-none"/>
              </w:rPr>
              <w:t>, N</w:t>
            </w:r>
            <w:r w:rsidRPr="002B65AA">
              <w:rPr>
                <w:rFonts w:ascii="Times" w:eastAsia="Batang" w:hAnsi="Times"/>
                <w:sz w:val="18"/>
                <w:szCs w:val="18"/>
                <w:vertAlign w:val="subscript"/>
                <w:lang w:eastAsia="x-none"/>
              </w:rPr>
              <w:t>t</w:t>
            </w:r>
            <w:r w:rsidRPr="002B65AA">
              <w:rPr>
                <w:rFonts w:ascii="Times" w:eastAsia="Batang" w:hAnsi="Times"/>
                <w:sz w:val="18"/>
                <w:szCs w:val="18"/>
                <w:lang w:eastAsia="x-none"/>
              </w:rPr>
              <w:t>', k to gNB via NRPPa.</w:t>
            </w:r>
          </w:p>
        </w:tc>
      </w:tr>
    </w:tbl>
    <w:p w14:paraId="446A297F" w14:textId="77777777" w:rsidR="001514B9" w:rsidRDefault="001514B9" w:rsidP="00F06DCE"/>
    <w:p w14:paraId="60DF37FA" w14:textId="2CE511C8" w:rsidR="00AE7043" w:rsidRPr="004D3536" w:rsidRDefault="000B6A9A" w:rsidP="00AE7043">
      <w:r>
        <w:t>In our view</w:t>
      </w:r>
      <w:r w:rsidR="007C3470">
        <w:t>, for</w:t>
      </w:r>
      <w:r>
        <w:t xml:space="preserve"> Case 3b</w:t>
      </w:r>
      <w:r w:rsidR="007C3470">
        <w:t xml:space="preserve"> (and 3a if applicable)</w:t>
      </w:r>
      <w:r>
        <w:t xml:space="preserve">, the only remaining issues for sample-based measurement is to define the starting point of the list of </w:t>
      </w:r>
      <w:r w:rsidRPr="004D3536">
        <w:t>N</w:t>
      </w:r>
      <w:r w:rsidRPr="004D3536">
        <w:rPr>
          <w:vertAlign w:val="subscript"/>
        </w:rPr>
        <w:t>t</w:t>
      </w:r>
      <w:r w:rsidRPr="004D3536">
        <w:t xml:space="preserve"> consecutive samples</w:t>
      </w:r>
      <w:r>
        <w:t xml:space="preserve">. This </w:t>
      </w:r>
      <w:r w:rsidR="001468C1">
        <w:t>can be</w:t>
      </w:r>
      <w:r>
        <w:t xml:space="preserve"> resolved by: (a) defining the timing grid for generating the samples; (b) determining the starting sample </w:t>
      </w:r>
      <w:r w:rsidR="00836F9C">
        <w:t xml:space="preserve">on the timing grid </w:t>
      </w:r>
      <w:r>
        <w:t xml:space="preserve">for the list of </w:t>
      </w:r>
      <w:r w:rsidRPr="004D3536">
        <w:t>N</w:t>
      </w:r>
      <w:r w:rsidRPr="004D3536">
        <w:rPr>
          <w:vertAlign w:val="subscript"/>
        </w:rPr>
        <w:t>t</w:t>
      </w:r>
      <w:r w:rsidRPr="004D3536">
        <w:t xml:space="preserve"> consecutive samples</w:t>
      </w:r>
      <w:r>
        <w:t>.</w:t>
      </w:r>
      <w:r w:rsidR="00836F9C">
        <w:t xml:space="preserve"> </w:t>
      </w:r>
      <w:r w:rsidR="00AE7043">
        <w:t>In the following, the procedure is outlined for determining</w:t>
      </w:r>
      <w:r>
        <w:t xml:space="preserve"> the</w:t>
      </w:r>
      <w:r w:rsidR="00AE7043">
        <w:t xml:space="preserve"> N</w:t>
      </w:r>
      <w:r w:rsidR="00AE7043" w:rsidRPr="004D3536">
        <w:rPr>
          <w:vertAlign w:val="subscript"/>
        </w:rPr>
        <w:t>t</w:t>
      </w:r>
      <w:r w:rsidR="00AE7043">
        <w:t>’ samples.</w:t>
      </w:r>
    </w:p>
    <w:p w14:paraId="6E734FEE" w14:textId="77777777" w:rsidR="00AE7043" w:rsidRDefault="00AE7043" w:rsidP="00AE7043">
      <w:r w:rsidRPr="004D3536">
        <w:rPr>
          <w:b/>
          <w:bCs/>
          <w:u w:val="single"/>
        </w:rPr>
        <w:t>Step 1:</w:t>
      </w:r>
      <w:r>
        <w:t xml:space="preserve"> Define the timing grid using (a) the reference time T</w:t>
      </w:r>
      <w:r w:rsidRPr="005E1C9A">
        <w:rPr>
          <w:vertAlign w:val="subscript"/>
        </w:rPr>
        <w:t>ref</w:t>
      </w:r>
      <w:r>
        <w:t xml:space="preserve"> (seconds) and (b) the timing granularity of T (seconds), where T = 2</w:t>
      </w:r>
      <w:r w:rsidRPr="00EE61B5">
        <w:rPr>
          <w:vertAlign w:val="superscript"/>
        </w:rPr>
        <w:t>k</w:t>
      </w:r>
      <w:r>
        <w:t xml:space="preserve"> * T</w:t>
      </w:r>
      <w:r w:rsidRPr="00EE61B5">
        <w:rPr>
          <w:vertAlign w:val="subscript"/>
        </w:rPr>
        <w:t>c</w:t>
      </w:r>
      <w:r>
        <w:t xml:space="preserve">; </w:t>
      </w:r>
    </w:p>
    <w:p w14:paraId="58CE3CB2" w14:textId="54D92025" w:rsidR="00AE7043" w:rsidRDefault="00AE7043" w:rsidP="00AE7043">
      <w:r>
        <w:t xml:space="preserve">Note that </w:t>
      </w:r>
      <w:r w:rsidR="00836F9C">
        <w:t xml:space="preserve">here </w:t>
      </w:r>
      <w:r>
        <w:t>the reference time T</w:t>
      </w:r>
      <w:r w:rsidRPr="005E1C9A">
        <w:rPr>
          <w:vertAlign w:val="subscript"/>
        </w:rPr>
        <w:t>ref</w:t>
      </w:r>
      <w:r>
        <w:t xml:space="preserve"> only anchors the grid points, i.e., T</w:t>
      </w:r>
      <w:r w:rsidRPr="005E1C9A">
        <w:rPr>
          <w:vertAlign w:val="subscript"/>
        </w:rPr>
        <w:t>ref</w:t>
      </w:r>
      <w:r>
        <w:t xml:space="preserve"> is on the grid where consecutive grid points are spaced by T (sec). T</w:t>
      </w:r>
      <w:r w:rsidRPr="005E1C9A">
        <w:rPr>
          <w:vertAlign w:val="subscript"/>
        </w:rPr>
        <w:t>ref</w:t>
      </w:r>
      <w:r>
        <w:t xml:space="preserve"> is not intended to set the boundary of the measurement report window</w:t>
      </w:r>
      <w:r w:rsidR="00836F9C">
        <w:t xml:space="preserve">. </w:t>
      </w:r>
      <w:r>
        <w:t xml:space="preserve">In general, numerous grid points </w:t>
      </w:r>
      <w:r w:rsidR="00836F9C">
        <w:t>may exist</w:t>
      </w:r>
      <w:r>
        <w:t xml:space="preserve"> before and after T</w:t>
      </w:r>
      <w:r w:rsidRPr="005E1C9A">
        <w:rPr>
          <w:vertAlign w:val="subscript"/>
        </w:rPr>
        <w:t>ref</w:t>
      </w:r>
      <w:r>
        <w:t xml:space="preserve">. </w:t>
      </w:r>
    </w:p>
    <w:p w14:paraId="399C70BF" w14:textId="616B6BEB" w:rsidR="00AE7043" w:rsidRPr="004D3536" w:rsidRDefault="00AE7043" w:rsidP="00836F9C">
      <w:r>
        <w:t xml:space="preserve">For NG-RAN side measurements (i.e., Case 3a and 3b), the reference time is </w:t>
      </w:r>
      <w:r w:rsidRPr="004D3536">
        <w:t>the existing UL RTOA reference time T</w:t>
      </w:r>
      <w:r w:rsidRPr="004D3536">
        <w:rPr>
          <w:vertAlign w:val="subscript"/>
        </w:rPr>
        <w:t>0</w:t>
      </w:r>
      <w:r w:rsidRPr="004D3536">
        <w:t>+t</w:t>
      </w:r>
      <w:r w:rsidRPr="004D3536">
        <w:rPr>
          <w:vertAlign w:val="subscript"/>
        </w:rPr>
        <w:t>SRS</w:t>
      </w:r>
      <w:r w:rsidRPr="004D3536">
        <w:t xml:space="preserve"> as defined in TS 38.215</w:t>
      </w:r>
      <w:r w:rsidR="00836F9C">
        <w:t>, considering that th</w:t>
      </w:r>
      <w:r w:rsidR="00AF73C7">
        <w:t>is</w:t>
      </w:r>
      <w:r w:rsidR="00836F9C">
        <w:t xml:space="preserve"> reference time has been agreed for Case 3b</w:t>
      </w:r>
      <w:r w:rsidRPr="004D3536">
        <w:t>.</w:t>
      </w:r>
      <w:r>
        <w:t xml:space="preserve"> </w:t>
      </w:r>
    </w:p>
    <w:p w14:paraId="419E1213" w14:textId="77777777" w:rsidR="00AE7043" w:rsidRDefault="00AE7043" w:rsidP="00AE7043"/>
    <w:p w14:paraId="68282FB4" w14:textId="77777777" w:rsidR="00AE7043" w:rsidRDefault="00AE7043" w:rsidP="00AE7043">
      <w:r w:rsidRPr="004D3536">
        <w:rPr>
          <w:b/>
          <w:bCs/>
          <w:u w:val="single"/>
        </w:rPr>
        <w:t>Step 2:</w:t>
      </w:r>
      <w:r w:rsidRPr="004D3536">
        <w:t xml:space="preserve"> Determine the starting point </w:t>
      </w:r>
      <w:r>
        <w:t>T</w:t>
      </w:r>
      <w:r w:rsidRPr="004D3536">
        <w:rPr>
          <w:vertAlign w:val="subscript"/>
        </w:rPr>
        <w:t>0,</w:t>
      </w:r>
      <w:r>
        <w:rPr>
          <w:vertAlign w:val="subscript"/>
        </w:rPr>
        <w:t>meas_window</w:t>
      </w:r>
      <w:r>
        <w:t xml:space="preserve"> </w:t>
      </w:r>
      <w:r w:rsidRPr="004D3536">
        <w:t>of the sequence of N</w:t>
      </w:r>
      <w:r w:rsidRPr="004D3536">
        <w:rPr>
          <w:vertAlign w:val="subscript"/>
        </w:rPr>
        <w:t>t</w:t>
      </w:r>
      <w:r w:rsidRPr="004D3536">
        <w:t xml:space="preserve"> consecutive samples</w:t>
      </w:r>
      <w:r>
        <w:t xml:space="preserve"> according to the timing grid laid down in Step 1. Thus, T</w:t>
      </w:r>
      <w:r w:rsidRPr="004D3536">
        <w:rPr>
          <w:vertAlign w:val="subscript"/>
        </w:rPr>
        <w:t>0,</w:t>
      </w:r>
      <w:r>
        <w:rPr>
          <w:vertAlign w:val="subscript"/>
        </w:rPr>
        <w:t>meas_window</w:t>
      </w:r>
      <w:r>
        <w:t xml:space="preserve"> corresponds to a grid point, and the neighboring samples are spaced by T (sec).</w:t>
      </w:r>
    </w:p>
    <w:p w14:paraId="68BAED32" w14:textId="77777777" w:rsidR="00AE7043" w:rsidRDefault="00AE7043" w:rsidP="00AE7043">
      <w:pPr>
        <w:rPr>
          <w:highlight w:val="yellow"/>
        </w:rPr>
      </w:pPr>
      <w:r>
        <w:t xml:space="preserve">Together (a) </w:t>
      </w:r>
      <w:r w:rsidRPr="004D3536">
        <w:t xml:space="preserve">the starting point </w:t>
      </w:r>
      <w:r>
        <w:t>T</w:t>
      </w:r>
      <w:r w:rsidRPr="004D3536">
        <w:rPr>
          <w:vertAlign w:val="subscript"/>
        </w:rPr>
        <w:t>0,</w:t>
      </w:r>
      <w:r>
        <w:rPr>
          <w:vertAlign w:val="subscript"/>
        </w:rPr>
        <w:t>meas_window</w:t>
      </w:r>
      <w:r>
        <w:t xml:space="preserve"> and (b)</w:t>
      </w:r>
      <w:r w:rsidRPr="004D3536">
        <w:t xml:space="preserve"> </w:t>
      </w:r>
      <w:r>
        <w:t xml:space="preserve">a </w:t>
      </w:r>
      <w:r w:rsidRPr="004D3536">
        <w:t>sequence of N</w:t>
      </w:r>
      <w:r w:rsidRPr="004D3536">
        <w:rPr>
          <w:vertAlign w:val="subscript"/>
        </w:rPr>
        <w:t>t</w:t>
      </w:r>
      <w:r w:rsidRPr="004D3536">
        <w:t xml:space="preserve"> consecutive samples</w:t>
      </w:r>
      <w:r>
        <w:t xml:space="preserve"> spaced by T (sec) define the </w:t>
      </w:r>
      <w:r w:rsidRPr="002B65AA">
        <w:rPr>
          <w:i/>
        </w:rPr>
        <w:t>measurement report window</w:t>
      </w:r>
      <w:r>
        <w:t xml:space="preserve">. That is, </w:t>
      </w:r>
      <w:r w:rsidRPr="001350E1">
        <w:t>the measurement report window is:</w:t>
      </w:r>
      <w:r w:rsidRPr="00A445EC">
        <w:rPr>
          <w:highlight w:val="yellow"/>
        </w:rPr>
        <w:t xml:space="preserve"> </w:t>
      </w:r>
    </w:p>
    <w:p w14:paraId="662A8B13" w14:textId="77777777" w:rsidR="00AE7043" w:rsidRDefault="00AE7043" w:rsidP="00AE7043">
      <w:pPr>
        <w:jc w:val="center"/>
      </w:pPr>
      <w:r w:rsidRPr="000C61AD">
        <w:t>[T</w:t>
      </w:r>
      <w:r w:rsidRPr="000C61AD">
        <w:rPr>
          <w:vertAlign w:val="subscript"/>
        </w:rPr>
        <w:t>0,meas_window</w:t>
      </w:r>
      <w:r w:rsidRPr="000C61AD">
        <w:t>, T</w:t>
      </w:r>
      <w:r w:rsidRPr="000C61AD">
        <w:rPr>
          <w:vertAlign w:val="subscript"/>
        </w:rPr>
        <w:t>0,meas_window</w:t>
      </w:r>
      <w:r w:rsidRPr="000C61AD">
        <w:t xml:space="preserve"> + (N</w:t>
      </w:r>
      <w:r w:rsidRPr="000C61AD">
        <w:rPr>
          <w:vertAlign w:val="subscript"/>
        </w:rPr>
        <w:t>t</w:t>
      </w:r>
      <w:r w:rsidRPr="000C61AD">
        <w:t xml:space="preserve"> -1)*T]</w:t>
      </w:r>
      <w:r w:rsidRPr="000C61AD">
        <w:tab/>
        <w:t>(sec).</w:t>
      </w:r>
    </w:p>
    <w:p w14:paraId="162CF5EF" w14:textId="6F2B92D4" w:rsidR="00836F9C" w:rsidRPr="004D3536" w:rsidRDefault="00836F9C" w:rsidP="002B65AA">
      <w:r>
        <w:t>For NG-RAN side measurements (i.e., Case 3a and 3b), our evaluations show that T</w:t>
      </w:r>
      <w:r w:rsidRPr="004D3536">
        <w:rPr>
          <w:vertAlign w:val="subscript"/>
        </w:rPr>
        <w:t>0,</w:t>
      </w:r>
      <w:r>
        <w:rPr>
          <w:vertAlign w:val="subscript"/>
        </w:rPr>
        <w:t>meas_window</w:t>
      </w:r>
      <w:r>
        <w:t xml:space="preserve"> can be simply the first detected path, which is quantized onto the timing grid laid down in Step 1.</w:t>
      </w:r>
    </w:p>
    <w:p w14:paraId="18544260" w14:textId="539D4A97" w:rsidR="00AE7043" w:rsidRDefault="00AE7043" w:rsidP="00AE7043">
      <w:r w:rsidRPr="004D3536">
        <w:rPr>
          <w:b/>
          <w:bCs/>
          <w:u w:val="single"/>
        </w:rPr>
        <w:t>Step 3:</w:t>
      </w:r>
      <w:r w:rsidRPr="004D3536">
        <w:t xml:space="preserve"> </w:t>
      </w:r>
      <w:r>
        <w:t>Select N</w:t>
      </w:r>
      <w:r w:rsidRPr="004D3536">
        <w:rPr>
          <w:vertAlign w:val="subscript"/>
        </w:rPr>
        <w:t>t</w:t>
      </w:r>
      <w:r>
        <w:t xml:space="preserve">’ samples from the </w:t>
      </w:r>
      <w:r w:rsidRPr="004D3536">
        <w:t>sequence of N</w:t>
      </w:r>
      <w:r w:rsidRPr="004D3536">
        <w:rPr>
          <w:vertAlign w:val="subscript"/>
        </w:rPr>
        <w:t>t</w:t>
      </w:r>
      <w:r w:rsidRPr="004D3536">
        <w:t xml:space="preserve"> </w:t>
      </w:r>
      <w:r>
        <w:t xml:space="preserve">consecutive </w:t>
      </w:r>
      <w:r w:rsidRPr="004D3536">
        <w:t>samples</w:t>
      </w:r>
      <w:r>
        <w:t xml:space="preserve"> based on a selection rule. </w:t>
      </w:r>
    </w:p>
    <w:p w14:paraId="73831717" w14:textId="70EB05F1" w:rsidR="00AE7043" w:rsidRDefault="00AE7043" w:rsidP="00AE7043">
      <w:r>
        <w:t>For NG-RAN side measurements (i.e., Case 3a and 3b), the selection rule</w:t>
      </w:r>
      <w:r w:rsidR="00836F9C">
        <w:t xml:space="preserve"> was agreed in RAN1#118, i.e.,</w:t>
      </w:r>
      <w:r>
        <w:t xml:space="preserve"> </w:t>
      </w:r>
      <w:r w:rsidR="00836F9C" w:rsidRPr="00836F9C">
        <w:t>the N</w:t>
      </w:r>
      <w:r w:rsidR="00836F9C" w:rsidRPr="00836F9C">
        <w:rPr>
          <w:vertAlign w:val="subscript"/>
        </w:rPr>
        <w:t>t</w:t>
      </w:r>
      <w:r w:rsidR="00836F9C" w:rsidRPr="00836F9C">
        <w:t>’ selected samples are expected to be those with the highest power.</w:t>
      </w:r>
      <w:r>
        <w:t xml:space="preserve"> </w:t>
      </w:r>
    </w:p>
    <w:p w14:paraId="403F15F1" w14:textId="45C7917B" w:rsidR="00AE7043" w:rsidRDefault="00AE7043" w:rsidP="00AE7043">
      <w:r>
        <w:t xml:space="preserve">To illustrate the procedures above, two examples are shown in </w:t>
      </w:r>
      <w:r>
        <w:fldChar w:fldCharType="begin"/>
      </w:r>
      <w:r>
        <w:instrText xml:space="preserve"> REF _Ref177576965 </w:instrText>
      </w:r>
      <w:r>
        <w:fldChar w:fldCharType="separate"/>
      </w:r>
      <w:r w:rsidR="00850DA1">
        <w:t xml:space="preserve">Figure </w:t>
      </w:r>
      <w:r w:rsidR="00850DA1">
        <w:rPr>
          <w:noProof/>
        </w:rPr>
        <w:t>1</w:t>
      </w:r>
      <w:r>
        <w:fldChar w:fldCharType="end"/>
      </w:r>
      <w:r>
        <w:t xml:space="preserve"> and </w:t>
      </w:r>
      <w:r>
        <w:fldChar w:fldCharType="begin"/>
      </w:r>
      <w:r>
        <w:instrText xml:space="preserve"> REF _Ref177576966 </w:instrText>
      </w:r>
      <w:r>
        <w:fldChar w:fldCharType="separate"/>
      </w:r>
      <w:r w:rsidR="00850DA1">
        <w:t xml:space="preserve">Figure </w:t>
      </w:r>
      <w:r w:rsidR="00850DA1">
        <w:rPr>
          <w:noProof/>
        </w:rPr>
        <w:t>2</w:t>
      </w:r>
      <w:r>
        <w:fldChar w:fldCharType="end"/>
      </w:r>
      <w:r>
        <w:t>.</w:t>
      </w:r>
    </w:p>
    <w:p w14:paraId="4F39A6C7" w14:textId="77777777" w:rsidR="00AE7043" w:rsidRDefault="00AE7043" w:rsidP="00AE7043">
      <w:r w:rsidRPr="00593FAF">
        <w:rPr>
          <w:noProof/>
        </w:rPr>
        <w:drawing>
          <wp:inline distT="0" distB="0" distL="0" distR="0" wp14:anchorId="515B01C2" wp14:editId="2B5F626B">
            <wp:extent cx="5400040" cy="1072515"/>
            <wp:effectExtent l="0" t="0" r="0" b="0"/>
            <wp:docPr id="12620580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1072515"/>
                    </a:xfrm>
                    <a:prstGeom prst="rect">
                      <a:avLst/>
                    </a:prstGeom>
                    <a:noFill/>
                    <a:ln>
                      <a:noFill/>
                    </a:ln>
                  </pic:spPr>
                </pic:pic>
              </a:graphicData>
            </a:graphic>
          </wp:inline>
        </w:drawing>
      </w:r>
    </w:p>
    <w:p w14:paraId="71BFED2B" w14:textId="7F320921" w:rsidR="00AE7043" w:rsidRPr="005D23B7" w:rsidRDefault="00AE7043" w:rsidP="00AE7043">
      <w:pPr>
        <w:pStyle w:val="Caption"/>
      </w:pPr>
      <w:bookmarkStart w:id="207" w:name="_Ref177576965"/>
      <w:r>
        <w:t xml:space="preserve">Figure </w:t>
      </w:r>
      <w:r>
        <w:fldChar w:fldCharType="begin"/>
      </w:r>
      <w:r>
        <w:instrText xml:space="preserve"> SEQ Figure \* ARABIC </w:instrText>
      </w:r>
      <w:r>
        <w:fldChar w:fldCharType="separate"/>
      </w:r>
      <w:r w:rsidR="00850DA1">
        <w:rPr>
          <w:noProof/>
        </w:rPr>
        <w:t>1</w:t>
      </w:r>
      <w:r>
        <w:fldChar w:fldCharType="end"/>
      </w:r>
      <w:bookmarkEnd w:id="207"/>
      <w:r>
        <w:t>. An example of generating channel measurement samples, where the start time of measurement report window (T</w:t>
      </w:r>
      <w:r w:rsidRPr="004D3536">
        <w:rPr>
          <w:vertAlign w:val="subscript"/>
        </w:rPr>
        <w:t>0,</w:t>
      </w:r>
      <w:r>
        <w:rPr>
          <w:vertAlign w:val="subscript"/>
        </w:rPr>
        <w:t>meas_window</w:t>
      </w:r>
      <w:r>
        <w:t>) is later than the reference time (T</w:t>
      </w:r>
      <w:r w:rsidRPr="005E1C9A">
        <w:rPr>
          <w:vertAlign w:val="subscript"/>
        </w:rPr>
        <w:t>ref</w:t>
      </w:r>
      <w:r>
        <w:t>).  From the measurement report window, N</w:t>
      </w:r>
      <w:r w:rsidRPr="004D3536">
        <w:rPr>
          <w:vertAlign w:val="subscript"/>
        </w:rPr>
        <w:t>t</w:t>
      </w:r>
      <w:r>
        <w:t>’=9 samples are selected from N</w:t>
      </w:r>
      <w:r w:rsidRPr="005D23B7">
        <w:rPr>
          <w:vertAlign w:val="subscript"/>
        </w:rPr>
        <w:t>t</w:t>
      </w:r>
      <w:r>
        <w:t>=16 consecutive samples for determining model input.</w:t>
      </w:r>
    </w:p>
    <w:p w14:paraId="6AFA7265" w14:textId="77777777" w:rsidR="00AE7043" w:rsidRDefault="00AE7043" w:rsidP="00AE7043"/>
    <w:p w14:paraId="25037C90" w14:textId="77777777" w:rsidR="00AE7043" w:rsidRDefault="00AE7043" w:rsidP="00AE7043">
      <w:r w:rsidRPr="00593FAF">
        <w:rPr>
          <w:noProof/>
        </w:rPr>
        <w:lastRenderedPageBreak/>
        <w:drawing>
          <wp:inline distT="0" distB="0" distL="0" distR="0" wp14:anchorId="054F6EC7" wp14:editId="53597BD8">
            <wp:extent cx="5400040" cy="1250315"/>
            <wp:effectExtent l="0" t="0" r="0" b="0"/>
            <wp:docPr id="81204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1250315"/>
                    </a:xfrm>
                    <a:prstGeom prst="rect">
                      <a:avLst/>
                    </a:prstGeom>
                    <a:noFill/>
                    <a:ln>
                      <a:noFill/>
                    </a:ln>
                  </pic:spPr>
                </pic:pic>
              </a:graphicData>
            </a:graphic>
          </wp:inline>
        </w:drawing>
      </w:r>
    </w:p>
    <w:p w14:paraId="11CE5B22" w14:textId="522C30FA" w:rsidR="00AE7043" w:rsidRPr="005D23B7" w:rsidRDefault="00AE7043" w:rsidP="00AE7043">
      <w:pPr>
        <w:pStyle w:val="Caption"/>
      </w:pPr>
      <w:bookmarkStart w:id="208" w:name="_Ref177576966"/>
      <w:r>
        <w:t xml:space="preserve">Figure </w:t>
      </w:r>
      <w:r>
        <w:fldChar w:fldCharType="begin"/>
      </w:r>
      <w:r>
        <w:instrText xml:space="preserve"> SEQ Figure \* ARABIC </w:instrText>
      </w:r>
      <w:r>
        <w:fldChar w:fldCharType="separate"/>
      </w:r>
      <w:r w:rsidR="00850DA1">
        <w:rPr>
          <w:noProof/>
        </w:rPr>
        <w:t>2</w:t>
      </w:r>
      <w:r>
        <w:fldChar w:fldCharType="end"/>
      </w:r>
      <w:bookmarkEnd w:id="208"/>
      <w:r>
        <w:t>. An example of generating channel measurement samples, where the start time of measurement report window (T</w:t>
      </w:r>
      <w:r w:rsidRPr="004D3536">
        <w:rPr>
          <w:vertAlign w:val="subscript"/>
        </w:rPr>
        <w:t>0,</w:t>
      </w:r>
      <w:r>
        <w:rPr>
          <w:vertAlign w:val="subscript"/>
        </w:rPr>
        <w:t>meas_window</w:t>
      </w:r>
      <w:r>
        <w:t>) is earlier than the reference time (T</w:t>
      </w:r>
      <w:r w:rsidRPr="005E1C9A">
        <w:rPr>
          <w:vertAlign w:val="subscript"/>
        </w:rPr>
        <w:t>ref</w:t>
      </w:r>
      <w:r>
        <w:t>).  From the measurement report window, N</w:t>
      </w:r>
      <w:r w:rsidRPr="004D3536">
        <w:rPr>
          <w:vertAlign w:val="subscript"/>
        </w:rPr>
        <w:t>t</w:t>
      </w:r>
      <w:r>
        <w:t>’=9 samples are selected from N</w:t>
      </w:r>
      <w:r w:rsidRPr="005D23B7">
        <w:rPr>
          <w:vertAlign w:val="subscript"/>
        </w:rPr>
        <w:t>t</w:t>
      </w:r>
      <w:r>
        <w:t>=16 consecutive samples for determining model input.</w:t>
      </w:r>
    </w:p>
    <w:p w14:paraId="348AF162" w14:textId="77777777" w:rsidR="00AE7043" w:rsidRDefault="00AE7043" w:rsidP="00AE7043"/>
    <w:p w14:paraId="64DBB54F" w14:textId="31DFAAC1" w:rsidR="001B7984" w:rsidRDefault="00FD2850" w:rsidP="00AE7043">
      <w:r>
        <w:t>T</w:t>
      </w:r>
      <w:r w:rsidR="001B7984">
        <w:t xml:space="preserve">he </w:t>
      </w:r>
      <w:r>
        <w:t xml:space="preserve">procedure described in Step 1-3 above </w:t>
      </w:r>
      <w:r w:rsidR="001B7984">
        <w:t>appl</w:t>
      </w:r>
      <w:r w:rsidR="00E43729">
        <w:t>ies</w:t>
      </w:r>
      <w:r w:rsidR="001B7984">
        <w:t xml:space="preserve"> to all cases when model input is needed</w:t>
      </w:r>
      <w:r>
        <w:t>. The difference is in how to set the parameters in the procedure, for example, uplink and downlink measurements use different reference time T</w:t>
      </w:r>
      <w:r w:rsidRPr="005E1C9A">
        <w:rPr>
          <w:vertAlign w:val="subscript"/>
        </w:rPr>
        <w:t>ref</w:t>
      </w:r>
      <w:r>
        <w:t xml:space="preserve">. Thus this procedure can be adopted to support sample-based measurements for all cases. Furthermore, as shown by evaluation results in </w:t>
      </w:r>
      <w:r w:rsidR="00500110">
        <w:fldChar w:fldCharType="begin"/>
      </w:r>
      <w:r w:rsidR="00500110">
        <w:instrText xml:space="preserve"> REF _Ref178773632 \r </w:instrText>
      </w:r>
      <w:r w:rsidR="00500110">
        <w:fldChar w:fldCharType="separate"/>
      </w:r>
      <w:r w:rsidR="00850DA1">
        <w:t>3.1.1.3</w:t>
      </w:r>
      <w:r w:rsidR="00500110">
        <w:fldChar w:fldCharType="end"/>
      </w:r>
      <w:r>
        <w:t>, the list of N</w:t>
      </w:r>
      <w:r w:rsidRPr="00FD2850">
        <w:rPr>
          <w:vertAlign w:val="subscript"/>
        </w:rPr>
        <w:t>t</w:t>
      </w:r>
      <w:r>
        <w:t xml:space="preserve"> consecutive </w:t>
      </w:r>
      <w:r w:rsidRPr="008964A5">
        <w:t xml:space="preserve">samples </w:t>
      </w:r>
      <w:r w:rsidR="000A28E9">
        <w:t xml:space="preserve">can </w:t>
      </w:r>
      <w:r>
        <w:t>start at the first detected path</w:t>
      </w:r>
      <w:r w:rsidR="000A28E9">
        <w:t xml:space="preserve"> without any performance loss, and without any negative ramification from including a path detection step in the sample-based measurement (e.g., no sensitivity to channel estimator algorithm).</w:t>
      </w:r>
    </w:p>
    <w:p w14:paraId="3DBCD6E2" w14:textId="77777777" w:rsidR="00C66435" w:rsidRDefault="00C66435" w:rsidP="00AE7043"/>
    <w:p w14:paraId="3B1A2A2E" w14:textId="35B2F3D0" w:rsidR="00E272DD" w:rsidRDefault="000A28E9" w:rsidP="00836F9C">
      <w:pPr>
        <w:pStyle w:val="Proposal"/>
      </w:pPr>
      <w:bookmarkStart w:id="209" w:name="_Toc178961888"/>
      <w:r w:rsidRPr="000A28E9">
        <w:t>For the definition of sample-based measurement, the timing grid</w:t>
      </w:r>
      <w:r>
        <w:t xml:space="preserve"> for t</w:t>
      </w:r>
      <w:r w:rsidRPr="000A28E9">
        <w:t>he N</w:t>
      </w:r>
      <w:r w:rsidRPr="000A28E9">
        <w:rPr>
          <w:vertAlign w:val="subscript"/>
        </w:rPr>
        <w:t>t</w:t>
      </w:r>
      <w:r w:rsidRPr="000A28E9">
        <w:t xml:space="preserve"> </w:t>
      </w:r>
      <w:r w:rsidR="00E272DD">
        <w:t xml:space="preserve">consecutive </w:t>
      </w:r>
      <w:r w:rsidRPr="000A28E9">
        <w:t xml:space="preserve">samples </w:t>
      </w:r>
      <w:r>
        <w:t xml:space="preserve">is determined by </w:t>
      </w:r>
      <w:r w:rsidRPr="000A28E9">
        <w:t>the reference time T</w:t>
      </w:r>
      <w:r w:rsidRPr="000A28E9">
        <w:rPr>
          <w:vertAlign w:val="subscript"/>
        </w:rPr>
        <w:t>ref</w:t>
      </w:r>
      <w:r w:rsidRPr="000A28E9">
        <w:t xml:space="preserve"> (seconds)</w:t>
      </w:r>
      <w:r>
        <w:t xml:space="preserve">, together with </w:t>
      </w:r>
      <w:r w:rsidRPr="000A28E9">
        <w:t>the timing granularity T</w:t>
      </w:r>
      <w:r>
        <w:t>.</w:t>
      </w:r>
      <w:bookmarkEnd w:id="209"/>
      <w:r w:rsidRPr="000A28E9">
        <w:t xml:space="preserve"> </w:t>
      </w:r>
    </w:p>
    <w:p w14:paraId="557628EE" w14:textId="1F5B0B2E" w:rsidR="00836F9C" w:rsidRPr="000A28E9" w:rsidRDefault="00E272DD" w:rsidP="00836F9C">
      <w:pPr>
        <w:pStyle w:val="Proposal"/>
      </w:pPr>
      <w:bookmarkStart w:id="210" w:name="_Toc178961889"/>
      <w:r>
        <w:t>T</w:t>
      </w:r>
      <w:r w:rsidR="00836F9C" w:rsidRPr="000A28E9">
        <w:t xml:space="preserve">he </w:t>
      </w:r>
      <w:r>
        <w:t xml:space="preserve">starting time of the </w:t>
      </w:r>
      <w:r w:rsidRPr="000A28E9">
        <w:t>N</w:t>
      </w:r>
      <w:r w:rsidRPr="000A28E9">
        <w:rPr>
          <w:vertAlign w:val="subscript"/>
        </w:rPr>
        <w:t>t</w:t>
      </w:r>
      <w:r w:rsidRPr="000A28E9">
        <w:t xml:space="preserve"> </w:t>
      </w:r>
      <w:r>
        <w:t xml:space="preserve">consecutive </w:t>
      </w:r>
      <w:r w:rsidRPr="000A28E9">
        <w:t xml:space="preserve">samples </w:t>
      </w:r>
      <w:r>
        <w:t>is</w:t>
      </w:r>
      <w:r w:rsidR="00836F9C" w:rsidRPr="000A28E9">
        <w:t xml:space="preserve"> the timing of the first detected path</w:t>
      </w:r>
      <w:r>
        <w:t>, quantized to the timing grid</w:t>
      </w:r>
      <w:r w:rsidR="00836F9C" w:rsidRPr="000A28E9">
        <w:t>.</w:t>
      </w:r>
      <w:bookmarkEnd w:id="210"/>
    </w:p>
    <w:p w14:paraId="4E6BB53E" w14:textId="77777777" w:rsidR="008E6D61" w:rsidRDefault="008E6D61" w:rsidP="00F06DCE"/>
    <w:p w14:paraId="404B7DF9" w14:textId="17554DFE" w:rsidR="00DD002C" w:rsidRDefault="00DD002C" w:rsidP="00DD002C">
      <w:pPr>
        <w:pStyle w:val="Heading4"/>
      </w:pPr>
      <w:bookmarkStart w:id="211" w:name="_Toc178961644"/>
      <w:r>
        <w:rPr>
          <w:lang w:val="en-US"/>
        </w:rPr>
        <w:t>Value range for parameters</w:t>
      </w:r>
      <w:r>
        <w:t xml:space="preserve"> {</w:t>
      </w:r>
      <w:r w:rsidRPr="0002562A">
        <w:t>N</w:t>
      </w:r>
      <w:r w:rsidRPr="001B4A11">
        <w:rPr>
          <w:vertAlign w:val="subscript"/>
        </w:rPr>
        <w:t>t</w:t>
      </w:r>
      <w:r>
        <w:t xml:space="preserve">, </w:t>
      </w:r>
      <w:r w:rsidRPr="0002562A">
        <w:t>N</w:t>
      </w:r>
      <w:r w:rsidRPr="001B4A11">
        <w:rPr>
          <w:vertAlign w:val="subscript"/>
        </w:rPr>
        <w:t>t</w:t>
      </w:r>
      <w:r w:rsidRPr="0002562A">
        <w:t>'</w:t>
      </w:r>
      <w:r>
        <w:t>, k}</w:t>
      </w:r>
      <w:bookmarkEnd w:id="211"/>
    </w:p>
    <w:p w14:paraId="4DAB4AAA" w14:textId="3E69DB11" w:rsidR="00D64FC0" w:rsidRDefault="00D64FC0" w:rsidP="00D64FC0">
      <w:r>
        <w:t>Another open issue in the agreed definition of sample-based measurement is the value range</w:t>
      </w:r>
      <w:r w:rsidRPr="0002562A">
        <w:t xml:space="preserve"> </w:t>
      </w:r>
      <w:r>
        <w:t xml:space="preserve">of parameters </w:t>
      </w:r>
      <w:r w:rsidRPr="0002562A">
        <w:t>N</w:t>
      </w:r>
      <w:r w:rsidRPr="001B4A11">
        <w:rPr>
          <w:vertAlign w:val="subscript"/>
        </w:rPr>
        <w:t>t</w:t>
      </w:r>
      <w:r>
        <w:t xml:space="preserve">, </w:t>
      </w:r>
      <w:r w:rsidRPr="0002562A">
        <w:t>N</w:t>
      </w:r>
      <w:r w:rsidRPr="001B4A11">
        <w:rPr>
          <w:vertAlign w:val="subscript"/>
        </w:rPr>
        <w:t>t</w:t>
      </w:r>
      <w:r w:rsidRPr="0002562A">
        <w:t>' and k</w:t>
      </w:r>
      <w:r w:rsidRPr="00FA38CF">
        <w:t xml:space="preserve"> </w:t>
      </w:r>
      <w:r>
        <w:t>for sample-based measurement.</w:t>
      </w:r>
    </w:p>
    <w:p w14:paraId="325B61C0" w14:textId="215B2A80" w:rsidR="00DD002C" w:rsidRPr="00DD002C" w:rsidRDefault="00D64FC0" w:rsidP="00DD002C">
      <w:pPr>
        <w:rPr>
          <w:lang w:val="en-GB"/>
        </w:rPr>
      </w:pPr>
      <w:r>
        <w:t xml:space="preserve">For Case 3b, parameters </w:t>
      </w:r>
      <w:r w:rsidRPr="0002562A">
        <w:t>N</w:t>
      </w:r>
      <w:r w:rsidRPr="001B4A11">
        <w:rPr>
          <w:vertAlign w:val="subscript"/>
        </w:rPr>
        <w:t>t</w:t>
      </w:r>
      <w:r>
        <w:t xml:space="preserve">, </w:t>
      </w:r>
      <w:r w:rsidRPr="0002562A">
        <w:t>N</w:t>
      </w:r>
      <w:r w:rsidRPr="001B4A11">
        <w:rPr>
          <w:vertAlign w:val="subscript"/>
        </w:rPr>
        <w:t>t</w:t>
      </w:r>
      <w:r w:rsidRPr="0002562A">
        <w:t>' and k</w:t>
      </w:r>
      <w:r>
        <w:t xml:space="preserve"> are selected by LMF and sent to gNB in the measurement request, and the gNB provide measurement report based on the {</w:t>
      </w:r>
      <w:r w:rsidRPr="0002562A">
        <w:t>N</w:t>
      </w:r>
      <w:r w:rsidRPr="001B4A11">
        <w:rPr>
          <w:vertAlign w:val="subscript"/>
        </w:rPr>
        <w:t>t</w:t>
      </w:r>
      <w:r>
        <w:t xml:space="preserve">, </w:t>
      </w:r>
      <w:r w:rsidRPr="0002562A">
        <w:t>N</w:t>
      </w:r>
      <w:r w:rsidRPr="001B4A11">
        <w:rPr>
          <w:vertAlign w:val="subscript"/>
        </w:rPr>
        <w:t>t</w:t>
      </w:r>
      <w:r w:rsidRPr="0002562A">
        <w:t>'</w:t>
      </w:r>
      <w:r>
        <w:t>, k} values by LMF. The value range of parameters {</w:t>
      </w:r>
      <w:r w:rsidRPr="0002562A">
        <w:t>N</w:t>
      </w:r>
      <w:r w:rsidRPr="001B4A11">
        <w:rPr>
          <w:vertAlign w:val="subscript"/>
        </w:rPr>
        <w:t>t</w:t>
      </w:r>
      <w:r>
        <w:t xml:space="preserve">, </w:t>
      </w:r>
      <w:r w:rsidRPr="0002562A">
        <w:t>N</w:t>
      </w:r>
      <w:r w:rsidRPr="001B4A11">
        <w:rPr>
          <w:vertAlign w:val="subscript"/>
        </w:rPr>
        <w:t>t</w:t>
      </w:r>
      <w:r w:rsidRPr="0002562A">
        <w:t>'</w:t>
      </w:r>
      <w:r>
        <w:t>, k} should not be excessive, because the LMF need to collect data and train a different model for different parameter settings, for example, a different model for each combination of {</w:t>
      </w:r>
      <w:r w:rsidRPr="0002562A">
        <w:t>N</w:t>
      </w:r>
      <w:r w:rsidRPr="001B4A11">
        <w:rPr>
          <w:vertAlign w:val="subscript"/>
        </w:rPr>
        <w:t>t</w:t>
      </w:r>
      <w:r>
        <w:t xml:space="preserve">, </w:t>
      </w:r>
      <w:r w:rsidRPr="0002562A">
        <w:t>N</w:t>
      </w:r>
      <w:r w:rsidRPr="001B4A11">
        <w:rPr>
          <w:vertAlign w:val="subscript"/>
        </w:rPr>
        <w:t>t</w:t>
      </w:r>
      <w:r w:rsidRPr="0002562A">
        <w:t>'</w:t>
      </w:r>
      <w:r>
        <w:t>, k}.</w:t>
      </w:r>
    </w:p>
    <w:p w14:paraId="06C5B3DB" w14:textId="04172A97" w:rsidR="00D64FC0" w:rsidRDefault="00D64FC0" w:rsidP="00DD002C">
      <w:r>
        <w:t>The evaluation results in Rel-18 study item phase as well as Rel-19 show that the maximum value of N</w:t>
      </w:r>
      <w:r w:rsidRPr="00D64FC0">
        <w:rPr>
          <w:vertAlign w:val="subscript"/>
        </w:rPr>
        <w:t>t</w:t>
      </w:r>
      <w:r>
        <w:t xml:space="preserve"> can be set as 64, since </w:t>
      </w:r>
      <w:r w:rsidR="009E2BD7">
        <w:t>it shows no tangible performance degradation compared to 128</w:t>
      </w:r>
      <w:r>
        <w:t>.</w:t>
      </w:r>
      <w:r w:rsidR="009E2BD7">
        <w:t xml:space="preserve"> The minimum value</w:t>
      </w:r>
      <w:r>
        <w:t xml:space="preserve"> </w:t>
      </w:r>
      <w:r w:rsidR="009E2BD7">
        <w:t>of N</w:t>
      </w:r>
      <w:r w:rsidR="009E2BD7" w:rsidRPr="00D64FC0">
        <w:rPr>
          <w:vertAlign w:val="subscript"/>
        </w:rPr>
        <w:t>t</w:t>
      </w:r>
      <w:r w:rsidR="009E2BD7">
        <w:t xml:space="preserve"> can be set as 9, the same as the maximum number of path</w:t>
      </w:r>
      <w:r w:rsidR="0056537D">
        <w:t>s</w:t>
      </w:r>
      <w:r w:rsidR="009E2BD7">
        <w:t xml:space="preserve"> in the existing measurement report. Between 9 and 64, power-of-2 values 16 and 32 can be adopted </w:t>
      </w:r>
      <w:r w:rsidR="007A4A8B">
        <w:t>for N</w:t>
      </w:r>
      <w:r w:rsidR="007A4A8B" w:rsidRPr="00D64FC0">
        <w:rPr>
          <w:vertAlign w:val="subscript"/>
        </w:rPr>
        <w:t>t</w:t>
      </w:r>
      <w:r w:rsidR="007A4A8B">
        <w:t xml:space="preserve"> </w:t>
      </w:r>
      <w:r w:rsidR="009E2BD7">
        <w:t>as well.</w:t>
      </w:r>
    </w:p>
    <w:p w14:paraId="4EB4A2A3" w14:textId="5B1893C5" w:rsidR="009E2BD7" w:rsidRPr="00A86605" w:rsidRDefault="009E2BD7" w:rsidP="00DD002C">
      <w:r>
        <w:t xml:space="preserve">For </w:t>
      </w:r>
      <w:r w:rsidRPr="0002562A">
        <w:t>N</w:t>
      </w:r>
      <w:r w:rsidRPr="001B4A11">
        <w:rPr>
          <w:vertAlign w:val="subscript"/>
        </w:rPr>
        <w:t>t</w:t>
      </w:r>
      <w:r w:rsidRPr="0002562A">
        <w:t>'</w:t>
      </w:r>
      <w:r>
        <w:t xml:space="preserve">, </w:t>
      </w:r>
      <w:r w:rsidRPr="0002562A">
        <w:t>N</w:t>
      </w:r>
      <w:r w:rsidRPr="001B4A11">
        <w:rPr>
          <w:vertAlign w:val="subscript"/>
        </w:rPr>
        <w:t>t</w:t>
      </w:r>
      <w:r w:rsidRPr="0002562A">
        <w:t>'</w:t>
      </w:r>
      <w:r>
        <w:t>&lt;=</w:t>
      </w:r>
      <w:r w:rsidRPr="009E2BD7">
        <w:t xml:space="preserve"> </w:t>
      </w:r>
      <w:r w:rsidRPr="0002562A">
        <w:t>N</w:t>
      </w:r>
      <w:r w:rsidRPr="001B4A11">
        <w:rPr>
          <w:vertAlign w:val="subscript"/>
        </w:rPr>
        <w:t>t</w:t>
      </w:r>
      <w:r>
        <w:t xml:space="preserve"> can be supported, i.e., </w:t>
      </w:r>
      <w:r w:rsidRPr="0002562A">
        <w:t>N</w:t>
      </w:r>
      <w:r w:rsidRPr="001B4A11">
        <w:rPr>
          <w:vertAlign w:val="subscript"/>
        </w:rPr>
        <w:t>t</w:t>
      </w:r>
      <w:r w:rsidRPr="0002562A">
        <w:t>'</w:t>
      </w:r>
      <w:r>
        <w:t>=</w:t>
      </w:r>
      <w:r w:rsidRPr="009E2BD7">
        <w:t xml:space="preserve"> </w:t>
      </w:r>
      <w:r w:rsidRPr="0002562A">
        <w:t>N</w:t>
      </w:r>
      <w:r w:rsidRPr="001B4A11">
        <w:rPr>
          <w:vertAlign w:val="subscript"/>
        </w:rPr>
        <w:t>t</w:t>
      </w:r>
      <w:r>
        <w:t xml:space="preserve"> is allowed for smaller value of </w:t>
      </w:r>
      <w:r w:rsidRPr="0002562A">
        <w:t>N</w:t>
      </w:r>
      <w:r w:rsidRPr="001B4A11">
        <w:rPr>
          <w:vertAlign w:val="subscript"/>
        </w:rPr>
        <w:t>t</w:t>
      </w:r>
      <w:r>
        <w:t xml:space="preserve">. </w:t>
      </w:r>
      <w:r w:rsidR="00E703B1">
        <w:t xml:space="preserve">Also, when </w:t>
      </w:r>
      <w:r w:rsidR="00E703B1" w:rsidRPr="0002562A">
        <w:t>N</w:t>
      </w:r>
      <w:r w:rsidR="00E703B1" w:rsidRPr="001B4A11">
        <w:rPr>
          <w:vertAlign w:val="subscript"/>
        </w:rPr>
        <w:t>t</w:t>
      </w:r>
      <w:r w:rsidR="00E703B1" w:rsidRPr="0002562A">
        <w:t>'</w:t>
      </w:r>
      <w:r w:rsidR="00E703B1">
        <w:t>=</w:t>
      </w:r>
      <w:r w:rsidR="00E703B1" w:rsidRPr="009E2BD7">
        <w:t xml:space="preserve"> </w:t>
      </w:r>
      <w:r w:rsidR="00E703B1" w:rsidRPr="0002562A">
        <w:t>N</w:t>
      </w:r>
      <w:r w:rsidR="00E703B1" w:rsidRPr="001B4A11">
        <w:rPr>
          <w:vertAlign w:val="subscript"/>
        </w:rPr>
        <w:t>t</w:t>
      </w:r>
      <w:r w:rsidR="00E703B1">
        <w:t>, the selection rule is equivalently avoided, and all samples in the range of N</w:t>
      </w:r>
      <w:r w:rsidR="00E703B1" w:rsidRPr="00E703B1">
        <w:rPr>
          <w:vertAlign w:val="subscript"/>
        </w:rPr>
        <w:t>t</w:t>
      </w:r>
      <w:r w:rsidR="00E703B1">
        <w:t xml:space="preserve"> are accepted. </w:t>
      </w:r>
      <w:r w:rsidR="00A86605">
        <w:t xml:space="preserve">For larger values of </w:t>
      </w:r>
      <w:r w:rsidR="00A86605" w:rsidRPr="0002562A">
        <w:t>N</w:t>
      </w:r>
      <w:r w:rsidR="00A86605" w:rsidRPr="001B4A11">
        <w:rPr>
          <w:vertAlign w:val="subscript"/>
        </w:rPr>
        <w:t>t</w:t>
      </w:r>
      <w:r w:rsidR="00A86605">
        <w:t xml:space="preserve">, </w:t>
      </w:r>
      <w:r w:rsidR="00A86605" w:rsidRPr="0002562A">
        <w:t>N</w:t>
      </w:r>
      <w:r w:rsidR="00A86605" w:rsidRPr="001B4A11">
        <w:rPr>
          <w:vertAlign w:val="subscript"/>
        </w:rPr>
        <w:t>t</w:t>
      </w:r>
      <w:r w:rsidR="00A86605" w:rsidRPr="0002562A">
        <w:t>'</w:t>
      </w:r>
      <w:r w:rsidR="00A86605">
        <w:t>&lt;</w:t>
      </w:r>
      <w:r w:rsidR="00A86605" w:rsidRPr="009E2BD7">
        <w:t xml:space="preserve"> </w:t>
      </w:r>
      <w:r w:rsidR="00A86605" w:rsidRPr="0002562A">
        <w:t>N</w:t>
      </w:r>
      <w:r w:rsidR="00A86605" w:rsidRPr="001B4A11">
        <w:rPr>
          <w:vertAlign w:val="subscript"/>
        </w:rPr>
        <w:t>t</w:t>
      </w:r>
      <w:r w:rsidR="00A86605">
        <w:t xml:space="preserve"> is followed to save signaling overhead. </w:t>
      </w:r>
    </w:p>
    <w:p w14:paraId="7059222A" w14:textId="5F840ACC" w:rsidR="009E2BD7" w:rsidRDefault="009E2BD7" w:rsidP="00DD002C">
      <w:r>
        <w:t>In summary, the following parameter combinations can be supported:</w:t>
      </w:r>
    </w:p>
    <w:p w14:paraId="5F3F8E69" w14:textId="03FCA7B2" w:rsidR="009E2BD7" w:rsidRDefault="009E2BD7" w:rsidP="00D35F36">
      <w:pPr>
        <w:pStyle w:val="ListParagraph"/>
        <w:numPr>
          <w:ilvl w:val="1"/>
          <w:numId w:val="82"/>
        </w:numPr>
      </w:pPr>
      <w:r>
        <w:t>For N</w:t>
      </w:r>
      <w:r w:rsidRPr="009E2BD7">
        <w:rPr>
          <w:vertAlign w:val="subscript"/>
        </w:rPr>
        <w:t>t</w:t>
      </w:r>
      <w:r>
        <w:t xml:space="preserve"> = 9: {</w:t>
      </w:r>
      <w:r w:rsidRPr="0002562A">
        <w:t>N</w:t>
      </w:r>
      <w:r w:rsidRPr="001B4A11">
        <w:rPr>
          <w:vertAlign w:val="subscript"/>
        </w:rPr>
        <w:t>t</w:t>
      </w:r>
      <w:r>
        <w:t xml:space="preserve">, </w:t>
      </w:r>
      <w:r w:rsidRPr="0002562A">
        <w:t>N</w:t>
      </w:r>
      <w:r w:rsidRPr="001B4A11">
        <w:rPr>
          <w:vertAlign w:val="subscript"/>
        </w:rPr>
        <w:t>t</w:t>
      </w:r>
      <w:r w:rsidRPr="0002562A">
        <w:t>'</w:t>
      </w:r>
      <w:r>
        <w:t>} = {9, 9};</w:t>
      </w:r>
    </w:p>
    <w:p w14:paraId="395C69EF" w14:textId="6FA72E25" w:rsidR="009E2BD7" w:rsidRDefault="009E2BD7" w:rsidP="00D35F36">
      <w:pPr>
        <w:pStyle w:val="ListParagraph"/>
        <w:numPr>
          <w:ilvl w:val="1"/>
          <w:numId w:val="82"/>
        </w:numPr>
      </w:pPr>
      <w:r>
        <w:t>For N</w:t>
      </w:r>
      <w:r w:rsidRPr="009E2BD7">
        <w:rPr>
          <w:vertAlign w:val="subscript"/>
        </w:rPr>
        <w:t>t</w:t>
      </w:r>
      <w:r>
        <w:t xml:space="preserve"> = 16: {</w:t>
      </w:r>
      <w:r w:rsidRPr="0002562A">
        <w:t>N</w:t>
      </w:r>
      <w:r w:rsidRPr="001B4A11">
        <w:rPr>
          <w:vertAlign w:val="subscript"/>
        </w:rPr>
        <w:t>t</w:t>
      </w:r>
      <w:r>
        <w:t xml:space="preserve">, </w:t>
      </w:r>
      <w:r w:rsidRPr="0002562A">
        <w:t>N</w:t>
      </w:r>
      <w:r w:rsidRPr="001B4A11">
        <w:rPr>
          <w:vertAlign w:val="subscript"/>
        </w:rPr>
        <w:t>t</w:t>
      </w:r>
      <w:r w:rsidRPr="0002562A">
        <w:t>'</w:t>
      </w:r>
      <w:r>
        <w:t>} = {16, 16}, {16, 9};</w:t>
      </w:r>
    </w:p>
    <w:p w14:paraId="1527C167" w14:textId="39B9DE38" w:rsidR="009E2BD7" w:rsidRDefault="009E2BD7" w:rsidP="00D35F36">
      <w:pPr>
        <w:pStyle w:val="ListParagraph"/>
        <w:numPr>
          <w:ilvl w:val="1"/>
          <w:numId w:val="82"/>
        </w:numPr>
      </w:pPr>
      <w:r>
        <w:t>For N</w:t>
      </w:r>
      <w:r w:rsidRPr="009E2BD7">
        <w:rPr>
          <w:vertAlign w:val="subscript"/>
        </w:rPr>
        <w:t>t</w:t>
      </w:r>
      <w:r>
        <w:t xml:space="preserve"> = 32: {</w:t>
      </w:r>
      <w:r w:rsidRPr="0002562A">
        <w:t>N</w:t>
      </w:r>
      <w:r w:rsidRPr="001B4A11">
        <w:rPr>
          <w:vertAlign w:val="subscript"/>
        </w:rPr>
        <w:t>t</w:t>
      </w:r>
      <w:r>
        <w:t xml:space="preserve">, </w:t>
      </w:r>
      <w:r w:rsidRPr="0002562A">
        <w:t>N</w:t>
      </w:r>
      <w:r w:rsidRPr="001B4A11">
        <w:rPr>
          <w:vertAlign w:val="subscript"/>
        </w:rPr>
        <w:t>t</w:t>
      </w:r>
      <w:r w:rsidRPr="0002562A">
        <w:t>'</w:t>
      </w:r>
      <w:r>
        <w:t>} = {32, 16}, {32, 9};</w:t>
      </w:r>
    </w:p>
    <w:p w14:paraId="2EBB95EF" w14:textId="4D70D4B6" w:rsidR="009E2BD7" w:rsidRPr="009E2BD7" w:rsidRDefault="009E2BD7" w:rsidP="00D35F36">
      <w:pPr>
        <w:pStyle w:val="ListParagraph"/>
        <w:numPr>
          <w:ilvl w:val="1"/>
          <w:numId w:val="82"/>
        </w:numPr>
      </w:pPr>
      <w:r>
        <w:t>For N</w:t>
      </w:r>
      <w:r w:rsidRPr="009E2BD7">
        <w:rPr>
          <w:vertAlign w:val="subscript"/>
        </w:rPr>
        <w:t>t</w:t>
      </w:r>
      <w:r>
        <w:t xml:space="preserve"> = 64: {</w:t>
      </w:r>
      <w:r w:rsidRPr="0002562A">
        <w:t>N</w:t>
      </w:r>
      <w:r w:rsidRPr="001B4A11">
        <w:rPr>
          <w:vertAlign w:val="subscript"/>
        </w:rPr>
        <w:t>t</w:t>
      </w:r>
      <w:r>
        <w:t xml:space="preserve">, </w:t>
      </w:r>
      <w:r w:rsidRPr="0002562A">
        <w:t>N</w:t>
      </w:r>
      <w:r w:rsidRPr="001B4A11">
        <w:rPr>
          <w:vertAlign w:val="subscript"/>
        </w:rPr>
        <w:t>t</w:t>
      </w:r>
      <w:r w:rsidRPr="0002562A">
        <w:t>'</w:t>
      </w:r>
      <w:r>
        <w:t>} = {64, 32}, {64, 16}, {64, 9};</w:t>
      </w:r>
    </w:p>
    <w:p w14:paraId="55BF9597" w14:textId="6F4BA5A4" w:rsidR="00B71BFC" w:rsidRDefault="00B71BFC" w:rsidP="00DD002C">
      <w:r>
        <w:lastRenderedPageBreak/>
        <w:t>The exact {</w:t>
      </w:r>
      <w:r w:rsidRPr="0002562A">
        <w:t>N</w:t>
      </w:r>
      <w:r w:rsidRPr="001B4A11">
        <w:rPr>
          <w:vertAlign w:val="subscript"/>
        </w:rPr>
        <w:t>t</w:t>
      </w:r>
      <w:r>
        <w:t xml:space="preserve">, </w:t>
      </w:r>
      <w:r w:rsidRPr="0002562A">
        <w:t>N</w:t>
      </w:r>
      <w:r w:rsidRPr="001B4A11">
        <w:rPr>
          <w:vertAlign w:val="subscript"/>
        </w:rPr>
        <w:t>t</w:t>
      </w:r>
      <w:r w:rsidRPr="0002562A">
        <w:t>'</w:t>
      </w:r>
      <w:r>
        <w:t xml:space="preserve">} value to configure may depends on the deployment environment (e.g., </w:t>
      </w:r>
      <w:r w:rsidR="00A86605">
        <w:t xml:space="preserve">heavily </w:t>
      </w:r>
      <w:r>
        <w:t xml:space="preserve">NLoS or not), </w:t>
      </w:r>
      <w:r w:rsidR="009A0C9C">
        <w:t xml:space="preserve">system </w:t>
      </w:r>
      <w:r w:rsidR="006E3905">
        <w:t>parameters</w:t>
      </w:r>
      <w:r w:rsidR="009A0C9C">
        <w:t xml:space="preserve"> including </w:t>
      </w:r>
      <w:r>
        <w:t xml:space="preserve">SRS configuration (e.g., </w:t>
      </w:r>
      <w:r w:rsidR="00B14759">
        <w:t xml:space="preserve">carrier frequency, </w:t>
      </w:r>
      <w:r>
        <w:t xml:space="preserve">SRS bandwidth), and the k values for timing granularity. </w:t>
      </w:r>
      <w:r w:rsidR="006E3905">
        <w:t>Exactly how to select the {</w:t>
      </w:r>
      <w:r w:rsidR="006E3905" w:rsidRPr="0002562A">
        <w:t>N</w:t>
      </w:r>
      <w:r w:rsidR="006E3905" w:rsidRPr="001B4A11">
        <w:rPr>
          <w:vertAlign w:val="subscript"/>
        </w:rPr>
        <w:t>t</w:t>
      </w:r>
      <w:r w:rsidR="006E3905">
        <w:t xml:space="preserve">, </w:t>
      </w:r>
      <w:r w:rsidR="006E3905" w:rsidRPr="0002562A">
        <w:t>N</w:t>
      </w:r>
      <w:r w:rsidR="006E3905" w:rsidRPr="001B4A11">
        <w:rPr>
          <w:vertAlign w:val="subscript"/>
        </w:rPr>
        <w:t>t</w:t>
      </w:r>
      <w:r w:rsidR="006E3905" w:rsidRPr="0002562A">
        <w:t>'</w:t>
      </w:r>
      <w:r w:rsidR="006E3905">
        <w:t>} value</w:t>
      </w:r>
      <w:r>
        <w:t xml:space="preserve"> can be up to LMF implementation.</w:t>
      </w:r>
    </w:p>
    <w:p w14:paraId="76165FB1" w14:textId="43D822E5" w:rsidR="00DD002C" w:rsidRDefault="00DD002C" w:rsidP="00DD002C">
      <w:r>
        <w:t>In terms of k values, for legacy measurement report for DL-TDOA and multi-RTT,</w:t>
      </w:r>
    </w:p>
    <w:p w14:paraId="53621019" w14:textId="77777777" w:rsidR="00DD002C" w:rsidRPr="00F60309" w:rsidRDefault="00DD002C" w:rsidP="00D35F36">
      <w:pPr>
        <w:pStyle w:val="ListParagraph"/>
        <w:numPr>
          <w:ilvl w:val="0"/>
          <w:numId w:val="21"/>
        </w:numPr>
      </w:pPr>
      <w:r>
        <w:t xml:space="preserve">Up to Rel-17, the set of possible k values are: {0…5}. That is, the timing measurement granularity ranges from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(i.e., 0.51 ns) to </w:t>
      </w:r>
      <m:oMath>
        <m:r>
          <w:rPr>
            <w:rFonts w:ascii="Cambria Math" w:hAnsi="Cambria Math"/>
          </w:rPr>
          <m:t>32×</m:t>
        </m:r>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(i.e., 18.75 ns). </w:t>
      </w:r>
    </w:p>
    <w:p w14:paraId="7410603A" w14:textId="77777777" w:rsidR="00DD002C" w:rsidRDefault="00DD002C" w:rsidP="00D35F36">
      <w:pPr>
        <w:pStyle w:val="ListParagraph"/>
        <w:numPr>
          <w:ilvl w:val="0"/>
          <w:numId w:val="21"/>
        </w:numPr>
      </w:pPr>
      <w:r>
        <w:t xml:space="preserve">In Rel-18, new </w:t>
      </w:r>
      <w:r w:rsidRPr="00D005BD">
        <w:rPr>
          <w:i/>
          <w:iCs/>
        </w:rPr>
        <w:t>ReportingGranularityfactor</w:t>
      </w:r>
      <w:r>
        <w:t xml:space="preserve"> values are added for </w:t>
      </w:r>
      <w:r w:rsidRPr="008E68FF">
        <w:t>Carrier Phase Positioning</w:t>
      </w:r>
      <w:r>
        <w:t xml:space="preserve">: {-6 … -1}. That is, the new timing measurement granularity ranges from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/64</m:t>
        </m:r>
      </m:oMath>
      <w:r>
        <w:t xml:space="preserve"> (i.e., 0.008 ns) to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/2</m:t>
        </m:r>
      </m:oMath>
      <w:r>
        <w:t xml:space="preserve"> (i.e.,0.25 ns).</w:t>
      </w:r>
    </w:p>
    <w:p w14:paraId="33488669" w14:textId="77777777" w:rsidR="00DD002C" w:rsidRDefault="00DD002C" w:rsidP="00DD002C">
      <w:r>
        <w:rPr>
          <w:rFonts w:cs="Arial"/>
          <w:szCs w:val="20"/>
        </w:rPr>
        <w:t xml:space="preserve">Note: </w:t>
      </w:r>
      <w:r w:rsidRPr="003E1AC0">
        <w:rPr>
          <w:rFonts w:cs="Arial"/>
          <w:i/>
          <w:szCs w:val="20"/>
        </w:rPr>
        <w:t>T</w:t>
      </w:r>
      <w:r w:rsidRPr="003E1AC0">
        <w:rPr>
          <w:rFonts w:cs="Arial"/>
          <w:szCs w:val="20"/>
          <w:vertAlign w:val="subscript"/>
        </w:rPr>
        <w:t>c</w:t>
      </w:r>
      <w:r>
        <w:rPr>
          <w:rFonts w:cs="Arial"/>
          <w:szCs w:val="20"/>
        </w:rPr>
        <w:t xml:space="preserve"> is the basic NR timing unit, and </w:t>
      </w:r>
      <w:r w:rsidRPr="003E1AC0">
        <w:rPr>
          <w:rFonts w:cs="Arial"/>
          <w:i/>
          <w:szCs w:val="20"/>
        </w:rPr>
        <w:t>T</w:t>
      </w:r>
      <w:r w:rsidRPr="003E1AC0">
        <w:rPr>
          <w:rFonts w:cs="Arial"/>
          <w:szCs w:val="20"/>
          <w:vertAlign w:val="subscript"/>
        </w:rPr>
        <w:t>c</w:t>
      </w:r>
      <w:r w:rsidRPr="003E1AC0">
        <w:rPr>
          <w:rFonts w:cs="Arial"/>
          <w:szCs w:val="20"/>
        </w:rPr>
        <w:t xml:space="preserve"> </w:t>
      </w:r>
      <w:r w:rsidRPr="003E1AC0">
        <w:rPr>
          <w:rFonts w:eastAsia="SymbolMT" w:cs="Arial"/>
          <w:szCs w:val="20"/>
        </w:rPr>
        <w:t xml:space="preserve">= </w:t>
      </w:r>
      <w:r w:rsidRPr="003E1AC0">
        <w:rPr>
          <w:rFonts w:cs="Arial"/>
          <w:szCs w:val="20"/>
        </w:rPr>
        <w:t>1/ (</w:t>
      </w:r>
      <w:r w:rsidRPr="003E1AC0">
        <w:rPr>
          <w:rFonts w:eastAsia="SymbolMT" w:cs="Arial"/>
          <w:szCs w:val="20"/>
        </w:rPr>
        <w:t>Δ</w:t>
      </w:r>
      <w:r w:rsidRPr="003E1AC0">
        <w:rPr>
          <w:rFonts w:ascii="Cambria Math" w:eastAsia="CambriaMath" w:hAnsi="Cambria Math" w:cs="Cambria Math"/>
          <w:szCs w:val="20"/>
        </w:rPr>
        <w:t>𝑓</w:t>
      </w:r>
      <w:r w:rsidRPr="003E1AC0">
        <w:rPr>
          <w:rFonts w:cs="Arial"/>
          <w:szCs w:val="20"/>
          <w:vertAlign w:val="subscript"/>
        </w:rPr>
        <w:t>max</w:t>
      </w:r>
      <w:r w:rsidRPr="003E1AC0">
        <w:rPr>
          <w:rFonts w:cs="Arial"/>
          <w:szCs w:val="20"/>
        </w:rPr>
        <w:t xml:space="preserve"> </w:t>
      </w:r>
      <w:r w:rsidRPr="003E1AC0">
        <w:rPr>
          <w:rFonts w:ascii="Cambria Math" w:eastAsia="SymbolMT" w:hAnsi="Cambria Math" w:cs="Cambria Math"/>
          <w:szCs w:val="20"/>
        </w:rPr>
        <w:t>⋅</w:t>
      </w:r>
      <w:r w:rsidRPr="003E1AC0">
        <w:rPr>
          <w:rFonts w:eastAsia="SymbolMT" w:cs="Arial"/>
          <w:szCs w:val="20"/>
        </w:rPr>
        <w:t xml:space="preserve"> </w:t>
      </w:r>
      <w:r w:rsidRPr="003E1AC0">
        <w:rPr>
          <w:rFonts w:eastAsia="SimSun" w:cs="Times New Roman"/>
          <w:i/>
          <w:szCs w:val="20"/>
        </w:rPr>
        <w:t>N</w:t>
      </w:r>
      <w:r w:rsidRPr="003E1AC0">
        <w:rPr>
          <w:rFonts w:eastAsia="SimSun" w:cs="Times New Roman"/>
          <w:iCs/>
          <w:szCs w:val="20"/>
          <w:vertAlign w:val="subscript"/>
        </w:rPr>
        <w:t>f</w:t>
      </w:r>
      <w:r w:rsidRPr="003E1AC0">
        <w:rPr>
          <w:rFonts w:cs="Arial"/>
          <w:szCs w:val="20"/>
        </w:rPr>
        <w:t>)</w:t>
      </w:r>
      <w:r w:rsidRPr="00F60309">
        <w:t xml:space="preserve"> = 1/(480*10</w:t>
      </w:r>
      <w:r w:rsidRPr="00F60309">
        <w:rPr>
          <w:vertAlign w:val="superscript"/>
        </w:rPr>
        <w:t>3</w:t>
      </w:r>
      <w:r w:rsidRPr="00F60309">
        <w:t>*4096) = 0.5086 (ns).</w:t>
      </w:r>
    </w:p>
    <w:p w14:paraId="00592F02" w14:textId="77777777" w:rsidR="00DD002C" w:rsidRDefault="00DD002C" w:rsidP="00DD002C"/>
    <w:p w14:paraId="786D106D" w14:textId="77777777" w:rsidR="00DD002C" w:rsidRDefault="00DD002C" w:rsidP="00DD002C">
      <w:r>
        <w:t xml:space="preserve">According to the existing specification (see extracted texts for DL-TDOA below), the Rel-16 </w:t>
      </w:r>
      <w:r w:rsidRPr="00D005BD">
        <w:rPr>
          <w:i/>
          <w:iCs/>
          <w:szCs w:val="20"/>
        </w:rPr>
        <w:t>ReportingGranularityfactor</w:t>
      </w:r>
      <w:r>
        <w:t xml:space="preserve"> and Rel-18 </w:t>
      </w:r>
      <w:r w:rsidRPr="00F60309">
        <w:rPr>
          <w:i/>
          <w:iCs/>
        </w:rPr>
        <w:t>timingReportingGranularityFactorExt</w:t>
      </w:r>
      <w:r>
        <w:t xml:space="preserve"> are not used at the same time, i.e., only one is included.</w:t>
      </w:r>
    </w:p>
    <w:tbl>
      <w:tblPr>
        <w:tblStyle w:val="TableGrid"/>
        <w:tblW w:w="0" w:type="auto"/>
        <w:tblLook w:val="04A0" w:firstRow="1" w:lastRow="0" w:firstColumn="1" w:lastColumn="0" w:noHBand="0" w:noVBand="1"/>
      </w:tblPr>
      <w:tblGrid>
        <w:gridCol w:w="9962"/>
      </w:tblGrid>
      <w:tr w:rsidR="00DD002C" w14:paraId="19DFD4DC" w14:textId="77777777">
        <w:tc>
          <w:tcPr>
            <w:tcW w:w="9962" w:type="dxa"/>
          </w:tcPr>
          <w:p w14:paraId="0B1C285A" w14:textId="77777777" w:rsidR="00DD002C" w:rsidRDefault="00DD002C">
            <w:r>
              <w:t>TS 37.355 v18.2.0</w:t>
            </w:r>
          </w:p>
          <w:p w14:paraId="5244C535" w14:textId="77777777" w:rsidR="00DD002C" w:rsidRPr="00C96D6C" w:rsidRDefault="00DD002C">
            <w:pPr>
              <w:pStyle w:val="PL"/>
              <w:rPr>
                <w:snapToGrid w:val="0"/>
              </w:rPr>
            </w:pPr>
            <w:r w:rsidRPr="00C96D6C">
              <w:rPr>
                <w:snapToGrid w:val="0"/>
              </w:rPr>
              <w:t>NR-DL-TDOA-ReportConfig-r16 ::= SEQUENCE {</w:t>
            </w:r>
          </w:p>
          <w:p w14:paraId="334E6B28" w14:textId="77777777" w:rsidR="00DD002C" w:rsidRPr="00C96D6C" w:rsidRDefault="00DD002C">
            <w:pPr>
              <w:pStyle w:val="PL"/>
              <w:rPr>
                <w:snapToGrid w:val="0"/>
              </w:rPr>
            </w:pPr>
            <w:r w:rsidRPr="00C96D6C">
              <w:tab/>
              <w:t>maxDL-PRS-RSTD-MeasurementsPerTRP-Pair-r16</w:t>
            </w:r>
            <w:r w:rsidRPr="00C96D6C">
              <w:tab/>
            </w:r>
            <w:r w:rsidRPr="00C96D6C">
              <w:rPr>
                <w:snapToGrid w:val="0"/>
              </w:rPr>
              <w:t>INTEGER (1..4)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62719C65" w14:textId="77777777" w:rsidR="00DD002C" w:rsidRPr="00C96D6C" w:rsidRDefault="00DD002C">
            <w:pPr>
              <w:pStyle w:val="PL"/>
              <w:rPr>
                <w:snapToGrid w:val="0"/>
              </w:rPr>
            </w:pPr>
            <w:r w:rsidRPr="00C96D6C">
              <w:rPr>
                <w:snapToGrid w:val="0"/>
              </w:rPr>
              <w:tab/>
            </w:r>
            <w:r w:rsidRPr="00F60309">
              <w:rPr>
                <w:snapToGrid w:val="0"/>
                <w:color w:val="FF0000"/>
              </w:rPr>
              <w:t>timingReportingGranularityFactor-r16</w:t>
            </w:r>
            <w:r w:rsidRPr="00F60309">
              <w:rPr>
                <w:snapToGrid w:val="0"/>
                <w:color w:val="FF0000"/>
              </w:rPr>
              <w:tab/>
            </w:r>
            <w:r w:rsidRPr="00F60309">
              <w:rPr>
                <w:snapToGrid w:val="0"/>
                <w:color w:val="FF0000"/>
              </w:rPr>
              <w:tab/>
              <w:t>INTEGER (0..5)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3B89B7BE" w14:textId="77777777" w:rsidR="00DD002C" w:rsidRPr="00C96D6C" w:rsidRDefault="00DD002C">
            <w:pPr>
              <w:pStyle w:val="PL"/>
              <w:rPr>
                <w:snapToGrid w:val="0"/>
              </w:rPr>
            </w:pPr>
            <w:r w:rsidRPr="00C96D6C">
              <w:rPr>
                <w:snapToGrid w:val="0"/>
              </w:rPr>
              <w:tab/>
              <w:t>...,</w:t>
            </w:r>
          </w:p>
          <w:p w14:paraId="2D5AC0D4" w14:textId="77777777" w:rsidR="00DD002C" w:rsidRPr="00C96D6C" w:rsidRDefault="00DD002C">
            <w:pPr>
              <w:pStyle w:val="PL"/>
              <w:rPr>
                <w:snapToGrid w:val="0"/>
              </w:rPr>
            </w:pPr>
            <w:r w:rsidRPr="00C96D6C">
              <w:rPr>
                <w:snapToGrid w:val="0"/>
              </w:rPr>
              <w:tab/>
              <w:t>[[</w:t>
            </w:r>
          </w:p>
          <w:p w14:paraId="0DA43F77" w14:textId="77777777" w:rsidR="00DD002C" w:rsidRPr="00C96D6C" w:rsidRDefault="00DD002C">
            <w:pPr>
              <w:pStyle w:val="PL"/>
              <w:rPr>
                <w:snapToGrid w:val="0"/>
              </w:rPr>
            </w:pPr>
            <w:r w:rsidRPr="00C96D6C">
              <w:rPr>
                <w:snapToGrid w:val="0"/>
              </w:rPr>
              <w:tab/>
              <w:t>measureSameDL-PRS-ResourceWithDifferentRxTEGs-r17</w:t>
            </w:r>
          </w:p>
          <w:p w14:paraId="71235F6A" w14:textId="77777777" w:rsidR="00DD002C" w:rsidRPr="00C96D6C" w:rsidRDefault="00DD002C">
            <w:pPr>
              <w:pStyle w:val="PL"/>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n0, n2, n3, n4, n6, n8, ... }</w:t>
            </w:r>
          </w:p>
          <w:p w14:paraId="751065A2" w14:textId="77777777" w:rsidR="00DD002C" w:rsidRPr="00C96D6C" w:rsidRDefault="00DD002C">
            <w:pPr>
              <w:pStyle w:val="PL"/>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1117E912" w14:textId="77777777" w:rsidR="00DD002C" w:rsidRPr="00C96D6C" w:rsidRDefault="00DD002C">
            <w:pPr>
              <w:pStyle w:val="PL"/>
              <w:rPr>
                <w:snapToGrid w:val="0"/>
              </w:rPr>
            </w:pPr>
            <w:r w:rsidRPr="00C96D6C">
              <w:rPr>
                <w:snapToGrid w:val="0"/>
              </w:rPr>
              <w:tab/>
              <w:t>reducedDL-PRS-ProcessingSamples-r17</w:t>
            </w:r>
            <w:r w:rsidRPr="00C96D6C">
              <w:rPr>
                <w:snapToGrid w:val="0"/>
              </w:rPr>
              <w:tab/>
            </w:r>
            <w:r w:rsidRPr="00C96D6C">
              <w:rPr>
                <w:snapToGrid w:val="0"/>
              </w:rPr>
              <w:tab/>
            </w:r>
            <w:r w:rsidRPr="00C96D6C">
              <w:rPr>
                <w:snapToGrid w:val="0"/>
              </w:rPr>
              <w:tab/>
              <w:t>ENUMERATED { requested, ... }</w:t>
            </w:r>
            <w:r w:rsidRPr="00C96D6C">
              <w:rPr>
                <w:snapToGrid w:val="0"/>
              </w:rPr>
              <w:tab/>
              <w:t>OPTIONAL, -- Need ON</w:t>
            </w:r>
          </w:p>
          <w:p w14:paraId="5D551CB2" w14:textId="77777777" w:rsidR="00DD002C" w:rsidRPr="00C96D6C" w:rsidRDefault="00DD002C">
            <w:pPr>
              <w:pStyle w:val="PL"/>
              <w:rPr>
                <w:snapToGrid w:val="0"/>
              </w:rPr>
            </w:pPr>
            <w:r w:rsidRPr="00C96D6C">
              <w:rPr>
                <w:snapToGrid w:val="0"/>
              </w:rPr>
              <w:tab/>
              <w:t>l</w:t>
            </w:r>
            <w:r w:rsidRPr="00C96D6C">
              <w:t>owerRxBeamSweepingFactor-FR2-r17</w:t>
            </w:r>
            <w:r w:rsidRPr="00C96D6C">
              <w:tab/>
            </w:r>
            <w:r w:rsidRPr="00C96D6C">
              <w:tab/>
            </w:r>
            <w:r w:rsidRPr="00C96D6C">
              <w:tab/>
              <w:t>ENUMERATED { requested }</w:t>
            </w:r>
            <w:r w:rsidRPr="00C96D6C">
              <w:tab/>
            </w:r>
            <w:r w:rsidRPr="00C96D6C">
              <w:tab/>
              <w:t>OPTIONAL  -- Need ON</w:t>
            </w:r>
          </w:p>
          <w:p w14:paraId="253ACB9B" w14:textId="77777777" w:rsidR="00DD002C" w:rsidRPr="00C96D6C" w:rsidRDefault="00DD002C">
            <w:pPr>
              <w:pStyle w:val="PL"/>
              <w:rPr>
                <w:snapToGrid w:val="0"/>
              </w:rPr>
            </w:pPr>
            <w:r w:rsidRPr="00C96D6C">
              <w:rPr>
                <w:snapToGrid w:val="0"/>
              </w:rPr>
              <w:tab/>
              <w:t>]],</w:t>
            </w:r>
          </w:p>
          <w:p w14:paraId="5BA1C536" w14:textId="77777777" w:rsidR="00DD002C" w:rsidRPr="00C96D6C" w:rsidRDefault="00DD002C">
            <w:pPr>
              <w:pStyle w:val="PL"/>
              <w:rPr>
                <w:snapToGrid w:val="0"/>
              </w:rPr>
            </w:pPr>
            <w:r w:rsidRPr="00C96D6C">
              <w:rPr>
                <w:snapToGrid w:val="0"/>
              </w:rPr>
              <w:tab/>
              <w:t>[[</w:t>
            </w:r>
          </w:p>
          <w:p w14:paraId="68178287" w14:textId="77777777" w:rsidR="00DD002C" w:rsidRPr="00C96D6C" w:rsidRDefault="00DD002C">
            <w:pPr>
              <w:pStyle w:val="PL"/>
              <w:rPr>
                <w:snapToGrid w:val="0"/>
              </w:rPr>
            </w:pPr>
            <w:r w:rsidRPr="00C96D6C">
              <w:rPr>
                <w:snapToGrid w:val="0"/>
              </w:rPr>
              <w:tab/>
            </w:r>
            <w:r w:rsidRPr="00F60309">
              <w:rPr>
                <w:snapToGrid w:val="0"/>
                <w:color w:val="FF0000"/>
              </w:rPr>
              <w:t>timingReportingGranularityFactorExt-r18</w:t>
            </w:r>
            <w:r w:rsidRPr="00F60309">
              <w:rPr>
                <w:snapToGrid w:val="0"/>
                <w:color w:val="FF0000"/>
              </w:rPr>
              <w:tab/>
            </w:r>
            <w:r w:rsidRPr="00F60309">
              <w:rPr>
                <w:snapToGrid w:val="0"/>
                <w:color w:val="FF0000"/>
              </w:rPr>
              <w:tab/>
              <w:t>INTEGER (-6..-1)</w:t>
            </w:r>
            <w:r w:rsidRPr="00C96D6C">
              <w:rPr>
                <w:snapToGrid w:val="0"/>
              </w:rPr>
              <w:tab/>
            </w:r>
            <w:r w:rsidRPr="00C96D6C">
              <w:rPr>
                <w:snapToGrid w:val="0"/>
              </w:rPr>
              <w:tab/>
            </w:r>
            <w:r w:rsidRPr="00C96D6C">
              <w:rPr>
                <w:snapToGrid w:val="0"/>
              </w:rPr>
              <w:tab/>
            </w:r>
            <w:r w:rsidRPr="00C96D6C">
              <w:rPr>
                <w:snapToGrid w:val="0"/>
              </w:rPr>
              <w:tab/>
              <w:t>OPTIONAL, -- Need ON</w:t>
            </w:r>
          </w:p>
          <w:p w14:paraId="68F7740B" w14:textId="77777777" w:rsidR="00DD002C" w:rsidRPr="00C96D6C" w:rsidRDefault="00DD002C">
            <w:pPr>
              <w:pStyle w:val="PL"/>
              <w:rPr>
                <w:snapToGrid w:val="0"/>
              </w:rPr>
            </w:pPr>
            <w:r w:rsidRPr="00C96D6C">
              <w:rPr>
                <w:snapToGrid w:val="0"/>
              </w:rPr>
              <w:tab/>
              <w:t>nr-DL-PRS-MeasurementTimeWindowsConfig-r18</w:t>
            </w:r>
          </w:p>
          <w:p w14:paraId="782BC5A0" w14:textId="77777777" w:rsidR="00DD002C" w:rsidRPr="00C96D6C" w:rsidRDefault="00DD002C">
            <w:pPr>
              <w:pStyle w:val="PL"/>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NR-DL-PRS-MeasurementTimeWindowsConfig-r18</w:t>
            </w:r>
            <w:r w:rsidRPr="00C96D6C">
              <w:rPr>
                <w:snapToGrid w:val="0"/>
              </w:rPr>
              <w:tab/>
            </w:r>
            <w:r w:rsidRPr="00C96D6C">
              <w:rPr>
                <w:snapToGrid w:val="0"/>
              </w:rPr>
              <w:tab/>
            </w:r>
            <w:r w:rsidRPr="00C96D6C">
              <w:rPr>
                <w:snapToGrid w:val="0"/>
              </w:rPr>
              <w:tab/>
              <w:t>OPTIONAL  -- Need ON</w:t>
            </w:r>
          </w:p>
          <w:p w14:paraId="42498017" w14:textId="77777777" w:rsidR="00DD002C" w:rsidRPr="00C96D6C" w:rsidRDefault="00DD002C">
            <w:pPr>
              <w:pStyle w:val="PL"/>
              <w:rPr>
                <w:snapToGrid w:val="0"/>
              </w:rPr>
            </w:pPr>
            <w:r w:rsidRPr="00C96D6C">
              <w:rPr>
                <w:snapToGrid w:val="0"/>
              </w:rPr>
              <w:tab/>
              <w:t>]]</w:t>
            </w:r>
          </w:p>
          <w:p w14:paraId="18C3BAAA" w14:textId="77777777" w:rsidR="00DD002C" w:rsidRPr="00C96D6C" w:rsidRDefault="00DD002C">
            <w:pPr>
              <w:pStyle w:val="PL"/>
            </w:pPr>
            <w:r w:rsidRPr="00C96D6C">
              <w:t>}</w:t>
            </w:r>
          </w:p>
          <w:p w14:paraId="27DCCA1A" w14:textId="77777777" w:rsidR="00DD002C" w:rsidRDefault="00DD002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9639"/>
            </w:tblGrid>
            <w:tr w:rsidR="00DD002C" w:rsidRPr="00C96D6C" w14:paraId="5F91452C" w14:textId="77777777">
              <w:trPr>
                <w:cantSplit/>
              </w:trPr>
              <w:tc>
                <w:tcPr>
                  <w:tcW w:w="9639" w:type="dxa"/>
                </w:tcPr>
                <w:p w14:paraId="5C41FFB7" w14:textId="77777777" w:rsidR="00DD002C" w:rsidRPr="00C96D6C" w:rsidRDefault="00DD002C">
                  <w:pPr>
                    <w:pStyle w:val="TAL"/>
                    <w:keepNext w:val="0"/>
                    <w:keepLines w:val="0"/>
                    <w:widowControl w:val="0"/>
                    <w:rPr>
                      <w:b/>
                      <w:bCs/>
                      <w:i/>
                      <w:iCs/>
                      <w:noProof/>
                    </w:rPr>
                  </w:pPr>
                  <w:r w:rsidRPr="00C96D6C">
                    <w:rPr>
                      <w:b/>
                      <w:bCs/>
                      <w:i/>
                      <w:iCs/>
                      <w:noProof/>
                    </w:rPr>
                    <w:t>timingReportingGranularityFactor</w:t>
                  </w:r>
                  <w:r w:rsidRPr="00C96D6C">
                    <w:rPr>
                      <w:b/>
                      <w:bCs/>
                      <w:i/>
                      <w:iCs/>
                      <w:noProof/>
                      <w:lang w:eastAsia="zh-CN"/>
                    </w:rPr>
                    <w:t xml:space="preserve">, </w:t>
                  </w:r>
                  <w:r w:rsidRPr="00C96D6C">
                    <w:rPr>
                      <w:rFonts w:eastAsia="Yu Mincho"/>
                      <w:b/>
                      <w:bCs/>
                      <w:i/>
                      <w:iCs/>
                      <w:noProof/>
                    </w:rPr>
                    <w:t>timingReportingGranularityFactor</w:t>
                  </w:r>
                  <w:r w:rsidRPr="00C96D6C">
                    <w:rPr>
                      <w:rFonts w:eastAsia="Yu Mincho"/>
                      <w:b/>
                      <w:bCs/>
                      <w:i/>
                      <w:iCs/>
                      <w:noProof/>
                      <w:lang w:eastAsia="zh-CN"/>
                    </w:rPr>
                    <w:t>Ext</w:t>
                  </w:r>
                </w:p>
                <w:p w14:paraId="6AFBF921" w14:textId="77777777" w:rsidR="00DD002C" w:rsidRPr="00C96D6C" w:rsidRDefault="00DD002C">
                  <w:pPr>
                    <w:pStyle w:val="TAL"/>
                    <w:keepNext w:val="0"/>
                    <w:keepLines w:val="0"/>
                    <w:widowControl w:val="0"/>
                    <w:rPr>
                      <w:b/>
                      <w:i/>
                      <w:noProof/>
                    </w:rPr>
                  </w:pPr>
                  <w:r w:rsidRPr="00C96D6C">
                    <w:rPr>
                      <w:bCs/>
                      <w:iCs/>
                      <w:noProof/>
                    </w:rPr>
                    <w:t>This field specifies the recommended reporting granularity for the DL RSTD measurements. Value (0..5) corresponds to (</w:t>
                  </w:r>
                  <w:r w:rsidRPr="00C96D6C">
                    <w:rPr>
                      <w:bCs/>
                      <w:i/>
                      <w:noProof/>
                    </w:rPr>
                    <w:t>k0</w:t>
                  </w:r>
                  <w:r w:rsidRPr="00C96D6C">
                    <w:rPr>
                      <w:bCs/>
                      <w:iCs/>
                      <w:noProof/>
                    </w:rPr>
                    <w:t>..</w:t>
                  </w:r>
                  <w:r w:rsidRPr="00C96D6C">
                    <w:rPr>
                      <w:bCs/>
                      <w:i/>
                      <w:noProof/>
                    </w:rPr>
                    <w:t>k5</w:t>
                  </w:r>
                  <w:r w:rsidRPr="00C96D6C">
                    <w:rPr>
                      <w:bCs/>
                      <w:iCs/>
                      <w:noProof/>
                    </w:rPr>
                    <w:t xml:space="preserve">) </w:t>
                  </w:r>
                  <w:r w:rsidRPr="00C96D6C">
                    <w:rPr>
                      <w:rFonts w:eastAsia="Yu Mincho"/>
                      <w:bCs/>
                      <w:iCs/>
                      <w:noProof/>
                    </w:rPr>
                    <w:t>and value (-6..-1) corresponds to (</w:t>
                  </w:r>
                  <w:r w:rsidRPr="00C96D6C">
                    <w:rPr>
                      <w:rFonts w:eastAsia="Yu Mincho"/>
                      <w:bCs/>
                      <w:i/>
                      <w:noProof/>
                    </w:rPr>
                    <w:t>kMinus6</w:t>
                  </w:r>
                  <w:r w:rsidRPr="00C96D6C">
                    <w:rPr>
                      <w:rFonts w:eastAsia="Yu Mincho"/>
                      <w:bCs/>
                      <w:iCs/>
                      <w:noProof/>
                    </w:rPr>
                    <w:t>..</w:t>
                  </w:r>
                  <w:r w:rsidRPr="00C96D6C">
                    <w:rPr>
                      <w:rFonts w:eastAsia="Yu Mincho"/>
                      <w:bCs/>
                      <w:i/>
                      <w:noProof/>
                    </w:rPr>
                    <w:t>kMinus1</w:t>
                  </w:r>
                  <w:r w:rsidRPr="00C96D6C">
                    <w:rPr>
                      <w:rFonts w:eastAsia="Yu Mincho"/>
                      <w:bCs/>
                      <w:iCs/>
                      <w:noProof/>
                    </w:rPr>
                    <w:t xml:space="preserve">) </w:t>
                  </w:r>
                  <w:r w:rsidRPr="00C96D6C">
                    <w:rPr>
                      <w:bCs/>
                      <w:iCs/>
                      <w:noProof/>
                    </w:rPr>
                    <w:t xml:space="preserve">used for </w:t>
                  </w:r>
                  <w:r w:rsidRPr="00C96D6C">
                    <w:rPr>
                      <w:bCs/>
                      <w:i/>
                      <w:noProof/>
                    </w:rPr>
                    <w:t xml:space="preserve">nr-RSTD </w:t>
                  </w:r>
                  <w:r w:rsidRPr="00C96D6C">
                    <w:rPr>
                      <w:bCs/>
                      <w:iCs/>
                      <w:noProof/>
                    </w:rPr>
                    <w:t xml:space="preserve">and </w:t>
                  </w:r>
                  <w:r w:rsidRPr="00C96D6C">
                    <w:rPr>
                      <w:bCs/>
                      <w:i/>
                      <w:noProof/>
                    </w:rPr>
                    <w:t>nr-RSTD-ResultDiff</w:t>
                  </w:r>
                  <w:r w:rsidRPr="00C96D6C">
                    <w:rPr>
                      <w:bCs/>
                      <w:iCs/>
                      <w:noProof/>
                    </w:rPr>
                    <w:t xml:space="preserve"> in </w:t>
                  </w:r>
                  <w:r w:rsidRPr="00C96D6C">
                    <w:rPr>
                      <w:bCs/>
                      <w:i/>
                      <w:noProof/>
                    </w:rPr>
                    <w:t>NR-DL-TDOA-MeasElement</w:t>
                  </w:r>
                  <w:r w:rsidRPr="00F60309">
                    <w:rPr>
                      <w:bCs/>
                      <w:iCs/>
                      <w:noProof/>
                      <w:color w:val="000000" w:themeColor="text1"/>
                    </w:rPr>
                    <w:t xml:space="preserve">. The UE may select a different granularity value for </w:t>
                  </w:r>
                  <w:r w:rsidRPr="00F60309">
                    <w:rPr>
                      <w:bCs/>
                      <w:i/>
                      <w:noProof/>
                      <w:color w:val="000000" w:themeColor="text1"/>
                    </w:rPr>
                    <w:t>nr-RSTD</w:t>
                  </w:r>
                  <w:r w:rsidRPr="00F60309">
                    <w:rPr>
                      <w:bCs/>
                      <w:iCs/>
                      <w:noProof/>
                      <w:color w:val="000000" w:themeColor="text1"/>
                    </w:rPr>
                    <w:t xml:space="preserve"> and </w:t>
                  </w:r>
                  <w:r w:rsidRPr="00F60309">
                    <w:rPr>
                      <w:bCs/>
                      <w:i/>
                      <w:noProof/>
                      <w:color w:val="000000" w:themeColor="text1"/>
                    </w:rPr>
                    <w:t>nr-RSTD-ResultDiff</w:t>
                  </w:r>
                  <w:r w:rsidRPr="00F60309">
                    <w:rPr>
                      <w:bCs/>
                      <w:iCs/>
                      <w:noProof/>
                      <w:color w:val="000000" w:themeColor="text1"/>
                    </w:rPr>
                    <w:t>.</w:t>
                  </w:r>
                  <w:r w:rsidRPr="00F60309">
                    <w:rPr>
                      <w:rFonts w:eastAsia="Yu Mincho"/>
                      <w:bCs/>
                      <w:iCs/>
                      <w:noProof/>
                      <w:color w:val="000000" w:themeColor="text1"/>
                      <w:lang w:eastAsia="zh-CN"/>
                    </w:rPr>
                    <w:t xml:space="preserve"> </w:t>
                  </w:r>
                  <w:r w:rsidRPr="00F60309">
                    <w:rPr>
                      <w:rFonts w:eastAsia="Yu Mincho"/>
                      <w:bCs/>
                      <w:iCs/>
                      <w:noProof/>
                      <w:color w:val="FF0000"/>
                      <w:lang w:eastAsia="zh-CN"/>
                    </w:rPr>
                    <w:t xml:space="preserve">The </w:t>
                  </w:r>
                  <w:r w:rsidRPr="00F60309">
                    <w:rPr>
                      <w:rFonts w:eastAsia="Yu Mincho"/>
                      <w:bCs/>
                      <w:i/>
                      <w:iCs/>
                      <w:noProof/>
                      <w:color w:val="FF0000"/>
                      <w:lang w:eastAsia="zh-CN"/>
                    </w:rPr>
                    <w:t>timingReportingGranularityFactorExt</w:t>
                  </w:r>
                  <w:r w:rsidRPr="00F60309">
                    <w:rPr>
                      <w:rFonts w:eastAsia="Yu Mincho"/>
                      <w:bCs/>
                      <w:iCs/>
                      <w:noProof/>
                      <w:color w:val="FF0000"/>
                      <w:lang w:eastAsia="zh-CN"/>
                    </w:rPr>
                    <w:t xml:space="preserve"> should not be included by the location server and shall be ignored by the target device if </w:t>
                  </w:r>
                  <w:r w:rsidRPr="00F60309">
                    <w:rPr>
                      <w:rFonts w:eastAsia="Yu Mincho"/>
                      <w:bCs/>
                      <w:i/>
                      <w:iCs/>
                      <w:noProof/>
                      <w:color w:val="FF0000"/>
                      <w:lang w:eastAsia="zh-CN"/>
                    </w:rPr>
                    <w:t>timingReportingGranularityFactor</w:t>
                  </w:r>
                  <w:r w:rsidRPr="00F60309">
                    <w:rPr>
                      <w:rFonts w:eastAsia="Yu Mincho"/>
                      <w:bCs/>
                      <w:iCs/>
                      <w:noProof/>
                      <w:color w:val="FF0000"/>
                      <w:lang w:eastAsia="zh-CN"/>
                    </w:rPr>
                    <w:t xml:space="preserve"> is included.The </w:t>
                  </w:r>
                  <w:r w:rsidRPr="00F60309">
                    <w:rPr>
                      <w:rFonts w:eastAsia="Yu Mincho"/>
                      <w:bCs/>
                      <w:i/>
                      <w:iCs/>
                      <w:noProof/>
                      <w:color w:val="FF0000"/>
                      <w:lang w:eastAsia="zh-CN"/>
                    </w:rPr>
                    <w:t>timingReportingGranularityFactor</w:t>
                  </w:r>
                  <w:r w:rsidRPr="00F60309">
                    <w:rPr>
                      <w:rFonts w:eastAsia="Yu Mincho"/>
                      <w:bCs/>
                      <w:iCs/>
                      <w:noProof/>
                      <w:color w:val="FF0000"/>
                      <w:lang w:eastAsia="zh-CN"/>
                    </w:rPr>
                    <w:t xml:space="preserve"> should not be included by the location server and shall be ignored by the target device if </w:t>
                  </w:r>
                  <w:r w:rsidRPr="00F60309">
                    <w:rPr>
                      <w:rFonts w:eastAsia="Yu Mincho"/>
                      <w:bCs/>
                      <w:i/>
                      <w:iCs/>
                      <w:noProof/>
                      <w:color w:val="FF0000"/>
                      <w:lang w:eastAsia="zh-CN"/>
                    </w:rPr>
                    <w:t>timingReportingGranularityFactorExt</w:t>
                  </w:r>
                  <w:r w:rsidRPr="00F60309">
                    <w:rPr>
                      <w:rFonts w:eastAsia="Yu Mincho"/>
                      <w:bCs/>
                      <w:iCs/>
                      <w:noProof/>
                      <w:color w:val="FF0000"/>
                      <w:lang w:eastAsia="zh-CN"/>
                    </w:rPr>
                    <w:t xml:space="preserve"> is included.</w:t>
                  </w:r>
                </w:p>
              </w:tc>
            </w:tr>
          </w:tbl>
          <w:p w14:paraId="63178F42" w14:textId="77777777" w:rsidR="00DD002C" w:rsidRDefault="00DD002C"/>
        </w:tc>
      </w:tr>
    </w:tbl>
    <w:p w14:paraId="7F3CA360" w14:textId="77777777" w:rsidR="00DD002C" w:rsidRDefault="00DD002C" w:rsidP="00DD002C"/>
    <w:p w14:paraId="5454A936" w14:textId="49E022A7" w:rsidR="00DD002C" w:rsidRDefault="00DD002C" w:rsidP="00DD002C">
      <w:r>
        <w:t xml:space="preserve">For AI/ML based positioning, vast majority of companies used k=4 (i.e., sampling period = </w:t>
      </w:r>
      <m:oMath>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in Rel-18 study item </w:t>
      </w:r>
      <w:r w:rsidR="00500110">
        <w:fldChar w:fldCharType="begin"/>
      </w:r>
      <w:r w:rsidR="00500110">
        <w:instrText xml:space="preserve"> REF _Ref156223556 \r </w:instrText>
      </w:r>
      <w:r w:rsidR="00500110">
        <w:fldChar w:fldCharType="separate"/>
      </w:r>
      <w:r w:rsidR="00850DA1">
        <w:t>[4]</w:t>
      </w:r>
      <w:r w:rsidR="00500110">
        <w:fldChar w:fldCharType="end"/>
      </w:r>
      <w:r>
        <w:t xml:space="preserve">. The Rel-18 evaluations demonstrated that the AI/ML based positioning was able to achieve sub-meter positioning accuracy with k=4. </w:t>
      </w:r>
    </w:p>
    <w:p w14:paraId="4EEC68E3" w14:textId="77777777" w:rsidR="00DD002C" w:rsidRDefault="00DD002C" w:rsidP="00DD002C">
      <w:r>
        <w:t>Clearly, the ultra-fine timing granularity introduced for Rel-18 CPP are excessive and unnecessary for AI/ML positioning. There is no justification to duplicate the signaling for CPP over to AI/ML based positioning even though k={-6,..,-1} can continue to be used for measurement reporting of legacy methods DL-TDOA and multi-RTT.</w:t>
      </w:r>
    </w:p>
    <w:p w14:paraId="5E80B85C" w14:textId="77777777" w:rsidR="00DD002C" w:rsidRDefault="00DD002C" w:rsidP="00DD002C">
      <w:r>
        <w:t xml:space="preserve">Even for the 6 values {0..5} up to Rel-17, there is no justification to support all 6 values. Having a wide range of k values complicates the AI/ML LCM. For each k values, the full set of AI/ML procedures have to be supported separately, including training data collection, model training, model monitoring, model update, etc. </w:t>
      </w:r>
    </w:p>
    <w:p w14:paraId="0B2D90D8" w14:textId="77777777" w:rsidR="00DD002C" w:rsidRDefault="00DD002C" w:rsidP="00DD002C">
      <w:r>
        <w:t xml:space="preserve">In our view, it is preferrable to support a small set of k values in Rel-19, which is the first release to adopt AI/ML based positioning. In fact, it may be sufficient to support one k values in Rel-19, k=4, which has been thoroughly evaluated in Rel-18 study item by numerous participating companies. If more options are needed considering FR1/FR2 and different PRS </w:t>
      </w:r>
      <w:r>
        <w:lastRenderedPageBreak/>
        <w:t>bandwidth, it can be expanded to support four k values, for example, k={2,3,4,5}. Future releases can consider more options of k values if proven necessary for the desired positioning accuracy.</w:t>
      </w:r>
    </w:p>
    <w:p w14:paraId="6E1A65C3" w14:textId="77777777" w:rsidR="00DD002C" w:rsidRDefault="00DD002C" w:rsidP="00DD002C"/>
    <w:p w14:paraId="02A9B0C4" w14:textId="4F1CD3B4" w:rsidR="00B71BFC" w:rsidRDefault="00B71BFC" w:rsidP="00B71BFC">
      <w:pPr>
        <w:pStyle w:val="Proposal"/>
      </w:pPr>
      <w:bookmarkStart w:id="212" w:name="_Toc174398073"/>
      <w:bookmarkStart w:id="213" w:name="_Toc178961890"/>
      <w:r>
        <w:t>For Case 3b (and 2a if needed),</w:t>
      </w:r>
      <w:r w:rsidRPr="00B71BFC">
        <w:t xml:space="preserve"> </w:t>
      </w:r>
      <w:r>
        <w:t>support {N</w:t>
      </w:r>
      <w:r w:rsidRPr="00DB4909">
        <w:rPr>
          <w:vertAlign w:val="subscript"/>
        </w:rPr>
        <w:t>t</w:t>
      </w:r>
      <w:r>
        <w:t>, N</w:t>
      </w:r>
      <w:r w:rsidRPr="00DB4909">
        <w:rPr>
          <w:vertAlign w:val="subscript"/>
        </w:rPr>
        <w:t>t</w:t>
      </w:r>
      <w:r>
        <w:t>'} parameter combinations: {9, 9}; {16, 16}, {16, 9}; {32, 16}, {32, 9}; {64, 32}, {64, 16}, {64, 9}.</w:t>
      </w:r>
      <w:bookmarkEnd w:id="213"/>
    </w:p>
    <w:p w14:paraId="05BEEBFF" w14:textId="6684F5D9" w:rsidR="00DD002C" w:rsidRDefault="00DD002C" w:rsidP="00B71BFC">
      <w:pPr>
        <w:pStyle w:val="Proposal"/>
      </w:pPr>
      <w:bookmarkStart w:id="214" w:name="_Toc178961891"/>
      <w:r>
        <w:t>For Case 3b</w:t>
      </w:r>
      <w:r w:rsidR="00B71BFC">
        <w:t xml:space="preserve"> (and 2a if needed)</w:t>
      </w:r>
      <w:r>
        <w:t xml:space="preserve">, a small number of </w:t>
      </w:r>
      <w:r>
        <w:rPr>
          <w:snapToGrid w:val="0"/>
        </w:rPr>
        <w:t>k</w:t>
      </w:r>
      <w:r>
        <w:t xml:space="preserve"> values, e.g., </w:t>
      </w:r>
      <w:r>
        <w:rPr>
          <w:snapToGrid w:val="0"/>
        </w:rPr>
        <w:t>k={4},</w:t>
      </w:r>
      <w:r w:rsidRPr="00D03008">
        <w:rPr>
          <w:snapToGrid w:val="0"/>
        </w:rPr>
        <w:t xml:space="preserve"> </w:t>
      </w:r>
      <w:r>
        <w:rPr>
          <w:snapToGrid w:val="0"/>
        </w:rPr>
        <w:t xml:space="preserve">k={3,4}, or k={2,3,4,5}, is supported for </w:t>
      </w:r>
      <w:r w:rsidRPr="00C96D6C">
        <w:rPr>
          <w:snapToGrid w:val="0"/>
        </w:rPr>
        <w:t>timing</w:t>
      </w:r>
      <w:r>
        <w:rPr>
          <w:snapToGrid w:val="0"/>
        </w:rPr>
        <w:t xml:space="preserve"> r</w:t>
      </w:r>
      <w:r w:rsidRPr="00C96D6C">
        <w:rPr>
          <w:snapToGrid w:val="0"/>
        </w:rPr>
        <w:t>eporting</w:t>
      </w:r>
      <w:r>
        <w:rPr>
          <w:snapToGrid w:val="0"/>
        </w:rPr>
        <w:t xml:space="preserve"> g</w:t>
      </w:r>
      <w:r w:rsidRPr="00C96D6C">
        <w:rPr>
          <w:snapToGrid w:val="0"/>
        </w:rPr>
        <w:t>ranularity</w:t>
      </w:r>
      <w:r>
        <w:rPr>
          <w:snapToGrid w:val="0"/>
        </w:rPr>
        <w:t xml:space="preserve"> f</w:t>
      </w:r>
      <w:r w:rsidRPr="00C96D6C">
        <w:rPr>
          <w:snapToGrid w:val="0"/>
        </w:rPr>
        <w:t>actor</w:t>
      </w:r>
      <w:r>
        <w:rPr>
          <w:snapToGrid w:val="0"/>
        </w:rPr>
        <w:t xml:space="preserve"> in Rel-19.</w:t>
      </w:r>
      <w:bookmarkEnd w:id="212"/>
      <w:bookmarkEnd w:id="214"/>
    </w:p>
    <w:p w14:paraId="1F20CBF3" w14:textId="77777777" w:rsidR="00DD002C" w:rsidRDefault="00DD002C" w:rsidP="00F06DCE"/>
    <w:p w14:paraId="4A2C3E3F" w14:textId="6C350928" w:rsidR="00933CF6" w:rsidRDefault="00933CF6" w:rsidP="00933CF6">
      <w:pPr>
        <w:pStyle w:val="Heading4"/>
      </w:pPr>
      <w:bookmarkStart w:id="215" w:name="_Ref178773632"/>
      <w:bookmarkStart w:id="216" w:name="_Toc178961645"/>
      <w:r>
        <w:t xml:space="preserve">Evaluation results for measurement </w:t>
      </w:r>
      <w:r w:rsidR="001758DC">
        <w:t xml:space="preserve">report </w:t>
      </w:r>
      <w:r>
        <w:t>window placement</w:t>
      </w:r>
      <w:bookmarkEnd w:id="215"/>
      <w:bookmarkEnd w:id="216"/>
    </w:p>
    <w:p w14:paraId="7100B83B" w14:textId="2F7CB8EC" w:rsidR="00673B5F" w:rsidRDefault="00A313BD" w:rsidP="00673B5F">
      <w:r>
        <w:t>I</w:t>
      </w:r>
      <w:r w:rsidRPr="00A313BD">
        <w:t>n th</w:t>
      </w:r>
      <w:r>
        <w:t>is section</w:t>
      </w:r>
      <w:r w:rsidRPr="00A313BD">
        <w:t xml:space="preserve">, we </w:t>
      </w:r>
      <w:r w:rsidR="00FE3713">
        <w:t>investigate</w:t>
      </w:r>
      <w:r w:rsidRPr="00A313BD">
        <w:t xml:space="preserve"> the placement of the measurement report window, specifically focusing on the starting time of the window.</w:t>
      </w:r>
      <w:r w:rsidR="003868A5">
        <w:t xml:space="preserve"> Our objective is to identify</w:t>
      </w:r>
      <w:r w:rsidR="00DB7CCC">
        <w:t xml:space="preserve"> </w:t>
      </w:r>
      <w:r w:rsidR="006B43F9">
        <w:t>the</w:t>
      </w:r>
      <w:r w:rsidR="00DB7CCC">
        <w:t xml:space="preserve"> </w:t>
      </w:r>
      <w:r w:rsidR="00FE3713">
        <w:t xml:space="preserve">proper </w:t>
      </w:r>
      <w:r w:rsidR="00DB7CCC">
        <w:t xml:space="preserve">window of size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B43F9">
        <w:t xml:space="preserve"> </w:t>
      </w:r>
      <w:r w:rsidR="00FE3713">
        <w:t xml:space="preserve">from which </w:t>
      </w:r>
      <w:r w:rsidR="006B43F9">
        <w:t xml:space="preserve">to select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6B43F9">
        <w:t xml:space="preserve"> samples</w:t>
      </w:r>
      <w:r w:rsidR="00925F7C">
        <w:t xml:space="preserve"> </w:t>
      </w:r>
      <w:r w:rsidR="00FE3713">
        <w:t>for generating model input</w:t>
      </w:r>
      <w:r w:rsidR="00DB7CCC">
        <w:t>.</w:t>
      </w:r>
      <w:r w:rsidR="00D56AAE">
        <w:t xml:space="preserve"> Assume </w:t>
      </w:r>
      <m:oMath>
        <m:sSub>
          <m:sSubPr>
            <m:ctrlPr>
              <w:rPr>
                <w:rFonts w:ascii="Cambria Math" w:hAnsi="Cambria Math"/>
                <w:i/>
              </w:rPr>
            </m:ctrlPr>
          </m:sSubPr>
          <m:e>
            <m:acc>
              <m:accPr>
                <m:ctrlPr>
                  <w:rPr>
                    <w:rFonts w:ascii="Cambria Math" w:hAnsi="Cambria Math"/>
                    <w:i/>
                  </w:rPr>
                </m:ctrlPr>
              </m:accPr>
              <m:e>
                <m:r>
                  <w:rPr>
                    <w:rFonts w:ascii="Cambria Math" w:hAnsi="Cambria Math"/>
                  </w:rPr>
                  <m:t>τ</m:t>
                </m:r>
              </m:e>
            </m:acc>
          </m:e>
          <m:sub>
            <m:r>
              <w:rPr>
                <w:rFonts w:ascii="Cambria Math" w:hAnsi="Cambria Math"/>
              </w:rPr>
              <m:t>1</m:t>
            </m:r>
          </m:sub>
        </m:sSub>
      </m:oMath>
      <w:r w:rsidR="00B6728D" w:rsidRPr="00B6728D">
        <w:t xml:space="preserve"> </w:t>
      </w:r>
      <w:r w:rsidR="00B76EFB" w:rsidRPr="00B76EFB">
        <w:t xml:space="preserve">represents the first detected path identified by a channel searcher/estimator, and let </w:t>
      </w:r>
      <m:oMath>
        <m:r>
          <w:rPr>
            <w:rFonts w:ascii="Cambria Math" w:hAnsi="Cambria Math"/>
          </w:rPr>
          <m:t>δ</m:t>
        </m:r>
      </m:oMath>
      <w:r w:rsidR="00B6728D" w:rsidRPr="00B6728D">
        <w:t xml:space="preserve"> </w:t>
      </w:r>
      <w:r w:rsidR="00A41FC6" w:rsidRPr="00A41FC6">
        <w:t>be parameter (e.g., 3)</w:t>
      </w:r>
      <w:r w:rsidR="000F763F">
        <w:t xml:space="preserve"> that allows a shift of the size-</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F763F">
        <w:t xml:space="preserve"> window, relative to </w:t>
      </w:r>
      <m:oMath>
        <m:sSub>
          <m:sSubPr>
            <m:ctrlPr>
              <w:rPr>
                <w:rFonts w:ascii="Cambria Math" w:hAnsi="Cambria Math"/>
                <w:i/>
              </w:rPr>
            </m:ctrlPr>
          </m:sSubPr>
          <m:e>
            <m:acc>
              <m:accPr>
                <m:ctrlPr>
                  <w:rPr>
                    <w:rFonts w:ascii="Cambria Math" w:hAnsi="Cambria Math"/>
                    <w:i/>
                  </w:rPr>
                </m:ctrlPr>
              </m:accPr>
              <m:e>
                <m:r>
                  <w:rPr>
                    <w:rFonts w:ascii="Cambria Math" w:hAnsi="Cambria Math"/>
                  </w:rPr>
                  <m:t>τ</m:t>
                </m:r>
              </m:e>
            </m:acc>
          </m:e>
          <m:sub>
            <m:r>
              <w:rPr>
                <w:rFonts w:ascii="Cambria Math" w:hAnsi="Cambria Math"/>
              </w:rPr>
              <m:t>1</m:t>
            </m:r>
          </m:sub>
        </m:sSub>
      </m:oMath>
      <w:r w:rsidR="00A41FC6" w:rsidRPr="00A41FC6">
        <w:t>.</w:t>
      </w:r>
      <w:r w:rsidR="00A41FC6" w:rsidRPr="00A41FC6" w:rsidDel="00A41FC6">
        <w:t xml:space="preserve"> </w:t>
      </w:r>
      <w:r w:rsidR="00B6728D">
        <w:t xml:space="preserve">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rsidR="00B6728D" w:rsidRPr="00B6728D">
        <w:t xml:space="preserve"> </w:t>
      </w:r>
      <w:r w:rsidR="00630B20">
        <w:t>d</w:t>
      </w:r>
      <w:r w:rsidR="00630B20" w:rsidRPr="00630B20">
        <w:t>enotes the sample scope used as input by the ML model</w:t>
      </w:r>
      <w:r w:rsidR="00FE3713">
        <w:t>, which typically corresponds to the IDFT size</w:t>
      </w:r>
      <w:r w:rsidR="00630B20" w:rsidRPr="00630B20">
        <w:t>. Consequently, the window begins at the sample index</w:t>
      </w:r>
      <w:r w:rsidR="00630B20" w:rsidRPr="00630B20" w:rsidDel="00630B20">
        <w:t xml:space="preserve"> </w:t>
      </w:r>
    </w:p>
    <w:p w14:paraId="43A8A17A" w14:textId="5FAF124B" w:rsidR="00673B5F" w:rsidRDefault="000F763F" w:rsidP="00673B5F">
      <m:oMathPara>
        <m:oMath>
          <m:r>
            <w:rPr>
              <w:rFonts w:ascii="Cambria Math" w:hAnsi="Cambria Math"/>
            </w:rPr>
            <m:t>S=</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τ</m:t>
                              </m:r>
                            </m:e>
                          </m:acc>
                        </m:e>
                        <m:sub>
                          <m:r>
                            <w:rPr>
                              <w:rFonts w:ascii="Cambria Math" w:hAnsi="Cambria Math"/>
                            </w:rPr>
                            <m:t>1</m:t>
                          </m:r>
                        </m:sub>
                      </m:sSub>
                    </m:e>
                  </m:d>
                  <m:r>
                    <w:rPr>
                      <w:rFonts w:ascii="Cambria Math" w:hAnsi="Cambria Math"/>
                    </w:rPr>
                    <m:t>-δ,0</m:t>
                  </m:r>
                </m:e>
              </m:d>
              <m:r>
                <w:rPr>
                  <w:rFonts w:ascii="Cambria Math" w:hAnsi="Cambria Math"/>
                </w:rPr>
                <m:t>,</m:t>
              </m:r>
            </m:e>
          </m:func>
        </m:oMath>
      </m:oMathPara>
    </w:p>
    <w:p w14:paraId="3747A168" w14:textId="5ECEF160" w:rsidR="00673B5F" w:rsidRDefault="00C77684" w:rsidP="00673B5F">
      <w:r>
        <w:t xml:space="preserve">and </w:t>
      </w:r>
      <w:r w:rsidRPr="00C77684">
        <w:t>ends at the sample index</w:t>
      </w:r>
    </w:p>
    <w:p w14:paraId="5207F5B0" w14:textId="50EC0BE9" w:rsidR="00673B5F" w:rsidRDefault="00630B20" w:rsidP="00673B5F">
      <m:oMathPara>
        <m:oMath>
          <m:r>
            <w:rPr>
              <w:rFonts w:ascii="Cambria Math" w:hAnsi="Cambria Math"/>
            </w:rPr>
            <m:t>E=</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Sub>
                    <m:sSubPr>
                      <m:ctrlPr>
                        <w:rPr>
                          <w:rFonts w:ascii="Cambria Math" w:hAnsi="Cambria Math"/>
                          <w:i/>
                        </w:rPr>
                      </m:ctrlPr>
                    </m:sSubPr>
                    <m:e>
                      <m:r>
                        <w:rPr>
                          <w:rFonts w:ascii="Cambria Math" w:hAnsi="Cambria Math"/>
                        </w:rPr>
                        <m:t>M</m:t>
                      </m:r>
                    </m:e>
                    <m:sub>
                      <m:r>
                        <w:rPr>
                          <w:rFonts w:ascii="Cambria Math" w:hAnsi="Cambria Math"/>
                        </w:rPr>
                        <m:t>t</m:t>
                      </m:r>
                    </m:sub>
                  </m:sSub>
                </m:e>
              </m:d>
            </m:e>
          </m:func>
          <m:r>
            <w:rPr>
              <w:rFonts w:ascii="Cambria Math" w:hAnsi="Cambria Math"/>
            </w:rPr>
            <m:t>.</m:t>
          </m:r>
        </m:oMath>
      </m:oMathPara>
    </w:p>
    <w:p w14:paraId="2B9B87FC" w14:textId="166931CA" w:rsidR="00340014" w:rsidRDefault="00340014" w:rsidP="00F21DF5"/>
    <w:p w14:paraId="60E03810" w14:textId="6D93B1C7" w:rsidR="0003637A" w:rsidRDefault="0003637A" w:rsidP="00F21DF5">
      <w:r w:rsidRPr="0003637A">
        <w:t xml:space="preserve">In the following sub-sections, we evaluate the impact of the </w:t>
      </w:r>
      <m:oMath>
        <m:r>
          <w:rPr>
            <w:rFonts w:ascii="Cambria Math" w:hAnsi="Cambria Math"/>
          </w:rPr>
          <m:t>δ</m:t>
        </m:r>
      </m:oMath>
      <w:r w:rsidRPr="0003637A">
        <w:t xml:space="preserve"> values, specifically </w:t>
      </w:r>
      <m:oMath>
        <m:r>
          <w:rPr>
            <w:rFonts w:ascii="Cambria Math" w:hAnsi="Cambria Math"/>
          </w:rPr>
          <m:t>δ=0</m:t>
        </m:r>
      </m:oMath>
      <w:r w:rsidR="004E1775" w:rsidRPr="0003637A">
        <w:t xml:space="preserve"> </w:t>
      </w:r>
      <w:r w:rsidRPr="0003637A">
        <w:t xml:space="preserve">and </w:t>
      </w:r>
      <m:oMath>
        <m:r>
          <w:rPr>
            <w:rFonts w:ascii="Cambria Math" w:hAnsi="Cambria Math"/>
          </w:rPr>
          <m:t>δ=3</m:t>
        </m:r>
      </m:oMath>
      <w:r w:rsidRPr="0003637A">
        <w:t xml:space="preserve"> , on the model's performance when the ML model utilizes input from the 9, 6, and 4 TRPs with the strongest received signal power. Throughout these evaluations, the UE transmission power is maintained at 23 dBm, and the SRS bandwidth is set to 100 MHz. Moreover, we employ seven different channel estimators to capture varying levels of accuracy in determining </w:t>
      </w:r>
      <m:oMath>
        <m:sSub>
          <m:sSubPr>
            <m:ctrlPr>
              <w:rPr>
                <w:rFonts w:ascii="Cambria Math" w:hAnsi="Cambria Math"/>
                <w:i/>
              </w:rPr>
            </m:ctrlPr>
          </m:sSubPr>
          <m:e>
            <m:acc>
              <m:accPr>
                <m:ctrlPr>
                  <w:rPr>
                    <w:rFonts w:ascii="Cambria Math" w:hAnsi="Cambria Math"/>
                    <w:i/>
                  </w:rPr>
                </m:ctrlPr>
              </m:accPr>
              <m:e>
                <m:r>
                  <w:rPr>
                    <w:rFonts w:ascii="Cambria Math" w:hAnsi="Cambria Math"/>
                  </w:rPr>
                  <m:t>τ</m:t>
                </m:r>
              </m:e>
            </m:acc>
          </m:e>
          <m:sub>
            <m:r>
              <w:rPr>
                <w:rFonts w:ascii="Cambria Math" w:hAnsi="Cambria Math"/>
              </w:rPr>
              <m:t>1</m:t>
            </m:r>
          </m:sub>
        </m:sSub>
      </m:oMath>
      <w:r w:rsidRPr="0003637A">
        <w:t xml:space="preserve"> </w:t>
      </w:r>
      <w:r w:rsidR="000F763F">
        <w:t xml:space="preserve">(i.e., </w:t>
      </w:r>
      <w:r w:rsidRPr="0003637A">
        <w:t>the first detected path</w:t>
      </w:r>
      <w:r w:rsidR="000F763F">
        <w:t>)</w:t>
      </w:r>
      <w:r w:rsidRPr="0003637A">
        <w:t xml:space="preserve">, providing a comprehensive assessment of the model's performance for different </w:t>
      </w:r>
      <w:r w:rsidR="006E69AB" w:rsidRPr="006E69AB">
        <w:t>measurement report window placement</w:t>
      </w:r>
      <w:r w:rsidRPr="0003637A">
        <w:t>.</w:t>
      </w:r>
      <w:r w:rsidR="00805A44">
        <w:t xml:space="preserve"> </w:t>
      </w:r>
      <w:r w:rsidR="004F17D8" w:rsidRPr="004F17D8">
        <w:t>Detailed information about the various channel estimators can be found in Section</w:t>
      </w:r>
      <w:r w:rsidR="004F17D8" w:rsidRPr="004F17D8" w:rsidDel="004F17D8">
        <w:t xml:space="preserve"> </w:t>
      </w:r>
      <w:r w:rsidR="009B5103">
        <w:fldChar w:fldCharType="begin"/>
      </w:r>
      <w:r w:rsidR="009B5103">
        <w:instrText xml:space="preserve"> REF _Ref163068290 \r \h </w:instrText>
      </w:r>
      <w:r w:rsidR="009B5103">
        <w:fldChar w:fldCharType="separate"/>
      </w:r>
      <w:r w:rsidR="00850DA1">
        <w:t>3.1.2.2</w:t>
      </w:r>
      <w:r w:rsidR="009B5103">
        <w:fldChar w:fldCharType="end"/>
      </w:r>
      <w:r w:rsidR="00DB5AFB">
        <w:t xml:space="preserve">. </w:t>
      </w:r>
      <w:r w:rsidR="00805A44">
        <w:t xml:space="preserve">We also provide </w:t>
      </w:r>
      <w:r w:rsidR="00E93F0E" w:rsidRPr="00C044C5">
        <w:t>the</w:t>
      </w:r>
      <w:r w:rsidR="00EC0112">
        <w:t xml:space="preserve"> </w:t>
      </w:r>
      <w:r w:rsidR="00797E36" w:rsidRPr="00C044C5">
        <w:t>performance bound</w:t>
      </w:r>
      <w:r w:rsidR="00E93F0E" w:rsidRPr="00C044C5">
        <w:t xml:space="preserve">, </w:t>
      </w:r>
      <w:r w:rsidR="00B579A5">
        <w:t xml:space="preserve">where </w:t>
      </w:r>
      <w:r w:rsidR="00477694">
        <w:t>the N</w:t>
      </w:r>
      <w:r w:rsidR="00477694" w:rsidRPr="004D3536">
        <w:rPr>
          <w:vertAlign w:val="subscript"/>
        </w:rPr>
        <w:t>t</w:t>
      </w:r>
      <w:r w:rsidR="00477694">
        <w:t>’ s</w:t>
      </w:r>
      <w:r w:rsidR="00477694" w:rsidRPr="00152498">
        <w:t xml:space="preserve">amples with the highest power are selected from the </w:t>
      </w:r>
      <w:r w:rsidR="000F763F">
        <w:t>ID</w:t>
      </w:r>
      <w:r w:rsidR="00477694" w:rsidRPr="00152498">
        <w:t>FT window of siz</w:t>
      </w:r>
      <w:r w:rsidR="00477694">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rsidR="00477694">
        <w:t xml:space="preserve">, i.e., </w:t>
      </w:r>
      <w:r w:rsidR="000F763F">
        <w:t>without any degradation due to the choice</w:t>
      </w:r>
      <w:r w:rsidR="00E93F0E" w:rsidRPr="00C044C5">
        <w:t xml:space="preserve"> of the starting position of the list of </w:t>
      </w:r>
      <w:r w:rsidR="00E93F0E">
        <w:t>N</w:t>
      </w:r>
      <w:r w:rsidR="00E93F0E" w:rsidRPr="004D3536">
        <w:rPr>
          <w:vertAlign w:val="subscript"/>
        </w:rPr>
        <w:t>t</w:t>
      </w:r>
      <w:r w:rsidR="00E93F0E">
        <w:t xml:space="preserve"> samples. </w:t>
      </w:r>
    </w:p>
    <w:p w14:paraId="7456F20A" w14:textId="3997531F" w:rsidR="000F763F" w:rsidRDefault="000F763F" w:rsidP="00F21DF5">
      <w:r>
        <w:t>One of the focus</w:t>
      </w:r>
      <w:r w:rsidR="0068055F">
        <w:t xml:space="preserve"> area</w:t>
      </w:r>
      <w:r>
        <w:t xml:space="preserve"> is to investigate whether it is beneficial to start the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8964A5">
        <w:t xml:space="preserve"> samples </w:t>
      </w:r>
      <w:r>
        <w:t>earlier than the first detected path</w:t>
      </w:r>
      <w:r w:rsidR="0068055F">
        <w:t>. T</w:t>
      </w:r>
      <w:r>
        <w:t>here was some concern at RAN1#118 that some information could be lost if starting at the first detected path, causing performance degradation.</w:t>
      </w:r>
      <w:r w:rsidR="0068055F">
        <w:t xml:space="preserve"> Thus, it is evaluated below whether (</w:t>
      </w:r>
      <w:r w:rsidR="00E920B7">
        <w:t>B</w:t>
      </w:r>
      <w:r w:rsidR="0068055F">
        <w:t>) brings better performance than (</w:t>
      </w:r>
      <w:r w:rsidR="00E920B7">
        <w:t>A</w:t>
      </w:r>
      <w:r w:rsidR="0068055F">
        <w:t>):</w:t>
      </w:r>
    </w:p>
    <w:p w14:paraId="170CE447" w14:textId="200AE120" w:rsidR="0068055F" w:rsidRDefault="000F763F" w:rsidP="00D35F36">
      <w:pPr>
        <w:pStyle w:val="ListParagraph"/>
        <w:numPr>
          <w:ilvl w:val="0"/>
          <w:numId w:val="86"/>
        </w:numPr>
      </w:pPr>
      <m:oMath>
        <m:r>
          <w:rPr>
            <w:rFonts w:ascii="Cambria Math" w:hAnsi="Cambria Math"/>
          </w:rPr>
          <m:t>δ=0</m:t>
        </m:r>
      </m:oMath>
      <w:r w:rsidR="0068055F">
        <w:t xml:space="preserve">, i.e., the list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8055F" w:rsidRPr="008964A5">
        <w:t xml:space="preserve"> </w:t>
      </w:r>
      <w:r w:rsidR="0068055F">
        <w:t xml:space="preserve">consecutive </w:t>
      </w:r>
      <w:r w:rsidR="0068055F" w:rsidRPr="008964A5">
        <w:t xml:space="preserve">samples </w:t>
      </w:r>
      <w:r w:rsidR="0068055F">
        <w:t>starts at the first detected path, rounded to the timing grid.</w:t>
      </w:r>
    </w:p>
    <w:p w14:paraId="37053549" w14:textId="09E012C7" w:rsidR="0068055F" w:rsidRDefault="000F763F" w:rsidP="00D35F36">
      <w:pPr>
        <w:pStyle w:val="ListParagraph"/>
        <w:numPr>
          <w:ilvl w:val="0"/>
          <w:numId w:val="86"/>
        </w:numPr>
      </w:pPr>
      <m:oMath>
        <m:r>
          <w:rPr>
            <w:rFonts w:ascii="Cambria Math" w:hAnsi="Cambria Math"/>
          </w:rPr>
          <m:t>δ=3</m:t>
        </m:r>
      </m:oMath>
      <w:r w:rsidR="0068055F" w:rsidRPr="008964A5">
        <w:t xml:space="preserve">, </w:t>
      </w:r>
      <w:r w:rsidR="0068055F">
        <w:t xml:space="preserve">i.e., the list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8055F" w:rsidRPr="008964A5">
        <w:t xml:space="preserve"> </w:t>
      </w:r>
      <w:r w:rsidR="0068055F">
        <w:t xml:space="preserve">consecutive </w:t>
      </w:r>
      <w:r w:rsidR="0068055F" w:rsidRPr="008964A5">
        <w:t>samples start</w:t>
      </w:r>
      <w:r w:rsidR="0068055F">
        <w:t>s</w:t>
      </w:r>
      <w:r w:rsidR="0068055F" w:rsidRPr="008964A5">
        <w:t xml:space="preserve"> 3 samples before the timing of the first detected path</w:t>
      </w:r>
      <w:r w:rsidR="0068055F">
        <w:t xml:space="preserve"> to capture preceding data</w:t>
      </w:r>
      <w:r w:rsidR="0068055F" w:rsidRPr="008964A5">
        <w:t>.</w:t>
      </w:r>
    </w:p>
    <w:p w14:paraId="1B96D2BD" w14:textId="77777777" w:rsidR="0068055F" w:rsidRDefault="0068055F" w:rsidP="00F21DF5"/>
    <w:p w14:paraId="4F1DCD7B" w14:textId="749A329B" w:rsidR="006E2194" w:rsidRDefault="008964A5" w:rsidP="00F21DF5">
      <w:r w:rsidRPr="008964A5">
        <w:t xml:space="preserve">As </w:t>
      </w:r>
      <w:r w:rsidR="000F763F">
        <w:t xml:space="preserve">can be </w:t>
      </w:r>
      <w:r w:rsidRPr="008964A5">
        <w:t>observed</w:t>
      </w:r>
      <w:r w:rsidR="000F763F">
        <w:t xml:space="preserve"> from</w:t>
      </w:r>
      <w:r w:rsidRPr="008964A5">
        <w:t xml:space="preserve"> the </w:t>
      </w:r>
      <w:r w:rsidR="000F763F">
        <w:t>evaluation results in</w:t>
      </w:r>
      <w:r w:rsidRPr="008964A5">
        <w:t xml:space="preserve"> the </w:t>
      </w:r>
      <w:r w:rsidR="000F763F">
        <w:t>sub-sections</w:t>
      </w:r>
      <w:r w:rsidRPr="008964A5">
        <w:t xml:space="preserve">, </w:t>
      </w:r>
      <w:r w:rsidR="0068055F">
        <w:t>(A</w:t>
      </w:r>
      <w:r w:rsidRPr="008964A5">
        <w:t xml:space="preserve">) provides the same or better performance compared to </w:t>
      </w:r>
      <w:r w:rsidR="0068055F">
        <w:t>(B), for all 7 channel estimators tested.</w:t>
      </w:r>
      <w:r w:rsidR="006E2194">
        <w:t xml:space="preserve"> Even though different channel estimator may set the start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E2194">
        <w:t xml:space="preserve"> </w:t>
      </w:r>
      <w:r w:rsidR="006E2194" w:rsidRPr="008964A5">
        <w:t>samples</w:t>
      </w:r>
      <w:r w:rsidR="006E2194">
        <w:t xml:space="preserve"> somewhat differently, the sample-based measurement outlined in Step 1-3 in section </w:t>
      </w:r>
      <w:r w:rsidR="00500110">
        <w:fldChar w:fldCharType="begin"/>
      </w:r>
      <w:r w:rsidR="00500110">
        <w:instrText xml:space="preserve"> REF _Ref163135552 \r </w:instrText>
      </w:r>
      <w:r w:rsidR="00500110">
        <w:fldChar w:fldCharType="separate"/>
      </w:r>
      <w:r w:rsidR="00850DA1">
        <w:t>3.1</w:t>
      </w:r>
      <w:r w:rsidR="00500110">
        <w:fldChar w:fldCharType="end"/>
      </w:r>
      <w:r w:rsidR="006E2194">
        <w:t xml:space="preserve"> is robust to such implementation variations.</w:t>
      </w:r>
      <w:r w:rsidR="0068055F">
        <w:t xml:space="preserve"> </w:t>
      </w:r>
      <w:r w:rsidR="006E2194">
        <w:t xml:space="preserve">In fact, for the purpose of setting the start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E2194">
        <w:t xml:space="preserve"> </w:t>
      </w:r>
      <w:r w:rsidR="006E2194" w:rsidRPr="008964A5">
        <w:t>samples</w:t>
      </w:r>
      <w:r w:rsidR="006E2194">
        <w:t>, there is no need to implement sophisticated channel estimator to pinpoint the first detected path. It is acceptable to use a less accurate</w:t>
      </w:r>
      <w:r w:rsidR="001045A7">
        <w:t xml:space="preserve"> (</w:t>
      </w:r>
      <w:r w:rsidR="006E2194">
        <w:t>but simpler</w:t>
      </w:r>
      <w:r w:rsidR="001045A7">
        <w:t xml:space="preserve"> and cheaper</w:t>
      </w:r>
      <w:r w:rsidR="006E2194">
        <w:t xml:space="preserve"> to implement</w:t>
      </w:r>
      <w:r w:rsidR="001045A7">
        <w:t>)</w:t>
      </w:r>
      <w:r w:rsidR="006E2194">
        <w:t xml:space="preserve"> channel estimator, since the AI/ML model does not rely on accurately detecting the first path to triangulate the UE, unlike legacy methods.</w:t>
      </w:r>
      <w:r w:rsidR="001045A7">
        <w:t xml:space="preserve"> </w:t>
      </w:r>
    </w:p>
    <w:p w14:paraId="7048EE04" w14:textId="39A1DE6A" w:rsidR="008964A5" w:rsidRDefault="0068055F" w:rsidP="00F21DF5">
      <w:r>
        <w:t xml:space="preserve">Thus RAN1 is recommended to adopt </w:t>
      </w:r>
      <m:oMath>
        <m:r>
          <w:rPr>
            <w:rFonts w:ascii="Cambria Math" w:hAnsi="Cambria Math"/>
          </w:rPr>
          <m:t>δ=0</m:t>
        </m:r>
      </m:oMath>
      <w:r w:rsidR="008964A5" w:rsidRPr="008964A5">
        <w:t xml:space="preserve">, </w:t>
      </w:r>
      <w:r>
        <w:t xml:space="preserve">i.e., there is no need to </w:t>
      </w:r>
      <w:r w:rsidR="008964A5" w:rsidRPr="008964A5">
        <w:t>introduc</w:t>
      </w:r>
      <w:r>
        <w:t>e</w:t>
      </w:r>
      <w:r w:rsidR="008964A5" w:rsidRPr="008964A5">
        <w:t xml:space="preserve"> any new </w:t>
      </w:r>
      <w:r>
        <w:t xml:space="preserve">offset </w:t>
      </w:r>
      <w:r w:rsidR="008964A5" w:rsidRPr="008964A5">
        <w:t>parameters</w:t>
      </w:r>
      <w:r>
        <w:t xml:space="preserve"> like </w:t>
      </w:r>
      <m:oMath>
        <m:r>
          <w:rPr>
            <w:rFonts w:ascii="Cambria Math" w:hAnsi="Cambria Math"/>
          </w:rPr>
          <m:t>δ</m:t>
        </m:r>
      </m:oMath>
      <w:r w:rsidR="008964A5" w:rsidRPr="008964A5">
        <w:t xml:space="preserve"> and</w:t>
      </w:r>
      <w:r>
        <w:t xml:space="preserve"> RAN1 should </w:t>
      </w:r>
      <w:r w:rsidR="008964A5" w:rsidRPr="008964A5">
        <w:t xml:space="preserve">simply set the start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8964A5">
        <w:t xml:space="preserve"> </w:t>
      </w:r>
      <w:r w:rsidR="008964A5" w:rsidRPr="008964A5">
        <w:t>samples at the timing of the first detected path.</w:t>
      </w:r>
      <w:r>
        <w:t xml:space="preserve"> </w:t>
      </w:r>
    </w:p>
    <w:p w14:paraId="07C596AD" w14:textId="77777777" w:rsidR="00F21DF5" w:rsidRPr="00CE7F57" w:rsidRDefault="00F21DF5" w:rsidP="00337C3E"/>
    <w:p w14:paraId="742C57B4" w14:textId="63D7E1EF" w:rsidR="008D5C67" w:rsidRDefault="008D5C67" w:rsidP="008D5C67">
      <w:pPr>
        <w:pStyle w:val="Observation"/>
      </w:pPr>
      <w:bookmarkStart w:id="217" w:name="_Toc178961834"/>
      <w:r>
        <w:t xml:space="preserve">The positioning accuracy of the AI/ML model is not sensitive to channel estimation method when </w:t>
      </w:r>
      <w:r w:rsidRPr="00337C3E">
        <w:t>the timing of the first detected path</w:t>
      </w:r>
      <w:r>
        <w:t xml:space="preserve"> is used to determine the start of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vertAlign w:val="subscript"/>
              </w:rPr>
              <m:t>t</m:t>
            </m:r>
          </m:sub>
        </m:sSub>
      </m:oMath>
      <w:r>
        <w:t xml:space="preserve"> samples.</w:t>
      </w:r>
      <w:bookmarkEnd w:id="217"/>
    </w:p>
    <w:p w14:paraId="469BA6CE" w14:textId="62BBA4AD" w:rsidR="00F21DF5" w:rsidRDefault="00BF30F3" w:rsidP="008D5C67">
      <w:pPr>
        <w:pStyle w:val="Observation"/>
      </w:pPr>
      <w:bookmarkStart w:id="218" w:name="_Toc178961835"/>
      <w:r w:rsidRPr="00BF30F3">
        <w:lastRenderedPageBreak/>
        <w:t xml:space="preserve">Setting </w:t>
      </w:r>
      <m:oMath>
        <m:r>
          <m:rPr>
            <m:sty m:val="bi"/>
          </m:rPr>
          <w:rPr>
            <w:rFonts w:ascii="Cambria Math" w:hAnsi="Cambria Math"/>
            <w:i/>
          </w:rPr>
          <w:sym w:font="Symbol" w:char="F064"/>
        </m:r>
        <m:r>
          <m:rPr>
            <m:sty m:val="bi"/>
          </m:rPr>
          <w:rPr>
            <w:rFonts w:ascii="Cambria Math" w:hAnsi="Cambria Math"/>
          </w:rPr>
          <m:t xml:space="preserve"> = 0</m:t>
        </m:r>
      </m:oMath>
      <w:r w:rsidR="00E20AD0">
        <w:t xml:space="preserve">, </w:t>
      </w:r>
      <w:r w:rsidRPr="00BF30F3">
        <w:t xml:space="preserve">i.e., starting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rsidRPr="00BF30F3">
        <w:t xml:space="preserve"> samples at the timing of the first detected path</w:t>
      </w:r>
      <w:r w:rsidR="00E20AD0">
        <w:t>,</w:t>
      </w:r>
      <w:r w:rsidRPr="00BF30F3">
        <w:t xml:space="preserve"> provides the same or better accuracy compared to </w:t>
      </w:r>
      <m:oMath>
        <m:r>
          <m:rPr>
            <m:sty m:val="bi"/>
          </m:rPr>
          <w:rPr>
            <w:rFonts w:ascii="Cambria Math" w:hAnsi="Cambria Math"/>
            <w:i/>
          </w:rPr>
          <w:sym w:font="Symbol" w:char="F064"/>
        </m:r>
        <m:r>
          <m:rPr>
            <m:sty m:val="bi"/>
          </m:rPr>
          <w:rPr>
            <w:rFonts w:ascii="Cambria Math" w:hAnsi="Cambria Math"/>
          </w:rPr>
          <m:t xml:space="preserve"> = 3</m:t>
        </m:r>
      </m:oMath>
      <w:r w:rsidR="00E20AD0">
        <w:t xml:space="preserve"> , </w:t>
      </w:r>
      <w:r w:rsidRPr="00BF30F3">
        <w:t xml:space="preserve">i.e., starting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rsidRPr="00BF30F3">
        <w:t xml:space="preserve"> samples 3 samples before the timing of the first detected path</w:t>
      </w:r>
      <w:r>
        <w:t>.</w:t>
      </w:r>
      <w:bookmarkEnd w:id="218"/>
    </w:p>
    <w:p w14:paraId="7E8CF130" w14:textId="53A95AB0" w:rsidR="00154401" w:rsidRDefault="00154401" w:rsidP="008D5C67">
      <w:pPr>
        <w:pStyle w:val="Observation"/>
      </w:pPr>
      <w:bookmarkStart w:id="219" w:name="_Toc178961836"/>
      <w:r>
        <w:t>The size N</w:t>
      </w:r>
      <w:r w:rsidRPr="00337C3E">
        <w:rPr>
          <w:vertAlign w:val="subscript"/>
        </w:rPr>
        <w:t>t</w:t>
      </w:r>
      <w:r>
        <w:t xml:space="preserve"> can be &lt;=1/2 the measurement range M</w:t>
      </w:r>
      <w:r w:rsidRPr="00337C3E">
        <w:rPr>
          <w:vertAlign w:val="subscript"/>
        </w:rPr>
        <w:t>t</w:t>
      </w:r>
      <w:r>
        <w:t xml:space="preserve"> without </w:t>
      </w:r>
      <w:r w:rsidR="00120FC5">
        <w:t xml:space="preserve">significantly </w:t>
      </w:r>
      <w:r>
        <w:t>degrading the positioning accuracy.</w:t>
      </w:r>
      <w:bookmarkEnd w:id="219"/>
    </w:p>
    <w:p w14:paraId="56F6D8A1" w14:textId="3F142863" w:rsidR="00090116" w:rsidRDefault="00090116" w:rsidP="008D5C67">
      <w:pPr>
        <w:pStyle w:val="Observation"/>
      </w:pPr>
      <w:bookmarkStart w:id="220" w:name="_Toc178961837"/>
      <w:r>
        <w:t xml:space="preserve">Setting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vertAlign w:val="subscript"/>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vertAlign w:val="subscript"/>
              </w:rPr>
              <m:t>t</m:t>
            </m:r>
            <m:ctrlPr>
              <w:rPr>
                <w:rFonts w:ascii="Cambria Math" w:hAnsi="Cambria Math"/>
                <w:i/>
                <w:vertAlign w:val="subscript"/>
              </w:rPr>
            </m:ctrlPr>
          </m:sub>
          <m:sup>
            <m:r>
              <m:rPr>
                <m:sty m:val="bi"/>
              </m:rPr>
              <w:rPr>
                <w:rFonts w:ascii="Cambria Math" w:hAnsi="Cambria Math"/>
                <w:vertAlign w:val="subscript"/>
              </w:rPr>
              <m:t>'</m:t>
            </m:r>
            <m:ctrlPr>
              <w:rPr>
                <w:rFonts w:ascii="Cambria Math" w:hAnsi="Cambria Math"/>
                <w:i/>
                <w:vertAlign w:val="subscript"/>
              </w:rPr>
            </m:ctrlPr>
          </m:sup>
        </m:sSubSup>
      </m:oMath>
      <w:r>
        <w:t xml:space="preserve"> leads to </w:t>
      </w:r>
      <w:r w:rsidR="00A434C1">
        <w:t>clear</w:t>
      </w:r>
      <w:r>
        <w:t xml:space="preserve"> performance degradation when the number of active TRPs is small (e.g., 4 TRP</w:t>
      </w:r>
      <w:r w:rsidR="00051E18">
        <w:t>s</w:t>
      </w:r>
      <w:r>
        <w:t xml:space="preserve">), while performance degradation is </w:t>
      </w:r>
      <w:r w:rsidR="00A434C1">
        <w:t>minor</w:t>
      </w:r>
      <w:r>
        <w:t xml:space="preserve"> when the number of active TRPs is adequate (e.g., 6 or 9 TRPs).</w:t>
      </w:r>
      <w:bookmarkEnd w:id="220"/>
    </w:p>
    <w:p w14:paraId="5CF5E1B2" w14:textId="77777777" w:rsidR="008D5C67" w:rsidRPr="00CE7F57" w:rsidRDefault="008D5C67" w:rsidP="00337C3E"/>
    <w:p w14:paraId="5DEC85A9" w14:textId="68F626DE" w:rsidR="00A01F01" w:rsidRDefault="00643098" w:rsidP="006724F4">
      <w:pPr>
        <w:pStyle w:val="Heading5"/>
      </w:pPr>
      <w:bookmarkStart w:id="221" w:name="_Ref178707507"/>
      <w:r>
        <w:rPr>
          <w:rFonts w:ascii="Calibri" w:eastAsiaTheme="minorEastAsia" w:hAnsi="Calibri" w:cstheme="minorBidi"/>
        </w:rPr>
        <w:t xml:space="preserve">Performance comparison of </w:t>
      </w:r>
      <m:oMath>
        <m:r>
          <w:rPr>
            <w:rFonts w:ascii="Cambria Math" w:hAnsi="Cambria Math"/>
          </w:rPr>
          <m:t>δ=0</m:t>
        </m:r>
      </m:oMath>
      <w:r>
        <w:t xml:space="preserve"> vs </w:t>
      </w:r>
      <m:oMath>
        <m:r>
          <w:rPr>
            <w:rFonts w:ascii="Cambria Math" w:hAnsi="Cambria Math"/>
          </w:rPr>
          <m:t>δ=3</m:t>
        </m:r>
      </m:oMath>
      <w:r>
        <w:t xml:space="preserve"> for a range of active TRPs</w:t>
      </w:r>
      <w:bookmarkEnd w:id="221"/>
    </w:p>
    <w:p w14:paraId="20BCEC49" w14:textId="1F91E65B" w:rsidR="006724F4" w:rsidRDefault="00C40D72" w:rsidP="00643098">
      <w:pPr>
        <w:pStyle w:val="Heading6"/>
      </w:pPr>
      <w:r w:rsidRPr="00C40D72">
        <w:t>9 TRP</w:t>
      </w:r>
      <w:r w:rsidR="00E2787B">
        <w:t>s</w:t>
      </w:r>
    </w:p>
    <w:p w14:paraId="3BA4CADE" w14:textId="1D7BD196" w:rsidR="006724F4" w:rsidRDefault="00FA3C06" w:rsidP="006724F4">
      <w:r>
        <w:fldChar w:fldCharType="begin"/>
      </w:r>
      <w:r>
        <w:instrText xml:space="preserve"> REF _Ref178586769 \h </w:instrText>
      </w:r>
      <w:r>
        <w:fldChar w:fldCharType="separate"/>
      </w:r>
      <w:r w:rsidR="00850DA1">
        <w:t xml:space="preserve">Table </w:t>
      </w:r>
      <w:r w:rsidR="00850DA1">
        <w:rPr>
          <w:noProof/>
        </w:rPr>
        <w:t>1</w:t>
      </w:r>
      <w:r>
        <w:fldChar w:fldCharType="end"/>
      </w:r>
      <w:r>
        <w:t xml:space="preserve"> and </w:t>
      </w:r>
      <w:r>
        <w:fldChar w:fldCharType="begin"/>
      </w:r>
      <w:r>
        <w:instrText xml:space="preserve"> REF _Ref178586797 \h </w:instrText>
      </w:r>
      <w:r>
        <w:fldChar w:fldCharType="separate"/>
      </w:r>
      <w:r w:rsidR="00850DA1">
        <w:t xml:space="preserve">Table </w:t>
      </w:r>
      <w:r w:rsidR="00850DA1">
        <w:rPr>
          <w:noProof/>
        </w:rPr>
        <w:t>2</w:t>
      </w:r>
      <w:r>
        <w:fldChar w:fldCharType="end"/>
      </w:r>
      <w:r>
        <w:t xml:space="preserve"> </w:t>
      </w:r>
      <w:r w:rsidR="00F06FE8" w:rsidRPr="00F06FE8">
        <w:t>resent the evaluation results for measurement report window placement with</w:t>
      </w:r>
      <w:r w:rsidR="00982405">
        <w:t xml:space="preserve"> </w:t>
      </w:r>
      <w:r w:rsidR="007E7A4A">
        <w:t xml:space="preserve"> </w:t>
      </w:r>
      <m:oMath>
        <m:r>
          <w:rPr>
            <w:rFonts w:ascii="Cambria Math" w:hAnsi="Cambria Math"/>
          </w:rPr>
          <m:t>δ=0</m:t>
        </m:r>
      </m:oMath>
      <w:r w:rsidR="00D95BF7">
        <w:t xml:space="preserve"> and </w:t>
      </w:r>
      <m:oMath>
        <m:r>
          <w:rPr>
            <w:rFonts w:ascii="Cambria Math" w:hAnsi="Cambria Math"/>
          </w:rPr>
          <m:t>δ=3</m:t>
        </m:r>
      </m:oMath>
      <w:r w:rsidR="00D95BF7">
        <w:t>, respectively.</w:t>
      </w:r>
      <w:r w:rsidR="00C044C5" w:rsidRPr="00C044C5">
        <w:t xml:space="preserve"> The ML model uses input from the 9 TRPs with the highest received signal power. The </w:t>
      </w:r>
      <w:r w:rsidR="005835C7">
        <w:t>“</w:t>
      </w:r>
      <w:r w:rsidR="00C044C5" w:rsidRPr="00C044C5">
        <w:t xml:space="preserve">Sample-based </w:t>
      </w:r>
      <w:r w:rsidR="005835C7">
        <w:t>s</w:t>
      </w:r>
      <w:r w:rsidR="00C044C5" w:rsidRPr="00C044C5">
        <w:t>ignaling</w:t>
      </w:r>
      <w:r w:rsidR="005835C7">
        <w:t>”</w:t>
      </w:r>
      <w:r w:rsidR="00C044C5" w:rsidRPr="00C044C5">
        <w:t xml:space="preserve"> column</w:t>
      </w:r>
      <w:r w:rsidR="00042C65">
        <w:t xml:space="preserve"> (green highlighted)</w:t>
      </w:r>
      <w:r w:rsidR="00C044C5" w:rsidRPr="00C044C5">
        <w:t xml:space="preserve"> represents the performance bound, independent of the starting position of the list of </w:t>
      </w:r>
      <w:r w:rsidR="003C6D8B">
        <w:t>N</w:t>
      </w:r>
      <w:r w:rsidR="003C6D8B" w:rsidRPr="004D3536">
        <w:rPr>
          <w:vertAlign w:val="subscript"/>
        </w:rPr>
        <w:t>t</w:t>
      </w:r>
      <w:r w:rsidR="003C6D8B">
        <w:t xml:space="preserve"> </w:t>
      </w:r>
      <w:r w:rsidR="00AF746A">
        <w:t xml:space="preserve">consecutive </w:t>
      </w:r>
      <w:r w:rsidR="003C6D8B">
        <w:t>samples</w:t>
      </w:r>
      <w:r w:rsidR="00252988">
        <w:t>.</w:t>
      </w:r>
      <w:r w:rsidR="003C6D8B">
        <w:t xml:space="preserve"> </w:t>
      </w:r>
      <w:r w:rsidR="00252988">
        <w:t>For this column,</w:t>
      </w:r>
      <w:r w:rsidR="00750526">
        <w:t xml:space="preserve"> the N</w:t>
      </w:r>
      <w:r w:rsidR="00750526" w:rsidRPr="004D3536">
        <w:rPr>
          <w:vertAlign w:val="subscript"/>
        </w:rPr>
        <w:t>t</w:t>
      </w:r>
      <w:r w:rsidR="00750526">
        <w:t xml:space="preserve">’ samples with </w:t>
      </w:r>
      <w:r w:rsidR="00152498" w:rsidRPr="00152498">
        <w:t xml:space="preserve">the highest power are selected from the </w:t>
      </w:r>
      <w:r w:rsidR="00ED1FA9">
        <w:t>ID</w:t>
      </w:r>
      <w:r w:rsidR="00152498" w:rsidRPr="00152498">
        <w:t>FT window of siz</w:t>
      </w:r>
      <w:r w:rsidR="00152498">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rsidR="00750526">
        <w:t>.</w:t>
      </w:r>
    </w:p>
    <w:p w14:paraId="4EE8E564" w14:textId="50362472" w:rsidR="00A71AB6" w:rsidRDefault="0065051C" w:rsidP="00337C3E">
      <w:pPr>
        <w:pStyle w:val="Caption"/>
      </w:pPr>
      <w:bookmarkStart w:id="222" w:name="_Ref178586769"/>
      <w:r>
        <w:t xml:space="preserve">Table </w:t>
      </w:r>
      <w:r w:rsidR="00500110">
        <w:fldChar w:fldCharType="begin"/>
      </w:r>
      <w:r w:rsidR="00500110">
        <w:instrText xml:space="preserve"> SEQ Table \* ARABIC </w:instrText>
      </w:r>
      <w:r w:rsidR="00500110">
        <w:fldChar w:fldCharType="separate"/>
      </w:r>
      <w:r w:rsidR="00850DA1">
        <w:rPr>
          <w:noProof/>
        </w:rPr>
        <w:t>1</w:t>
      </w:r>
      <w:r w:rsidR="00500110">
        <w:rPr>
          <w:noProof/>
        </w:rPr>
        <w:fldChar w:fldCharType="end"/>
      </w:r>
      <w:bookmarkEnd w:id="222"/>
      <w:r w:rsidR="00E531A4">
        <w:t xml:space="preserve"> </w:t>
      </w:r>
      <w:r w:rsidR="00E531A4" w:rsidRPr="00E531A4">
        <w:t xml:space="preserve">90%tile 2D positioning accuracy (meters) of PDP models using direct sample-based reporting or Rel-17 path-based reporting from seven different channel estimation algorithms for the {60%, 6m, 2m} InF-DH scenario. The positioning accuracy is for the “small model” for centralized direct positioning trained with 40,000 samples [6]. </w:t>
      </w:r>
      <w:bookmarkStart w:id="223" w:name="_Hlk178608526"/>
      <w:r w:rsidR="00FF6432"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FF6432">
        <w:t xml:space="preserve">, </w:t>
      </w:r>
      <w:r w:rsidR="00FF6432" w:rsidRPr="00FF6432">
        <w:t>for the training and inference</w:t>
      </w:r>
      <w:r w:rsidR="00E531A4" w:rsidRPr="00E531A4">
        <w:t>.</w:t>
      </w:r>
      <w:bookmarkEnd w:id="223"/>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A71AB6" w:rsidRPr="00416C2F" w14:paraId="174D8914" w14:textId="77777777" w:rsidTr="002B65AA">
        <w:tc>
          <w:tcPr>
            <w:tcW w:w="1846" w:type="dxa"/>
            <w:gridSpan w:val="3"/>
            <w:tcBorders>
              <w:right w:val="double" w:sz="4" w:space="0" w:color="auto"/>
            </w:tcBorders>
            <w:vAlign w:val="center"/>
          </w:tcPr>
          <w:p w14:paraId="1ADB41C0" w14:textId="273F9B65" w:rsidR="00A71AB6" w:rsidRPr="007F5D82" w:rsidRDefault="00A71AB6">
            <w:pPr>
              <w:spacing w:before="40" w:after="40"/>
              <w:jc w:val="center"/>
              <w:rPr>
                <w:rFonts w:cs="Arial"/>
                <w:color w:val="000000"/>
                <w:sz w:val="20"/>
                <w:szCs w:val="20"/>
              </w:rPr>
            </w:pPr>
            <w:r w:rsidRPr="001F661F">
              <w:rPr>
                <w:sz w:val="20"/>
                <w:szCs w:val="20"/>
              </w:rPr>
              <w:t>Test cases</w:t>
            </w:r>
          </w:p>
        </w:tc>
        <w:tc>
          <w:tcPr>
            <w:tcW w:w="8116" w:type="dxa"/>
            <w:gridSpan w:val="9"/>
            <w:tcBorders>
              <w:left w:val="double" w:sz="4" w:space="0" w:color="auto"/>
            </w:tcBorders>
            <w:vAlign w:val="center"/>
          </w:tcPr>
          <w:p w14:paraId="687623EF" w14:textId="77777777" w:rsidR="00A71AB6" w:rsidRPr="007F5D82" w:rsidRDefault="00A71AB6">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100 MHz RS bandwidth</w:t>
            </w:r>
          </w:p>
        </w:tc>
      </w:tr>
      <w:tr w:rsidR="00F1679E" w:rsidRPr="00416C2F" w14:paraId="1161B041" w14:textId="77777777" w:rsidTr="00B03641">
        <w:tc>
          <w:tcPr>
            <w:tcW w:w="615" w:type="dxa"/>
            <w:vMerge w:val="restart"/>
            <w:vAlign w:val="center"/>
          </w:tcPr>
          <w:p w14:paraId="14908468" w14:textId="2329C13E" w:rsidR="00EA7724" w:rsidRPr="00416C2F" w:rsidRDefault="009C13C0" w:rsidP="00B11A59">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Cs w:val="20"/>
                      </w:rPr>
                      <m:t>M</m:t>
                    </m:r>
                  </m:e>
                  <m:sub>
                    <m:r>
                      <w:rPr>
                        <w:rFonts w:ascii="Cambria Math" w:hAnsi="Cambria Math"/>
                        <w:szCs w:val="20"/>
                      </w:rPr>
                      <m:t>t</m:t>
                    </m:r>
                  </m:sub>
                </m:sSub>
              </m:oMath>
            </m:oMathPara>
          </w:p>
        </w:tc>
        <w:tc>
          <w:tcPr>
            <w:tcW w:w="615" w:type="dxa"/>
            <w:vMerge w:val="restart"/>
            <w:vAlign w:val="center"/>
          </w:tcPr>
          <w:p w14:paraId="54A42BB4" w14:textId="47F2AD5E" w:rsidR="00EA7724" w:rsidRPr="00337C3E" w:rsidRDefault="009C13C0" w:rsidP="00B11A59">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Cs w:val="20"/>
                      </w:rPr>
                      <m:t>N</m:t>
                    </m:r>
                  </m:e>
                  <m:sub>
                    <m:r>
                      <w:rPr>
                        <w:rFonts w:ascii="Cambria Math" w:hAnsi="Cambria Math"/>
                        <w:szCs w:val="20"/>
                      </w:rPr>
                      <m:t>t</m:t>
                    </m:r>
                  </m:sub>
                  <m:sup>
                    <m:r>
                      <m:rPr>
                        <m:sty m:val="p"/>
                      </m:rPr>
                      <w:rPr>
                        <w:rFonts w:ascii="Cambria Math" w:hAnsi="Cambria Math"/>
                        <w:szCs w:val="20"/>
                      </w:rPr>
                      <m:t>'</m:t>
                    </m:r>
                  </m:sup>
                </m:sSubSup>
              </m:oMath>
            </m:oMathPara>
          </w:p>
        </w:tc>
        <w:tc>
          <w:tcPr>
            <w:tcW w:w="616" w:type="dxa"/>
            <w:vMerge w:val="restart"/>
            <w:tcBorders>
              <w:right w:val="double" w:sz="4" w:space="0" w:color="auto"/>
            </w:tcBorders>
            <w:vAlign w:val="center"/>
          </w:tcPr>
          <w:p w14:paraId="07344FD8" w14:textId="13E72185" w:rsidR="00EA7724" w:rsidRPr="00416C2F" w:rsidRDefault="009C13C0" w:rsidP="00B11A59">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Cs w:val="20"/>
                      </w:rPr>
                      <m:t>N</m:t>
                    </m:r>
                  </m:e>
                  <m:sub>
                    <m:r>
                      <w:rPr>
                        <w:rFonts w:ascii="Cambria Math" w:hAnsi="Cambria Math"/>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7CE7BE92" w14:textId="3E61F8C2" w:rsidR="00EA7724" w:rsidRPr="00E16A91" w:rsidRDefault="00EA7724" w:rsidP="00B11A59">
            <w:pPr>
              <w:spacing w:before="40" w:after="40"/>
              <w:jc w:val="center"/>
              <w:rPr>
                <w:rFonts w:cs="Arial"/>
                <w:color w:val="000000"/>
                <w:sz w:val="18"/>
                <w:szCs w:val="18"/>
              </w:rPr>
            </w:pPr>
            <w:r w:rsidRPr="00E16A91">
              <w:rPr>
                <w:rFonts w:cs="Arial"/>
                <w:color w:val="000000"/>
                <w:sz w:val="18"/>
                <w:szCs w:val="18"/>
              </w:rPr>
              <w:t xml:space="preserve">Sample based </w:t>
            </w:r>
            <w:r w:rsidR="001201C9" w:rsidRPr="00E16A91">
              <w:rPr>
                <w:rFonts w:cs="Arial"/>
                <w:color w:val="000000"/>
                <w:sz w:val="18"/>
                <w:szCs w:val="18"/>
              </w:rPr>
              <w:t>signaling</w:t>
            </w:r>
          </w:p>
        </w:tc>
        <w:tc>
          <w:tcPr>
            <w:tcW w:w="7253" w:type="dxa"/>
            <w:gridSpan w:val="8"/>
            <w:tcBorders>
              <w:left w:val="double" w:sz="4" w:space="0" w:color="auto"/>
            </w:tcBorders>
            <w:shd w:val="clear" w:color="auto" w:fill="DEEAF6" w:themeFill="accent5" w:themeFillTint="33"/>
            <w:vAlign w:val="center"/>
          </w:tcPr>
          <w:p w14:paraId="6186F494" w14:textId="4F9108A9" w:rsidR="00EA7724" w:rsidRPr="00416C2F" w:rsidRDefault="00B11A59" w:rsidP="00B11A59">
            <w:pPr>
              <w:spacing w:before="40" w:after="40"/>
              <w:jc w:val="center"/>
              <w:rPr>
                <w:rFonts w:cs="Arial"/>
                <w:color w:val="000000"/>
                <w:sz w:val="20"/>
                <w:szCs w:val="20"/>
              </w:rPr>
            </w:pPr>
            <w:r w:rsidRPr="00416C2F">
              <w:rPr>
                <w:rFonts w:cs="Arial"/>
                <w:color w:val="000000"/>
                <w:sz w:val="20"/>
                <w:szCs w:val="20"/>
              </w:rPr>
              <w:t>Sample</w:t>
            </w:r>
            <w:r w:rsidR="00EA7724" w:rsidRPr="00416C2F">
              <w:rPr>
                <w:rFonts w:cs="Arial"/>
                <w:color w:val="000000"/>
                <w:sz w:val="20"/>
                <w:szCs w:val="20"/>
              </w:rPr>
              <w:t>-based signaling</w:t>
            </w:r>
            <w:r w:rsidR="007A029B" w:rsidRPr="00416C2F">
              <w:rPr>
                <w:rFonts w:cs="Arial"/>
                <w:color w:val="000000"/>
                <w:sz w:val="20"/>
                <w:szCs w:val="20"/>
              </w:rPr>
              <w:t xml:space="preserve"> with </w:t>
            </w:r>
            <m:oMath>
              <m:r>
                <w:rPr>
                  <w:rFonts w:ascii="Cambria Math" w:hAnsi="Cambria Math"/>
                  <w:szCs w:val="20"/>
                  <w:highlight w:val="yellow"/>
                </w:rPr>
                <m:t>δ=0</m:t>
              </m:r>
            </m:oMath>
          </w:p>
        </w:tc>
      </w:tr>
      <w:tr w:rsidR="00F1679E" w:rsidRPr="00416C2F" w14:paraId="37AA53E8" w14:textId="77777777" w:rsidTr="00B03641">
        <w:tc>
          <w:tcPr>
            <w:tcW w:w="615" w:type="dxa"/>
            <w:vMerge/>
            <w:vAlign w:val="center"/>
          </w:tcPr>
          <w:p w14:paraId="6BB362F6" w14:textId="77777777" w:rsidR="00F86573" w:rsidRPr="00416C2F" w:rsidRDefault="00F86573" w:rsidP="00B11A59">
            <w:pPr>
              <w:spacing w:before="40" w:after="40"/>
              <w:jc w:val="center"/>
              <w:rPr>
                <w:rFonts w:cs="Arial"/>
                <w:color w:val="000000"/>
                <w:sz w:val="20"/>
                <w:szCs w:val="20"/>
              </w:rPr>
            </w:pPr>
          </w:p>
        </w:tc>
        <w:tc>
          <w:tcPr>
            <w:tcW w:w="615" w:type="dxa"/>
            <w:vMerge/>
            <w:vAlign w:val="center"/>
          </w:tcPr>
          <w:p w14:paraId="760F16EF" w14:textId="77777777" w:rsidR="00F86573" w:rsidRPr="00337C3E" w:rsidRDefault="00F86573" w:rsidP="00B11A59">
            <w:pPr>
              <w:spacing w:before="40" w:after="40"/>
              <w:jc w:val="center"/>
              <w:rPr>
                <w:rFonts w:cs="Arial"/>
                <w:color w:val="000000"/>
                <w:sz w:val="20"/>
                <w:szCs w:val="20"/>
              </w:rPr>
            </w:pPr>
          </w:p>
        </w:tc>
        <w:tc>
          <w:tcPr>
            <w:tcW w:w="616" w:type="dxa"/>
            <w:vMerge/>
            <w:tcBorders>
              <w:right w:val="double" w:sz="4" w:space="0" w:color="auto"/>
            </w:tcBorders>
            <w:vAlign w:val="center"/>
          </w:tcPr>
          <w:p w14:paraId="5BE85DCB" w14:textId="02C90D47" w:rsidR="00F86573" w:rsidRPr="00416C2F" w:rsidRDefault="00F86573" w:rsidP="00B11A59">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7C631A45" w14:textId="77777777" w:rsidR="00F86573" w:rsidRPr="00416C2F" w:rsidRDefault="00F86573" w:rsidP="00B11A59">
            <w:pPr>
              <w:spacing w:before="40" w:after="40"/>
              <w:jc w:val="center"/>
              <w:rPr>
                <w:rFonts w:cs="Arial"/>
                <w:color w:val="000000"/>
                <w:sz w:val="20"/>
                <w:szCs w:val="20"/>
              </w:rPr>
            </w:pPr>
          </w:p>
        </w:tc>
        <w:tc>
          <w:tcPr>
            <w:tcW w:w="995" w:type="dxa"/>
            <w:vMerge w:val="restart"/>
            <w:tcBorders>
              <w:left w:val="double" w:sz="4" w:space="0" w:color="auto"/>
            </w:tcBorders>
            <w:shd w:val="clear" w:color="auto" w:fill="DEEAF6" w:themeFill="accent5" w:themeFillTint="33"/>
            <w:vAlign w:val="center"/>
          </w:tcPr>
          <w:p w14:paraId="00F3CDFE" w14:textId="77777777" w:rsidR="00F86573" w:rsidRPr="00416C2F" w:rsidRDefault="00F86573" w:rsidP="00B11A59">
            <w:pPr>
              <w:spacing w:before="40" w:after="40"/>
              <w:jc w:val="center"/>
              <w:rPr>
                <w:rFonts w:cs="Arial"/>
                <w:color w:val="000000"/>
                <w:sz w:val="20"/>
                <w:szCs w:val="20"/>
              </w:rPr>
            </w:pPr>
            <w:r w:rsidRPr="00E16A91">
              <w:rPr>
                <w:sz w:val="18"/>
                <w:szCs w:val="18"/>
              </w:rPr>
              <w:t>Average across estimators</w:t>
            </w:r>
          </w:p>
        </w:tc>
        <w:tc>
          <w:tcPr>
            <w:tcW w:w="6258" w:type="dxa"/>
            <w:gridSpan w:val="7"/>
            <w:shd w:val="clear" w:color="auto" w:fill="DEEAF6" w:themeFill="accent5" w:themeFillTint="33"/>
            <w:vAlign w:val="center"/>
          </w:tcPr>
          <w:p w14:paraId="243245BE" w14:textId="676489AE" w:rsidR="00F86573" w:rsidRPr="00416C2F" w:rsidRDefault="00F86573" w:rsidP="00B11A59">
            <w:pPr>
              <w:spacing w:before="40" w:after="40"/>
              <w:jc w:val="center"/>
              <w:rPr>
                <w:rFonts w:cs="Arial"/>
                <w:color w:val="000000"/>
                <w:sz w:val="20"/>
                <w:szCs w:val="20"/>
              </w:rPr>
            </w:pPr>
            <w:r w:rsidRPr="00416C2F">
              <w:rPr>
                <w:sz w:val="20"/>
                <w:szCs w:val="20"/>
              </w:rPr>
              <w:t>Different channel estimators</w:t>
            </w:r>
            <w:r w:rsidR="005A11AE" w:rsidRPr="00416C2F">
              <w:rPr>
                <w:sz w:val="20"/>
                <w:szCs w:val="20"/>
              </w:rPr>
              <w:t xml:space="preserve">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Cs w:val="20"/>
                        </w:rPr>
                        <m:t>τ</m:t>
                      </m:r>
                    </m:e>
                  </m:acc>
                </m:e>
                <m:sub>
                  <m:r>
                    <w:rPr>
                      <w:rFonts w:ascii="Cambria Math" w:hAnsi="Cambria Math"/>
                      <w:sz w:val="20"/>
                      <w:szCs w:val="20"/>
                    </w:rPr>
                    <m:t>1</m:t>
                  </m:r>
                </m:sub>
              </m:sSub>
            </m:oMath>
          </w:p>
        </w:tc>
      </w:tr>
      <w:tr w:rsidR="0046558C" w:rsidRPr="00416C2F" w14:paraId="05F4023E" w14:textId="77777777" w:rsidTr="00B03641">
        <w:tc>
          <w:tcPr>
            <w:tcW w:w="615" w:type="dxa"/>
            <w:vMerge/>
            <w:tcBorders>
              <w:bottom w:val="double" w:sz="4" w:space="0" w:color="auto"/>
            </w:tcBorders>
            <w:vAlign w:val="center"/>
          </w:tcPr>
          <w:p w14:paraId="1C61AE02" w14:textId="77777777" w:rsidR="00B11A59" w:rsidRPr="007F5D82" w:rsidRDefault="00B11A59" w:rsidP="00B11A59">
            <w:pPr>
              <w:spacing w:before="40" w:after="40"/>
              <w:jc w:val="center"/>
              <w:rPr>
                <w:rFonts w:cs="Arial"/>
                <w:color w:val="000000"/>
                <w:sz w:val="20"/>
                <w:szCs w:val="20"/>
              </w:rPr>
            </w:pPr>
          </w:p>
        </w:tc>
        <w:tc>
          <w:tcPr>
            <w:tcW w:w="615" w:type="dxa"/>
            <w:vMerge/>
            <w:tcBorders>
              <w:bottom w:val="double" w:sz="4" w:space="0" w:color="auto"/>
            </w:tcBorders>
            <w:vAlign w:val="center"/>
          </w:tcPr>
          <w:p w14:paraId="41A8364E" w14:textId="77777777" w:rsidR="00B11A59" w:rsidRPr="00337C3E" w:rsidRDefault="00B11A59" w:rsidP="00B11A59">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6A5D3FDE" w14:textId="3707CF4B" w:rsidR="00B11A59" w:rsidRPr="007F5D82" w:rsidRDefault="00B11A59" w:rsidP="00B11A59">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166809E2" w14:textId="77777777" w:rsidR="00B11A59" w:rsidRPr="007F5D82" w:rsidRDefault="00B11A59" w:rsidP="00B11A59">
            <w:pPr>
              <w:spacing w:before="40" w:after="40"/>
              <w:jc w:val="center"/>
              <w:rPr>
                <w:rFonts w:cs="Arial"/>
                <w:color w:val="000000"/>
                <w:sz w:val="20"/>
                <w:szCs w:val="20"/>
              </w:rPr>
            </w:pPr>
          </w:p>
        </w:tc>
        <w:tc>
          <w:tcPr>
            <w:tcW w:w="995" w:type="dxa"/>
            <w:vMerge/>
            <w:tcBorders>
              <w:left w:val="double" w:sz="4" w:space="0" w:color="auto"/>
              <w:bottom w:val="double" w:sz="4" w:space="0" w:color="auto"/>
            </w:tcBorders>
            <w:shd w:val="clear" w:color="auto" w:fill="DEEAF6" w:themeFill="accent5" w:themeFillTint="33"/>
            <w:vAlign w:val="center"/>
          </w:tcPr>
          <w:p w14:paraId="304FDB99" w14:textId="77777777" w:rsidR="00B11A59" w:rsidRPr="007F5D82" w:rsidRDefault="00B11A59" w:rsidP="00B11A59">
            <w:pPr>
              <w:spacing w:before="40" w:after="40"/>
              <w:jc w:val="center"/>
              <w:rPr>
                <w:rFonts w:cs="Arial"/>
                <w:color w:val="000000"/>
                <w:sz w:val="20"/>
                <w:szCs w:val="20"/>
              </w:rPr>
            </w:pPr>
          </w:p>
        </w:tc>
        <w:tc>
          <w:tcPr>
            <w:tcW w:w="894" w:type="dxa"/>
            <w:tcBorders>
              <w:bottom w:val="double" w:sz="4" w:space="0" w:color="auto"/>
            </w:tcBorders>
            <w:shd w:val="clear" w:color="auto" w:fill="DEEAF6" w:themeFill="accent5" w:themeFillTint="33"/>
            <w:vAlign w:val="center"/>
          </w:tcPr>
          <w:p w14:paraId="02A854C7" w14:textId="0A06219A" w:rsidR="00B11A59" w:rsidRPr="007F5D82" w:rsidRDefault="00B11A59" w:rsidP="00B11A59">
            <w:pPr>
              <w:spacing w:before="40" w:after="40"/>
              <w:jc w:val="center"/>
              <w:rPr>
                <w:rFonts w:cs="Arial"/>
                <w:color w:val="000000"/>
                <w:sz w:val="20"/>
                <w:szCs w:val="20"/>
              </w:rPr>
            </w:pPr>
            <w:r w:rsidRPr="00BD763C">
              <w:rPr>
                <w:szCs w:val="20"/>
              </w:rPr>
              <w:t>G</w:t>
            </w:r>
          </w:p>
        </w:tc>
        <w:tc>
          <w:tcPr>
            <w:tcW w:w="894" w:type="dxa"/>
            <w:tcBorders>
              <w:bottom w:val="double" w:sz="4" w:space="0" w:color="auto"/>
            </w:tcBorders>
            <w:shd w:val="clear" w:color="auto" w:fill="DEEAF6" w:themeFill="accent5" w:themeFillTint="33"/>
            <w:vAlign w:val="center"/>
          </w:tcPr>
          <w:p w14:paraId="0EC901C1" w14:textId="2843BB22" w:rsidR="00B11A59" w:rsidRPr="007F5D82" w:rsidRDefault="00B11A59" w:rsidP="00B11A59">
            <w:pPr>
              <w:spacing w:before="40" w:after="40"/>
              <w:jc w:val="center"/>
              <w:rPr>
                <w:rFonts w:cs="Arial"/>
                <w:color w:val="000000"/>
                <w:sz w:val="20"/>
                <w:szCs w:val="20"/>
              </w:rPr>
            </w:pPr>
            <w:r w:rsidRPr="00BD763C">
              <w:rPr>
                <w:szCs w:val="20"/>
              </w:rPr>
              <w:t>F</w:t>
            </w:r>
          </w:p>
        </w:tc>
        <w:tc>
          <w:tcPr>
            <w:tcW w:w="894" w:type="dxa"/>
            <w:tcBorders>
              <w:bottom w:val="double" w:sz="4" w:space="0" w:color="auto"/>
            </w:tcBorders>
            <w:shd w:val="clear" w:color="auto" w:fill="DEEAF6" w:themeFill="accent5" w:themeFillTint="33"/>
            <w:vAlign w:val="center"/>
          </w:tcPr>
          <w:p w14:paraId="50550A14" w14:textId="496EC4F1" w:rsidR="00B11A59" w:rsidRPr="007F5D82" w:rsidRDefault="00B11A59" w:rsidP="00B11A59">
            <w:pPr>
              <w:spacing w:before="40" w:after="40"/>
              <w:jc w:val="center"/>
              <w:rPr>
                <w:rFonts w:cs="Arial"/>
                <w:color w:val="000000"/>
                <w:sz w:val="20"/>
                <w:szCs w:val="20"/>
              </w:rPr>
            </w:pPr>
            <w:r w:rsidRPr="00BD763C">
              <w:rPr>
                <w:szCs w:val="20"/>
              </w:rPr>
              <w:t>E</w:t>
            </w:r>
          </w:p>
        </w:tc>
        <w:tc>
          <w:tcPr>
            <w:tcW w:w="894" w:type="dxa"/>
            <w:tcBorders>
              <w:bottom w:val="double" w:sz="4" w:space="0" w:color="auto"/>
            </w:tcBorders>
            <w:shd w:val="clear" w:color="auto" w:fill="DEEAF6" w:themeFill="accent5" w:themeFillTint="33"/>
            <w:vAlign w:val="center"/>
          </w:tcPr>
          <w:p w14:paraId="69707E40" w14:textId="3986373B" w:rsidR="00B11A59" w:rsidRPr="007F5D82" w:rsidRDefault="00B11A59" w:rsidP="00B11A59">
            <w:pPr>
              <w:spacing w:before="40" w:after="40"/>
              <w:jc w:val="center"/>
              <w:rPr>
                <w:rFonts w:cs="Arial"/>
                <w:color w:val="000000"/>
                <w:sz w:val="20"/>
                <w:szCs w:val="20"/>
              </w:rPr>
            </w:pPr>
            <w:r w:rsidRPr="00BD763C">
              <w:rPr>
                <w:szCs w:val="20"/>
              </w:rPr>
              <w:t>D</w:t>
            </w:r>
          </w:p>
        </w:tc>
        <w:tc>
          <w:tcPr>
            <w:tcW w:w="894" w:type="dxa"/>
            <w:tcBorders>
              <w:bottom w:val="double" w:sz="4" w:space="0" w:color="auto"/>
            </w:tcBorders>
            <w:shd w:val="clear" w:color="auto" w:fill="DEEAF6" w:themeFill="accent5" w:themeFillTint="33"/>
            <w:vAlign w:val="center"/>
          </w:tcPr>
          <w:p w14:paraId="1BA8470D" w14:textId="6D019890" w:rsidR="00B11A59" w:rsidRPr="007F5D82" w:rsidRDefault="00B11A59" w:rsidP="00B11A59">
            <w:pPr>
              <w:spacing w:before="40" w:after="40"/>
              <w:jc w:val="center"/>
              <w:rPr>
                <w:rFonts w:cs="Arial"/>
                <w:color w:val="000000"/>
                <w:sz w:val="20"/>
                <w:szCs w:val="20"/>
              </w:rPr>
            </w:pPr>
            <w:r w:rsidRPr="00BD763C">
              <w:rPr>
                <w:szCs w:val="20"/>
              </w:rPr>
              <w:t>C</w:t>
            </w:r>
          </w:p>
        </w:tc>
        <w:tc>
          <w:tcPr>
            <w:tcW w:w="894" w:type="dxa"/>
            <w:tcBorders>
              <w:bottom w:val="double" w:sz="4" w:space="0" w:color="auto"/>
            </w:tcBorders>
            <w:shd w:val="clear" w:color="auto" w:fill="DEEAF6" w:themeFill="accent5" w:themeFillTint="33"/>
            <w:vAlign w:val="center"/>
          </w:tcPr>
          <w:p w14:paraId="21BA837C" w14:textId="7146CD1D" w:rsidR="00B11A59" w:rsidRPr="007F5D82" w:rsidRDefault="00B11A59" w:rsidP="00B11A59">
            <w:pPr>
              <w:spacing w:before="40" w:after="40"/>
              <w:jc w:val="center"/>
              <w:rPr>
                <w:rFonts w:cs="Arial"/>
                <w:color w:val="000000"/>
                <w:sz w:val="20"/>
                <w:szCs w:val="20"/>
              </w:rPr>
            </w:pPr>
            <w:r w:rsidRPr="00BD763C">
              <w:rPr>
                <w:szCs w:val="20"/>
              </w:rPr>
              <w:t>B</w:t>
            </w:r>
          </w:p>
        </w:tc>
        <w:tc>
          <w:tcPr>
            <w:tcW w:w="894" w:type="dxa"/>
            <w:tcBorders>
              <w:bottom w:val="double" w:sz="4" w:space="0" w:color="auto"/>
            </w:tcBorders>
            <w:shd w:val="clear" w:color="auto" w:fill="DEEAF6" w:themeFill="accent5" w:themeFillTint="33"/>
            <w:vAlign w:val="center"/>
          </w:tcPr>
          <w:p w14:paraId="0B52E3A6" w14:textId="4437B4AA" w:rsidR="00B11A59" w:rsidRPr="007F5D82" w:rsidRDefault="00B11A59" w:rsidP="00B11A59">
            <w:pPr>
              <w:spacing w:before="40" w:after="40"/>
              <w:jc w:val="center"/>
              <w:rPr>
                <w:rFonts w:cs="Arial"/>
                <w:color w:val="000000"/>
                <w:sz w:val="20"/>
                <w:szCs w:val="20"/>
              </w:rPr>
            </w:pPr>
            <w:r w:rsidRPr="00BD763C">
              <w:rPr>
                <w:szCs w:val="20"/>
              </w:rPr>
              <w:t>A</w:t>
            </w:r>
          </w:p>
        </w:tc>
      </w:tr>
      <w:tr w:rsidR="00327A7D" w:rsidRPr="00416C2F" w14:paraId="0739E7BB" w14:textId="77777777" w:rsidTr="00B03641">
        <w:tc>
          <w:tcPr>
            <w:tcW w:w="615" w:type="dxa"/>
            <w:vMerge w:val="restart"/>
            <w:tcBorders>
              <w:top w:val="double" w:sz="4" w:space="0" w:color="auto"/>
            </w:tcBorders>
            <w:vAlign w:val="center"/>
          </w:tcPr>
          <w:p w14:paraId="7D06BB11" w14:textId="4704D32C" w:rsidR="00A71AB6" w:rsidRPr="007F5D82" w:rsidRDefault="000119A7">
            <w:pPr>
              <w:spacing w:before="40" w:after="40"/>
              <w:jc w:val="center"/>
              <w:rPr>
                <w:rFonts w:cs="Arial"/>
                <w:color w:val="000000"/>
                <w:sz w:val="20"/>
                <w:szCs w:val="20"/>
              </w:rPr>
            </w:pPr>
            <w:r w:rsidRPr="00BD763C">
              <w:rPr>
                <w:szCs w:val="20"/>
              </w:rPr>
              <w:t>128</w:t>
            </w:r>
          </w:p>
        </w:tc>
        <w:tc>
          <w:tcPr>
            <w:tcW w:w="615" w:type="dxa"/>
            <w:vMerge w:val="restart"/>
            <w:tcBorders>
              <w:top w:val="double" w:sz="4" w:space="0" w:color="auto"/>
            </w:tcBorders>
            <w:vAlign w:val="center"/>
          </w:tcPr>
          <w:p w14:paraId="786C6B1D" w14:textId="59FE32A8" w:rsidR="00275C33" w:rsidRPr="00337C3E" w:rsidRDefault="000119A7">
            <w:pPr>
              <w:spacing w:before="40" w:after="40"/>
              <w:jc w:val="center"/>
              <w:rPr>
                <w:rFonts w:cs="Arial"/>
                <w:color w:val="000000"/>
                <w:sz w:val="20"/>
                <w:szCs w:val="20"/>
              </w:rPr>
            </w:pPr>
            <w:r w:rsidRPr="00BD763C">
              <w:rPr>
                <w:szCs w:val="20"/>
              </w:rPr>
              <w:t>16</w:t>
            </w:r>
          </w:p>
        </w:tc>
        <w:tc>
          <w:tcPr>
            <w:tcW w:w="616" w:type="dxa"/>
            <w:tcBorders>
              <w:top w:val="double" w:sz="4" w:space="0" w:color="auto"/>
              <w:right w:val="double" w:sz="4" w:space="0" w:color="auto"/>
            </w:tcBorders>
            <w:vAlign w:val="center"/>
          </w:tcPr>
          <w:p w14:paraId="06438460" w14:textId="1F260857" w:rsidR="00A71AB6" w:rsidRPr="007F5D82" w:rsidRDefault="004F76F2">
            <w:pPr>
              <w:spacing w:before="40" w:after="40"/>
              <w:jc w:val="center"/>
              <w:rPr>
                <w:rFonts w:cs="Arial"/>
                <w:color w:val="000000"/>
                <w:sz w:val="20"/>
                <w:szCs w:val="20"/>
              </w:rPr>
            </w:pPr>
            <w:r w:rsidRPr="00BD763C">
              <w:rPr>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6739FA77" w14:textId="742A5E5F" w:rsidR="00A71AB6" w:rsidRPr="007F5D82" w:rsidRDefault="00F85A5E">
            <w:pPr>
              <w:spacing w:before="40" w:after="40"/>
              <w:jc w:val="center"/>
              <w:rPr>
                <w:rFonts w:cs="Arial"/>
                <w:color w:val="000000"/>
                <w:sz w:val="20"/>
                <w:szCs w:val="20"/>
              </w:rPr>
            </w:pPr>
            <w:r w:rsidRPr="00BD763C">
              <w:rPr>
                <w:rFonts w:cs="Arial"/>
                <w:color w:val="000000"/>
                <w:szCs w:val="20"/>
              </w:rPr>
              <w:t>1.00</w:t>
            </w:r>
          </w:p>
        </w:tc>
        <w:tc>
          <w:tcPr>
            <w:tcW w:w="995" w:type="dxa"/>
            <w:tcBorders>
              <w:top w:val="double" w:sz="4" w:space="0" w:color="auto"/>
              <w:left w:val="double" w:sz="4" w:space="0" w:color="auto"/>
            </w:tcBorders>
            <w:shd w:val="clear" w:color="auto" w:fill="DEEAF6" w:themeFill="accent5" w:themeFillTint="33"/>
            <w:vAlign w:val="center"/>
          </w:tcPr>
          <w:p w14:paraId="364A8BC9" w14:textId="18735694" w:rsidR="00A71AB6" w:rsidRPr="007F5D82" w:rsidRDefault="006F780E">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shd w:val="clear" w:color="auto" w:fill="DEEAF6" w:themeFill="accent5" w:themeFillTint="33"/>
            <w:vAlign w:val="center"/>
          </w:tcPr>
          <w:p w14:paraId="64E16EB7" w14:textId="1BCD2D2E" w:rsidR="00A71AB6" w:rsidRPr="007F5D82" w:rsidRDefault="006F780E">
            <w:pPr>
              <w:spacing w:before="40" w:after="40"/>
              <w:jc w:val="center"/>
              <w:rPr>
                <w:rFonts w:cs="Arial"/>
                <w:color w:val="000000"/>
                <w:sz w:val="20"/>
                <w:szCs w:val="20"/>
              </w:rPr>
            </w:pPr>
            <w:r w:rsidRPr="00BD763C">
              <w:rPr>
                <w:color w:val="000000"/>
                <w:szCs w:val="20"/>
              </w:rPr>
              <w:t>1.03</w:t>
            </w:r>
          </w:p>
        </w:tc>
        <w:tc>
          <w:tcPr>
            <w:tcW w:w="894" w:type="dxa"/>
            <w:tcBorders>
              <w:top w:val="double" w:sz="4" w:space="0" w:color="auto"/>
            </w:tcBorders>
            <w:shd w:val="clear" w:color="auto" w:fill="DEEAF6" w:themeFill="accent5" w:themeFillTint="33"/>
            <w:vAlign w:val="center"/>
          </w:tcPr>
          <w:p w14:paraId="3761545F" w14:textId="294B0724" w:rsidR="00A71AB6" w:rsidRPr="007F5D82" w:rsidRDefault="006F780E">
            <w:pPr>
              <w:spacing w:before="40" w:after="40"/>
              <w:jc w:val="center"/>
              <w:rPr>
                <w:rFonts w:cs="Arial"/>
                <w:color w:val="000000"/>
                <w:sz w:val="20"/>
                <w:szCs w:val="20"/>
              </w:rPr>
            </w:pPr>
            <w:r w:rsidRPr="00BD763C">
              <w:rPr>
                <w:color w:val="000000"/>
                <w:szCs w:val="20"/>
              </w:rPr>
              <w:t>1.00</w:t>
            </w:r>
          </w:p>
        </w:tc>
        <w:tc>
          <w:tcPr>
            <w:tcW w:w="894" w:type="dxa"/>
            <w:tcBorders>
              <w:top w:val="double" w:sz="4" w:space="0" w:color="auto"/>
            </w:tcBorders>
            <w:shd w:val="clear" w:color="auto" w:fill="DEEAF6" w:themeFill="accent5" w:themeFillTint="33"/>
            <w:vAlign w:val="center"/>
          </w:tcPr>
          <w:p w14:paraId="2BEE9DF3" w14:textId="3E5DCA38" w:rsidR="00A71AB6" w:rsidRPr="007F5D82" w:rsidRDefault="006F780E">
            <w:pPr>
              <w:spacing w:before="40" w:after="40"/>
              <w:jc w:val="center"/>
              <w:rPr>
                <w:rFonts w:cs="Arial"/>
                <w:color w:val="000000"/>
                <w:sz w:val="20"/>
                <w:szCs w:val="20"/>
              </w:rPr>
            </w:pPr>
            <w:r w:rsidRPr="00BD763C">
              <w:rPr>
                <w:color w:val="000000"/>
                <w:szCs w:val="20"/>
              </w:rPr>
              <w:t>1.00</w:t>
            </w:r>
          </w:p>
        </w:tc>
        <w:tc>
          <w:tcPr>
            <w:tcW w:w="894" w:type="dxa"/>
            <w:tcBorders>
              <w:top w:val="double" w:sz="4" w:space="0" w:color="auto"/>
            </w:tcBorders>
            <w:shd w:val="clear" w:color="auto" w:fill="DEEAF6" w:themeFill="accent5" w:themeFillTint="33"/>
            <w:vAlign w:val="center"/>
          </w:tcPr>
          <w:p w14:paraId="7C2E3A28" w14:textId="2F238D87" w:rsidR="00A71AB6" w:rsidRPr="007F5D82" w:rsidRDefault="006F780E">
            <w:pPr>
              <w:spacing w:before="40" w:after="40"/>
              <w:jc w:val="center"/>
              <w:rPr>
                <w:rFonts w:cs="Arial"/>
                <w:color w:val="000000"/>
                <w:sz w:val="20"/>
                <w:szCs w:val="20"/>
              </w:rPr>
            </w:pPr>
            <w:r w:rsidRPr="00BD763C">
              <w:rPr>
                <w:color w:val="000000"/>
                <w:szCs w:val="20"/>
              </w:rPr>
              <w:t>1.02</w:t>
            </w:r>
          </w:p>
        </w:tc>
        <w:tc>
          <w:tcPr>
            <w:tcW w:w="894" w:type="dxa"/>
            <w:tcBorders>
              <w:top w:val="double" w:sz="4" w:space="0" w:color="auto"/>
            </w:tcBorders>
            <w:shd w:val="clear" w:color="auto" w:fill="DEEAF6" w:themeFill="accent5" w:themeFillTint="33"/>
            <w:vAlign w:val="center"/>
          </w:tcPr>
          <w:p w14:paraId="147A0A4B" w14:textId="01F93CF4" w:rsidR="00A71AB6" w:rsidRPr="007F5D82" w:rsidRDefault="006F780E">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shd w:val="clear" w:color="auto" w:fill="DEEAF6" w:themeFill="accent5" w:themeFillTint="33"/>
            <w:vAlign w:val="center"/>
          </w:tcPr>
          <w:p w14:paraId="28E9992B" w14:textId="51A40600" w:rsidR="00A71AB6" w:rsidRPr="007F5D82" w:rsidRDefault="006F780E">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shd w:val="clear" w:color="auto" w:fill="DEEAF6" w:themeFill="accent5" w:themeFillTint="33"/>
            <w:vAlign w:val="center"/>
          </w:tcPr>
          <w:p w14:paraId="24A5C9C2" w14:textId="1C871209" w:rsidR="00A71AB6" w:rsidRPr="007F5D82" w:rsidRDefault="006F780E">
            <w:pPr>
              <w:spacing w:before="40" w:after="40"/>
              <w:jc w:val="center"/>
              <w:rPr>
                <w:rFonts w:cs="Arial"/>
                <w:color w:val="000000"/>
                <w:sz w:val="20"/>
                <w:szCs w:val="20"/>
              </w:rPr>
            </w:pPr>
            <w:r w:rsidRPr="00BD763C">
              <w:rPr>
                <w:color w:val="000000"/>
                <w:szCs w:val="20"/>
              </w:rPr>
              <w:t>1.00</w:t>
            </w:r>
          </w:p>
        </w:tc>
      </w:tr>
      <w:tr w:rsidR="00B640B6" w:rsidRPr="00416C2F" w14:paraId="7651AD07" w14:textId="77777777" w:rsidTr="00B03641">
        <w:tc>
          <w:tcPr>
            <w:tcW w:w="615" w:type="dxa"/>
            <w:vMerge/>
            <w:vAlign w:val="center"/>
          </w:tcPr>
          <w:p w14:paraId="537B92A7" w14:textId="2EA154D3" w:rsidR="00A71AB6" w:rsidRPr="007F5D82" w:rsidRDefault="00A71AB6">
            <w:pPr>
              <w:spacing w:before="40" w:after="40"/>
              <w:jc w:val="center"/>
              <w:rPr>
                <w:rFonts w:cs="Arial"/>
                <w:color w:val="000000"/>
                <w:sz w:val="20"/>
                <w:szCs w:val="20"/>
              </w:rPr>
            </w:pPr>
          </w:p>
        </w:tc>
        <w:tc>
          <w:tcPr>
            <w:tcW w:w="615" w:type="dxa"/>
            <w:vMerge/>
            <w:vAlign w:val="center"/>
          </w:tcPr>
          <w:p w14:paraId="39EC7E60" w14:textId="77777777" w:rsidR="00275C33" w:rsidRPr="00337C3E" w:rsidRDefault="00275C33">
            <w:pPr>
              <w:spacing w:before="40" w:after="40"/>
              <w:jc w:val="center"/>
              <w:rPr>
                <w:rFonts w:cs="Arial"/>
                <w:color w:val="000000"/>
                <w:sz w:val="20"/>
                <w:szCs w:val="20"/>
              </w:rPr>
            </w:pPr>
          </w:p>
        </w:tc>
        <w:tc>
          <w:tcPr>
            <w:tcW w:w="616" w:type="dxa"/>
            <w:tcBorders>
              <w:right w:val="double" w:sz="4" w:space="0" w:color="auto"/>
            </w:tcBorders>
            <w:vAlign w:val="center"/>
          </w:tcPr>
          <w:p w14:paraId="46B5E077" w14:textId="04CB9A32" w:rsidR="00A71AB6" w:rsidRPr="007F5D82" w:rsidRDefault="004F76F2">
            <w:pPr>
              <w:spacing w:before="40" w:after="40"/>
              <w:jc w:val="center"/>
              <w:rPr>
                <w:rFonts w:cs="Arial"/>
                <w:color w:val="000000"/>
                <w:sz w:val="20"/>
                <w:szCs w:val="20"/>
              </w:rPr>
            </w:pPr>
            <w:r w:rsidRPr="00BD763C">
              <w:rPr>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4A71203A" w14:textId="086A92FC" w:rsidR="00A71AB6" w:rsidRPr="007F5D82" w:rsidRDefault="00A71AB6">
            <w:pPr>
              <w:spacing w:before="40" w:after="40"/>
              <w:jc w:val="center"/>
              <w:rPr>
                <w:rFonts w:cs="Arial"/>
                <w:color w:val="000000"/>
                <w:sz w:val="20"/>
                <w:szCs w:val="20"/>
              </w:rPr>
            </w:pPr>
          </w:p>
        </w:tc>
        <w:tc>
          <w:tcPr>
            <w:tcW w:w="995" w:type="dxa"/>
            <w:tcBorders>
              <w:left w:val="double" w:sz="4" w:space="0" w:color="auto"/>
            </w:tcBorders>
            <w:shd w:val="clear" w:color="auto" w:fill="DEEAF6" w:themeFill="accent5" w:themeFillTint="33"/>
            <w:vAlign w:val="center"/>
          </w:tcPr>
          <w:p w14:paraId="70EE3998" w14:textId="11E7291D" w:rsidR="00A71AB6" w:rsidRPr="007F5D82" w:rsidRDefault="006F780E">
            <w:pPr>
              <w:spacing w:before="40" w:after="40"/>
              <w:jc w:val="center"/>
              <w:rPr>
                <w:rFonts w:cs="Arial"/>
                <w:color w:val="000000"/>
                <w:sz w:val="20"/>
                <w:szCs w:val="20"/>
              </w:rPr>
            </w:pPr>
            <w:r w:rsidRPr="00BD763C">
              <w:rPr>
                <w:color w:val="000000"/>
                <w:szCs w:val="20"/>
              </w:rPr>
              <w:t>1.07</w:t>
            </w:r>
          </w:p>
        </w:tc>
        <w:tc>
          <w:tcPr>
            <w:tcW w:w="894" w:type="dxa"/>
            <w:shd w:val="clear" w:color="auto" w:fill="DEEAF6" w:themeFill="accent5" w:themeFillTint="33"/>
            <w:vAlign w:val="center"/>
          </w:tcPr>
          <w:p w14:paraId="7E2464F7" w14:textId="6C20F2CF" w:rsidR="00A71AB6" w:rsidRPr="007F5D82" w:rsidRDefault="006F780E">
            <w:pPr>
              <w:spacing w:before="40" w:after="40"/>
              <w:jc w:val="center"/>
              <w:rPr>
                <w:rFonts w:cs="Arial"/>
                <w:color w:val="000000"/>
                <w:sz w:val="20"/>
                <w:szCs w:val="20"/>
              </w:rPr>
            </w:pPr>
            <w:r w:rsidRPr="00BD763C">
              <w:rPr>
                <w:color w:val="000000"/>
                <w:szCs w:val="20"/>
              </w:rPr>
              <w:t>1.06</w:t>
            </w:r>
          </w:p>
        </w:tc>
        <w:tc>
          <w:tcPr>
            <w:tcW w:w="894" w:type="dxa"/>
            <w:shd w:val="clear" w:color="auto" w:fill="DEEAF6" w:themeFill="accent5" w:themeFillTint="33"/>
            <w:vAlign w:val="center"/>
          </w:tcPr>
          <w:p w14:paraId="55425589" w14:textId="470FCEA8" w:rsidR="00A71AB6" w:rsidRPr="007F5D82" w:rsidRDefault="006F780E">
            <w:pPr>
              <w:spacing w:before="40" w:after="40"/>
              <w:jc w:val="center"/>
              <w:rPr>
                <w:rFonts w:cs="Arial"/>
                <w:color w:val="000000"/>
                <w:sz w:val="20"/>
                <w:szCs w:val="20"/>
              </w:rPr>
            </w:pPr>
            <w:r w:rsidRPr="00BD763C">
              <w:rPr>
                <w:color w:val="000000"/>
                <w:szCs w:val="20"/>
              </w:rPr>
              <w:t>1.10</w:t>
            </w:r>
          </w:p>
        </w:tc>
        <w:tc>
          <w:tcPr>
            <w:tcW w:w="894" w:type="dxa"/>
            <w:shd w:val="clear" w:color="auto" w:fill="DEEAF6" w:themeFill="accent5" w:themeFillTint="33"/>
            <w:vAlign w:val="center"/>
          </w:tcPr>
          <w:p w14:paraId="6CD841B5" w14:textId="4477ECC1" w:rsidR="00A71AB6" w:rsidRPr="007F5D82" w:rsidRDefault="006F780E">
            <w:pPr>
              <w:spacing w:before="40" w:after="40"/>
              <w:jc w:val="center"/>
              <w:rPr>
                <w:rFonts w:cs="Arial"/>
                <w:color w:val="000000"/>
                <w:sz w:val="20"/>
                <w:szCs w:val="20"/>
              </w:rPr>
            </w:pPr>
            <w:r w:rsidRPr="00BD763C">
              <w:rPr>
                <w:color w:val="000000"/>
                <w:szCs w:val="20"/>
              </w:rPr>
              <w:t>1.07</w:t>
            </w:r>
          </w:p>
        </w:tc>
        <w:tc>
          <w:tcPr>
            <w:tcW w:w="894" w:type="dxa"/>
            <w:shd w:val="clear" w:color="auto" w:fill="DEEAF6" w:themeFill="accent5" w:themeFillTint="33"/>
            <w:vAlign w:val="center"/>
          </w:tcPr>
          <w:p w14:paraId="3F5DADE5" w14:textId="47C28D44" w:rsidR="00A71AB6" w:rsidRPr="007F5D82" w:rsidRDefault="006F780E">
            <w:pPr>
              <w:spacing w:before="40" w:after="40"/>
              <w:jc w:val="center"/>
              <w:rPr>
                <w:rFonts w:cs="Arial"/>
                <w:color w:val="000000"/>
                <w:sz w:val="20"/>
                <w:szCs w:val="20"/>
              </w:rPr>
            </w:pPr>
            <w:r w:rsidRPr="00BD763C">
              <w:rPr>
                <w:color w:val="000000"/>
                <w:szCs w:val="20"/>
              </w:rPr>
              <w:t>1.09</w:t>
            </w:r>
          </w:p>
        </w:tc>
        <w:tc>
          <w:tcPr>
            <w:tcW w:w="894" w:type="dxa"/>
            <w:shd w:val="clear" w:color="auto" w:fill="DEEAF6" w:themeFill="accent5" w:themeFillTint="33"/>
            <w:vAlign w:val="center"/>
          </w:tcPr>
          <w:p w14:paraId="07E50ED3" w14:textId="0DB24BCA" w:rsidR="00A71AB6" w:rsidRPr="007F5D82" w:rsidRDefault="006F780E">
            <w:pPr>
              <w:spacing w:before="40" w:after="40"/>
              <w:jc w:val="center"/>
              <w:rPr>
                <w:rFonts w:cs="Arial"/>
                <w:color w:val="000000"/>
                <w:sz w:val="20"/>
                <w:szCs w:val="20"/>
              </w:rPr>
            </w:pPr>
            <w:r w:rsidRPr="00BD763C">
              <w:rPr>
                <w:color w:val="000000"/>
                <w:szCs w:val="20"/>
              </w:rPr>
              <w:t>1.07</w:t>
            </w:r>
          </w:p>
        </w:tc>
        <w:tc>
          <w:tcPr>
            <w:tcW w:w="894" w:type="dxa"/>
            <w:shd w:val="clear" w:color="auto" w:fill="DEEAF6" w:themeFill="accent5" w:themeFillTint="33"/>
            <w:vAlign w:val="center"/>
          </w:tcPr>
          <w:p w14:paraId="797665F4" w14:textId="0C122EF2" w:rsidR="00A71AB6" w:rsidRPr="007F5D82" w:rsidRDefault="006F780E">
            <w:pPr>
              <w:spacing w:before="40" w:after="40"/>
              <w:jc w:val="center"/>
              <w:rPr>
                <w:rFonts w:cs="Arial"/>
                <w:color w:val="000000"/>
                <w:sz w:val="20"/>
                <w:szCs w:val="20"/>
              </w:rPr>
            </w:pPr>
            <w:r w:rsidRPr="00BD763C">
              <w:rPr>
                <w:color w:val="000000"/>
                <w:szCs w:val="20"/>
              </w:rPr>
              <w:t>1.05</w:t>
            </w:r>
          </w:p>
        </w:tc>
        <w:tc>
          <w:tcPr>
            <w:tcW w:w="894" w:type="dxa"/>
            <w:shd w:val="clear" w:color="auto" w:fill="DEEAF6" w:themeFill="accent5" w:themeFillTint="33"/>
            <w:vAlign w:val="center"/>
          </w:tcPr>
          <w:p w14:paraId="4E322F69" w14:textId="309FB3FC" w:rsidR="00A71AB6" w:rsidRPr="007F5D82" w:rsidRDefault="006F780E">
            <w:pPr>
              <w:spacing w:before="40" w:after="40"/>
              <w:jc w:val="center"/>
              <w:rPr>
                <w:rFonts w:cs="Arial"/>
                <w:color w:val="000000"/>
                <w:sz w:val="20"/>
                <w:szCs w:val="20"/>
              </w:rPr>
            </w:pPr>
            <w:r w:rsidRPr="00BD763C">
              <w:rPr>
                <w:color w:val="000000"/>
                <w:szCs w:val="20"/>
              </w:rPr>
              <w:t>1.07</w:t>
            </w:r>
          </w:p>
        </w:tc>
      </w:tr>
      <w:tr w:rsidR="00327A7D" w:rsidRPr="00416C2F" w14:paraId="24D4A798" w14:textId="77777777" w:rsidTr="00B03641">
        <w:tc>
          <w:tcPr>
            <w:tcW w:w="615" w:type="dxa"/>
            <w:vMerge/>
            <w:tcBorders>
              <w:bottom w:val="double" w:sz="4" w:space="0" w:color="auto"/>
            </w:tcBorders>
            <w:vAlign w:val="center"/>
          </w:tcPr>
          <w:p w14:paraId="3667D63C" w14:textId="63DE1BA2" w:rsidR="00A71AB6" w:rsidRPr="007F5D82" w:rsidRDefault="00A71AB6">
            <w:pPr>
              <w:spacing w:before="40" w:after="40"/>
              <w:jc w:val="center"/>
              <w:rPr>
                <w:rFonts w:cs="Arial"/>
                <w:color w:val="000000"/>
                <w:sz w:val="20"/>
                <w:szCs w:val="20"/>
              </w:rPr>
            </w:pPr>
          </w:p>
        </w:tc>
        <w:tc>
          <w:tcPr>
            <w:tcW w:w="615" w:type="dxa"/>
            <w:vMerge/>
            <w:tcBorders>
              <w:bottom w:val="double" w:sz="4" w:space="0" w:color="auto"/>
            </w:tcBorders>
            <w:vAlign w:val="center"/>
          </w:tcPr>
          <w:p w14:paraId="66C18FCA" w14:textId="77777777" w:rsidR="00275C33" w:rsidRPr="00337C3E" w:rsidRDefault="00275C33">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48929CD4" w14:textId="79C89B9E" w:rsidR="00A71AB6" w:rsidRPr="007F5D82" w:rsidRDefault="004F76F2">
            <w:pPr>
              <w:spacing w:before="40" w:after="40"/>
              <w:jc w:val="center"/>
              <w:rPr>
                <w:rFonts w:cs="Arial"/>
                <w:color w:val="000000"/>
                <w:sz w:val="20"/>
                <w:szCs w:val="20"/>
              </w:rPr>
            </w:pPr>
            <w:r w:rsidRPr="00BD763C">
              <w:rPr>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B975379" w14:textId="2895D0C3" w:rsidR="00A71AB6" w:rsidRPr="007F5D82" w:rsidRDefault="00A71AB6">
            <w:pPr>
              <w:spacing w:before="40" w:after="40"/>
              <w:jc w:val="center"/>
              <w:rPr>
                <w:rFonts w:cs="Arial"/>
                <w:color w:val="000000"/>
                <w:sz w:val="20"/>
                <w:szCs w:val="20"/>
              </w:rPr>
            </w:pPr>
          </w:p>
        </w:tc>
        <w:tc>
          <w:tcPr>
            <w:tcW w:w="995" w:type="dxa"/>
            <w:tcBorders>
              <w:left w:val="double" w:sz="4" w:space="0" w:color="auto"/>
              <w:bottom w:val="double" w:sz="4" w:space="0" w:color="auto"/>
            </w:tcBorders>
            <w:shd w:val="clear" w:color="auto" w:fill="DEEAF6" w:themeFill="accent5" w:themeFillTint="33"/>
            <w:vAlign w:val="center"/>
          </w:tcPr>
          <w:p w14:paraId="376A165C" w14:textId="2006EAC5" w:rsidR="00A71AB6" w:rsidRPr="007F5D82" w:rsidRDefault="006F780E">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shd w:val="clear" w:color="auto" w:fill="DEEAF6" w:themeFill="accent5" w:themeFillTint="33"/>
            <w:vAlign w:val="center"/>
          </w:tcPr>
          <w:p w14:paraId="7BE8933F" w14:textId="44695079" w:rsidR="00A71AB6" w:rsidRPr="007F5D82" w:rsidRDefault="006F780E">
            <w:pPr>
              <w:spacing w:before="40" w:after="40"/>
              <w:jc w:val="center"/>
              <w:rPr>
                <w:rFonts w:cs="Arial"/>
                <w:color w:val="000000"/>
                <w:sz w:val="20"/>
                <w:szCs w:val="20"/>
              </w:rPr>
            </w:pPr>
            <w:r w:rsidRPr="00BD763C">
              <w:rPr>
                <w:color w:val="000000"/>
                <w:szCs w:val="20"/>
              </w:rPr>
              <w:t>1.21</w:t>
            </w:r>
          </w:p>
        </w:tc>
        <w:tc>
          <w:tcPr>
            <w:tcW w:w="894" w:type="dxa"/>
            <w:tcBorders>
              <w:bottom w:val="double" w:sz="4" w:space="0" w:color="auto"/>
            </w:tcBorders>
            <w:shd w:val="clear" w:color="auto" w:fill="DEEAF6" w:themeFill="accent5" w:themeFillTint="33"/>
            <w:vAlign w:val="center"/>
          </w:tcPr>
          <w:p w14:paraId="2465D133" w14:textId="174101AF" w:rsidR="00A71AB6" w:rsidRPr="007F5D82" w:rsidRDefault="006F780E">
            <w:pPr>
              <w:spacing w:before="40" w:after="40"/>
              <w:jc w:val="center"/>
              <w:rPr>
                <w:rFonts w:cs="Arial"/>
                <w:color w:val="000000"/>
                <w:sz w:val="20"/>
                <w:szCs w:val="20"/>
              </w:rPr>
            </w:pPr>
            <w:r w:rsidRPr="00BD763C">
              <w:rPr>
                <w:color w:val="000000"/>
                <w:szCs w:val="20"/>
              </w:rPr>
              <w:t>1.23</w:t>
            </w:r>
          </w:p>
        </w:tc>
        <w:tc>
          <w:tcPr>
            <w:tcW w:w="894" w:type="dxa"/>
            <w:tcBorders>
              <w:bottom w:val="double" w:sz="4" w:space="0" w:color="auto"/>
            </w:tcBorders>
            <w:shd w:val="clear" w:color="auto" w:fill="DEEAF6" w:themeFill="accent5" w:themeFillTint="33"/>
            <w:vAlign w:val="center"/>
          </w:tcPr>
          <w:p w14:paraId="711747FF" w14:textId="33EA543E" w:rsidR="00A71AB6" w:rsidRPr="007F5D82" w:rsidRDefault="006F780E">
            <w:pPr>
              <w:spacing w:before="40" w:after="40"/>
              <w:jc w:val="center"/>
              <w:rPr>
                <w:rFonts w:cs="Arial"/>
                <w:color w:val="000000"/>
                <w:sz w:val="20"/>
                <w:szCs w:val="20"/>
              </w:rPr>
            </w:pPr>
            <w:r w:rsidRPr="00BD763C">
              <w:rPr>
                <w:color w:val="000000"/>
                <w:szCs w:val="20"/>
              </w:rPr>
              <w:t>1.23</w:t>
            </w:r>
          </w:p>
        </w:tc>
        <w:tc>
          <w:tcPr>
            <w:tcW w:w="894" w:type="dxa"/>
            <w:tcBorders>
              <w:bottom w:val="double" w:sz="4" w:space="0" w:color="auto"/>
            </w:tcBorders>
            <w:shd w:val="clear" w:color="auto" w:fill="DEEAF6" w:themeFill="accent5" w:themeFillTint="33"/>
            <w:vAlign w:val="center"/>
          </w:tcPr>
          <w:p w14:paraId="253203DD" w14:textId="3FAE94CE" w:rsidR="00A71AB6" w:rsidRPr="007F5D82" w:rsidRDefault="006F780E">
            <w:pPr>
              <w:spacing w:before="40" w:after="40"/>
              <w:jc w:val="center"/>
              <w:rPr>
                <w:rFonts w:cs="Arial"/>
                <w:color w:val="000000"/>
                <w:sz w:val="20"/>
                <w:szCs w:val="20"/>
              </w:rPr>
            </w:pPr>
            <w:r w:rsidRPr="00BD763C">
              <w:rPr>
                <w:color w:val="000000"/>
                <w:szCs w:val="20"/>
              </w:rPr>
              <w:t>1.21</w:t>
            </w:r>
          </w:p>
        </w:tc>
        <w:tc>
          <w:tcPr>
            <w:tcW w:w="894" w:type="dxa"/>
            <w:tcBorders>
              <w:bottom w:val="double" w:sz="4" w:space="0" w:color="auto"/>
            </w:tcBorders>
            <w:shd w:val="clear" w:color="auto" w:fill="DEEAF6" w:themeFill="accent5" w:themeFillTint="33"/>
            <w:vAlign w:val="center"/>
          </w:tcPr>
          <w:p w14:paraId="0ACB0370" w14:textId="278F8B36" w:rsidR="00A71AB6" w:rsidRPr="007F5D82" w:rsidRDefault="006F780E">
            <w:pPr>
              <w:spacing w:before="40" w:after="40"/>
              <w:jc w:val="center"/>
              <w:rPr>
                <w:rFonts w:cs="Arial"/>
                <w:color w:val="000000"/>
                <w:sz w:val="20"/>
                <w:szCs w:val="20"/>
              </w:rPr>
            </w:pPr>
            <w:r w:rsidRPr="00BD763C">
              <w:rPr>
                <w:color w:val="000000"/>
                <w:szCs w:val="20"/>
              </w:rPr>
              <w:t>1.17</w:t>
            </w:r>
          </w:p>
        </w:tc>
        <w:tc>
          <w:tcPr>
            <w:tcW w:w="894" w:type="dxa"/>
            <w:tcBorders>
              <w:bottom w:val="double" w:sz="4" w:space="0" w:color="auto"/>
            </w:tcBorders>
            <w:shd w:val="clear" w:color="auto" w:fill="DEEAF6" w:themeFill="accent5" w:themeFillTint="33"/>
            <w:vAlign w:val="center"/>
          </w:tcPr>
          <w:p w14:paraId="294FA479" w14:textId="48DC716E" w:rsidR="00A71AB6" w:rsidRPr="007F5D82" w:rsidRDefault="006F780E">
            <w:pPr>
              <w:spacing w:before="40" w:after="40"/>
              <w:jc w:val="center"/>
              <w:rPr>
                <w:rFonts w:cs="Arial"/>
                <w:color w:val="000000"/>
                <w:sz w:val="20"/>
                <w:szCs w:val="20"/>
              </w:rPr>
            </w:pPr>
            <w:r w:rsidRPr="00BD763C">
              <w:rPr>
                <w:color w:val="000000"/>
                <w:szCs w:val="20"/>
              </w:rPr>
              <w:t>1.15</w:t>
            </w:r>
          </w:p>
        </w:tc>
        <w:tc>
          <w:tcPr>
            <w:tcW w:w="894" w:type="dxa"/>
            <w:tcBorders>
              <w:bottom w:val="double" w:sz="4" w:space="0" w:color="auto"/>
            </w:tcBorders>
            <w:shd w:val="clear" w:color="auto" w:fill="DEEAF6" w:themeFill="accent5" w:themeFillTint="33"/>
            <w:vAlign w:val="center"/>
          </w:tcPr>
          <w:p w14:paraId="6F65860E" w14:textId="4BF8687E" w:rsidR="00A71AB6" w:rsidRPr="007F5D82" w:rsidRDefault="006F780E">
            <w:pPr>
              <w:spacing w:before="40" w:after="40"/>
              <w:jc w:val="center"/>
              <w:rPr>
                <w:rFonts w:cs="Arial"/>
                <w:color w:val="000000"/>
                <w:sz w:val="20"/>
                <w:szCs w:val="20"/>
              </w:rPr>
            </w:pPr>
            <w:r w:rsidRPr="00BD763C">
              <w:rPr>
                <w:color w:val="000000"/>
                <w:szCs w:val="20"/>
              </w:rPr>
              <w:t>1.18</w:t>
            </w:r>
          </w:p>
        </w:tc>
      </w:tr>
      <w:tr w:rsidR="00327A7D" w:rsidRPr="00416C2F" w14:paraId="38EF6D30" w14:textId="77777777" w:rsidTr="00B03641">
        <w:tc>
          <w:tcPr>
            <w:tcW w:w="615" w:type="dxa"/>
            <w:vMerge w:val="restart"/>
            <w:tcBorders>
              <w:top w:val="double" w:sz="4" w:space="0" w:color="auto"/>
            </w:tcBorders>
            <w:vAlign w:val="center"/>
          </w:tcPr>
          <w:p w14:paraId="0D2E4A43" w14:textId="4D8FD5AE" w:rsidR="00A71AB6" w:rsidRPr="007F5D82" w:rsidRDefault="000119A7">
            <w:pPr>
              <w:spacing w:before="40" w:after="40"/>
              <w:jc w:val="center"/>
              <w:rPr>
                <w:rFonts w:cs="Arial"/>
                <w:color w:val="000000"/>
                <w:sz w:val="20"/>
                <w:szCs w:val="20"/>
              </w:rPr>
            </w:pPr>
            <w:r w:rsidRPr="00BD763C">
              <w:rPr>
                <w:szCs w:val="20"/>
              </w:rPr>
              <w:t>64</w:t>
            </w:r>
          </w:p>
        </w:tc>
        <w:tc>
          <w:tcPr>
            <w:tcW w:w="615" w:type="dxa"/>
            <w:vMerge w:val="restart"/>
            <w:tcBorders>
              <w:top w:val="double" w:sz="4" w:space="0" w:color="auto"/>
            </w:tcBorders>
            <w:vAlign w:val="center"/>
          </w:tcPr>
          <w:p w14:paraId="31B2DECF" w14:textId="112DF738" w:rsidR="00275C33" w:rsidRPr="00337C3E" w:rsidRDefault="000119A7">
            <w:pPr>
              <w:spacing w:before="40" w:after="40"/>
              <w:jc w:val="center"/>
              <w:rPr>
                <w:rFonts w:cs="Arial"/>
                <w:color w:val="000000"/>
                <w:sz w:val="20"/>
                <w:szCs w:val="20"/>
              </w:rPr>
            </w:pPr>
            <w:r w:rsidRPr="00BD763C">
              <w:rPr>
                <w:szCs w:val="20"/>
              </w:rPr>
              <w:t>16</w:t>
            </w:r>
          </w:p>
        </w:tc>
        <w:tc>
          <w:tcPr>
            <w:tcW w:w="616" w:type="dxa"/>
            <w:tcBorders>
              <w:top w:val="double" w:sz="4" w:space="0" w:color="auto"/>
              <w:right w:val="double" w:sz="4" w:space="0" w:color="auto"/>
            </w:tcBorders>
            <w:vAlign w:val="center"/>
          </w:tcPr>
          <w:p w14:paraId="43E3B03A" w14:textId="22054A02" w:rsidR="00A71AB6" w:rsidRPr="007F5D82" w:rsidRDefault="004F76F2">
            <w:pPr>
              <w:spacing w:before="40" w:after="40"/>
              <w:jc w:val="center"/>
              <w:rPr>
                <w:rFonts w:cs="Arial"/>
                <w:color w:val="000000"/>
                <w:sz w:val="20"/>
                <w:szCs w:val="20"/>
              </w:rPr>
            </w:pPr>
            <w:r w:rsidRPr="00BD763C">
              <w:rPr>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0EC6A47" w14:textId="3FD1C575" w:rsidR="00A71AB6" w:rsidRPr="007F5D82" w:rsidRDefault="00F85A5E">
            <w:pPr>
              <w:spacing w:before="40" w:after="40"/>
              <w:jc w:val="center"/>
              <w:rPr>
                <w:rFonts w:cs="Arial"/>
                <w:color w:val="000000"/>
                <w:sz w:val="20"/>
                <w:szCs w:val="20"/>
              </w:rPr>
            </w:pPr>
            <w:r w:rsidRPr="00BD763C">
              <w:rPr>
                <w:rFonts w:cs="Arial"/>
                <w:color w:val="000000"/>
                <w:szCs w:val="20"/>
              </w:rPr>
              <w:t>1.0</w:t>
            </w:r>
            <w:r w:rsidR="003D75D2">
              <w:rPr>
                <w:rFonts w:cs="Arial"/>
                <w:color w:val="000000"/>
                <w:szCs w:val="20"/>
              </w:rPr>
              <w:t>7</w:t>
            </w:r>
          </w:p>
        </w:tc>
        <w:tc>
          <w:tcPr>
            <w:tcW w:w="995" w:type="dxa"/>
            <w:tcBorders>
              <w:top w:val="double" w:sz="4" w:space="0" w:color="auto"/>
              <w:left w:val="double" w:sz="4" w:space="0" w:color="auto"/>
            </w:tcBorders>
            <w:shd w:val="clear" w:color="auto" w:fill="DEEAF6" w:themeFill="accent5" w:themeFillTint="33"/>
            <w:vAlign w:val="center"/>
          </w:tcPr>
          <w:p w14:paraId="58B5EB07" w14:textId="1F28E261" w:rsidR="00A71AB6" w:rsidRPr="007F5D82" w:rsidRDefault="006F780E">
            <w:pPr>
              <w:spacing w:before="40" w:after="40"/>
              <w:jc w:val="center"/>
              <w:rPr>
                <w:rFonts w:cs="Arial"/>
                <w:color w:val="000000"/>
                <w:sz w:val="20"/>
                <w:szCs w:val="20"/>
              </w:rPr>
            </w:pPr>
            <w:r w:rsidRPr="00BD763C">
              <w:rPr>
                <w:color w:val="000000"/>
                <w:szCs w:val="20"/>
              </w:rPr>
              <w:t>1.11</w:t>
            </w:r>
          </w:p>
        </w:tc>
        <w:tc>
          <w:tcPr>
            <w:tcW w:w="894" w:type="dxa"/>
            <w:tcBorders>
              <w:top w:val="double" w:sz="4" w:space="0" w:color="auto"/>
            </w:tcBorders>
            <w:shd w:val="clear" w:color="auto" w:fill="DEEAF6" w:themeFill="accent5" w:themeFillTint="33"/>
            <w:vAlign w:val="center"/>
          </w:tcPr>
          <w:p w14:paraId="56063F16" w14:textId="7E8163F9" w:rsidR="00A71AB6" w:rsidRPr="007F5D82" w:rsidRDefault="006F780E">
            <w:pPr>
              <w:spacing w:before="40" w:after="40"/>
              <w:jc w:val="center"/>
              <w:rPr>
                <w:rFonts w:cs="Arial"/>
                <w:color w:val="000000"/>
                <w:sz w:val="20"/>
                <w:szCs w:val="20"/>
              </w:rPr>
            </w:pPr>
            <w:r w:rsidRPr="00BD763C">
              <w:rPr>
                <w:color w:val="000000"/>
                <w:szCs w:val="20"/>
              </w:rPr>
              <w:t>1.13</w:t>
            </w:r>
          </w:p>
        </w:tc>
        <w:tc>
          <w:tcPr>
            <w:tcW w:w="894" w:type="dxa"/>
            <w:tcBorders>
              <w:top w:val="double" w:sz="4" w:space="0" w:color="auto"/>
            </w:tcBorders>
            <w:shd w:val="clear" w:color="auto" w:fill="DEEAF6" w:themeFill="accent5" w:themeFillTint="33"/>
            <w:vAlign w:val="center"/>
          </w:tcPr>
          <w:p w14:paraId="48AF1D23" w14:textId="44E54543" w:rsidR="00A71AB6" w:rsidRPr="007F5D82" w:rsidRDefault="006F780E">
            <w:pPr>
              <w:spacing w:before="40" w:after="40"/>
              <w:jc w:val="center"/>
              <w:rPr>
                <w:rFonts w:cs="Arial"/>
                <w:color w:val="000000"/>
                <w:sz w:val="20"/>
                <w:szCs w:val="20"/>
              </w:rPr>
            </w:pPr>
            <w:r w:rsidRPr="00BD763C">
              <w:rPr>
                <w:color w:val="000000"/>
                <w:szCs w:val="20"/>
              </w:rPr>
              <w:t>1.12</w:t>
            </w:r>
          </w:p>
        </w:tc>
        <w:tc>
          <w:tcPr>
            <w:tcW w:w="894" w:type="dxa"/>
            <w:tcBorders>
              <w:top w:val="double" w:sz="4" w:space="0" w:color="auto"/>
            </w:tcBorders>
            <w:shd w:val="clear" w:color="auto" w:fill="DEEAF6" w:themeFill="accent5" w:themeFillTint="33"/>
            <w:vAlign w:val="center"/>
          </w:tcPr>
          <w:p w14:paraId="00FDA202" w14:textId="2A9EF448" w:rsidR="00A71AB6" w:rsidRPr="007F5D82" w:rsidRDefault="006F780E">
            <w:pPr>
              <w:spacing w:before="40" w:after="40"/>
              <w:jc w:val="center"/>
              <w:rPr>
                <w:rFonts w:cs="Arial"/>
                <w:color w:val="000000"/>
                <w:sz w:val="20"/>
                <w:szCs w:val="20"/>
              </w:rPr>
            </w:pPr>
            <w:r w:rsidRPr="00BD763C">
              <w:rPr>
                <w:color w:val="000000"/>
                <w:szCs w:val="20"/>
              </w:rPr>
              <w:t>1.11</w:t>
            </w:r>
          </w:p>
        </w:tc>
        <w:tc>
          <w:tcPr>
            <w:tcW w:w="894" w:type="dxa"/>
            <w:tcBorders>
              <w:top w:val="double" w:sz="4" w:space="0" w:color="auto"/>
            </w:tcBorders>
            <w:shd w:val="clear" w:color="auto" w:fill="DEEAF6" w:themeFill="accent5" w:themeFillTint="33"/>
            <w:vAlign w:val="center"/>
          </w:tcPr>
          <w:p w14:paraId="1D3CD57C" w14:textId="2F0E38F0" w:rsidR="00A71AB6" w:rsidRPr="007F5D82" w:rsidRDefault="006F780E">
            <w:pPr>
              <w:spacing w:before="40" w:after="40"/>
              <w:jc w:val="center"/>
              <w:rPr>
                <w:rFonts w:cs="Arial"/>
                <w:color w:val="000000"/>
                <w:sz w:val="20"/>
                <w:szCs w:val="20"/>
              </w:rPr>
            </w:pPr>
            <w:r w:rsidRPr="00BD763C">
              <w:rPr>
                <w:color w:val="000000"/>
                <w:szCs w:val="20"/>
              </w:rPr>
              <w:t>1.10</w:t>
            </w:r>
          </w:p>
        </w:tc>
        <w:tc>
          <w:tcPr>
            <w:tcW w:w="894" w:type="dxa"/>
            <w:tcBorders>
              <w:top w:val="double" w:sz="4" w:space="0" w:color="auto"/>
            </w:tcBorders>
            <w:shd w:val="clear" w:color="auto" w:fill="DEEAF6" w:themeFill="accent5" w:themeFillTint="33"/>
            <w:vAlign w:val="center"/>
          </w:tcPr>
          <w:p w14:paraId="41D6B6B6" w14:textId="4FAB0D4D" w:rsidR="00A71AB6" w:rsidRPr="007F5D82" w:rsidRDefault="006F780E">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shd w:val="clear" w:color="auto" w:fill="DEEAF6" w:themeFill="accent5" w:themeFillTint="33"/>
            <w:vAlign w:val="center"/>
          </w:tcPr>
          <w:p w14:paraId="652C4017" w14:textId="702A3310" w:rsidR="00A71AB6" w:rsidRPr="007F5D82" w:rsidRDefault="006F780E">
            <w:pPr>
              <w:spacing w:before="40" w:after="40"/>
              <w:jc w:val="center"/>
              <w:rPr>
                <w:rFonts w:cs="Arial"/>
                <w:color w:val="000000"/>
                <w:sz w:val="20"/>
                <w:szCs w:val="20"/>
              </w:rPr>
            </w:pPr>
            <w:r w:rsidRPr="00BD763C">
              <w:rPr>
                <w:color w:val="000000"/>
                <w:szCs w:val="20"/>
              </w:rPr>
              <w:t>1.08</w:t>
            </w:r>
          </w:p>
        </w:tc>
        <w:tc>
          <w:tcPr>
            <w:tcW w:w="894" w:type="dxa"/>
            <w:tcBorders>
              <w:top w:val="double" w:sz="4" w:space="0" w:color="auto"/>
            </w:tcBorders>
            <w:shd w:val="clear" w:color="auto" w:fill="DEEAF6" w:themeFill="accent5" w:themeFillTint="33"/>
            <w:vAlign w:val="center"/>
          </w:tcPr>
          <w:p w14:paraId="6DA39DF3" w14:textId="1DF5E2D4" w:rsidR="00A71AB6" w:rsidRPr="007F5D82" w:rsidRDefault="006F780E">
            <w:pPr>
              <w:spacing w:before="40" w:after="40"/>
              <w:jc w:val="center"/>
              <w:rPr>
                <w:rFonts w:cs="Arial"/>
                <w:color w:val="000000"/>
                <w:sz w:val="20"/>
                <w:szCs w:val="20"/>
              </w:rPr>
            </w:pPr>
            <w:r w:rsidRPr="00BD763C">
              <w:rPr>
                <w:color w:val="000000"/>
                <w:szCs w:val="20"/>
              </w:rPr>
              <w:t>1.11</w:t>
            </w:r>
          </w:p>
        </w:tc>
      </w:tr>
      <w:tr w:rsidR="00327A7D" w:rsidRPr="00416C2F" w14:paraId="50E8CA7E" w14:textId="77777777" w:rsidTr="00B03641">
        <w:tc>
          <w:tcPr>
            <w:tcW w:w="615" w:type="dxa"/>
            <w:vMerge/>
            <w:tcBorders>
              <w:bottom w:val="double" w:sz="4" w:space="0" w:color="auto"/>
            </w:tcBorders>
            <w:vAlign w:val="center"/>
          </w:tcPr>
          <w:p w14:paraId="543C924B" w14:textId="6BD2F771" w:rsidR="00A71AB6" w:rsidRPr="007F5D82" w:rsidRDefault="00A71AB6">
            <w:pPr>
              <w:spacing w:before="40" w:after="40"/>
              <w:jc w:val="center"/>
              <w:rPr>
                <w:rFonts w:cs="Arial"/>
                <w:color w:val="000000"/>
                <w:sz w:val="20"/>
                <w:szCs w:val="20"/>
              </w:rPr>
            </w:pPr>
          </w:p>
        </w:tc>
        <w:tc>
          <w:tcPr>
            <w:tcW w:w="615" w:type="dxa"/>
            <w:vMerge/>
            <w:tcBorders>
              <w:bottom w:val="double" w:sz="4" w:space="0" w:color="auto"/>
            </w:tcBorders>
            <w:vAlign w:val="center"/>
          </w:tcPr>
          <w:p w14:paraId="192F13B6" w14:textId="77777777" w:rsidR="00275C33" w:rsidRPr="00337C3E" w:rsidRDefault="00275C33">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32C52881" w14:textId="7D0B95C9" w:rsidR="00A71AB6" w:rsidRPr="007F5D82" w:rsidRDefault="004F76F2">
            <w:pPr>
              <w:spacing w:before="40" w:after="40"/>
              <w:jc w:val="center"/>
              <w:rPr>
                <w:rFonts w:cs="Arial"/>
                <w:color w:val="000000"/>
                <w:sz w:val="20"/>
                <w:szCs w:val="20"/>
              </w:rPr>
            </w:pPr>
            <w:r w:rsidRPr="00BD763C">
              <w:rPr>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50AFADDC" w14:textId="3A762DE2" w:rsidR="00A71AB6" w:rsidRPr="007F5D82" w:rsidRDefault="00A71AB6">
            <w:pPr>
              <w:spacing w:before="40" w:after="40"/>
              <w:jc w:val="center"/>
              <w:rPr>
                <w:rFonts w:cs="Arial"/>
                <w:color w:val="000000"/>
                <w:sz w:val="20"/>
                <w:szCs w:val="20"/>
              </w:rPr>
            </w:pPr>
          </w:p>
        </w:tc>
        <w:tc>
          <w:tcPr>
            <w:tcW w:w="995" w:type="dxa"/>
            <w:tcBorders>
              <w:left w:val="double" w:sz="4" w:space="0" w:color="auto"/>
              <w:bottom w:val="double" w:sz="4" w:space="0" w:color="auto"/>
            </w:tcBorders>
            <w:shd w:val="clear" w:color="auto" w:fill="DEEAF6" w:themeFill="accent5" w:themeFillTint="33"/>
            <w:vAlign w:val="center"/>
          </w:tcPr>
          <w:p w14:paraId="7EADB852" w14:textId="407E37C1" w:rsidR="00A71AB6" w:rsidRPr="007F5D82" w:rsidRDefault="006F780E">
            <w:pPr>
              <w:spacing w:before="40" w:after="40"/>
              <w:jc w:val="center"/>
              <w:rPr>
                <w:rFonts w:cs="Arial"/>
                <w:color w:val="000000"/>
                <w:sz w:val="20"/>
                <w:szCs w:val="20"/>
              </w:rPr>
            </w:pPr>
            <w:r w:rsidRPr="00BD763C">
              <w:rPr>
                <w:color w:val="000000"/>
                <w:szCs w:val="20"/>
              </w:rPr>
              <w:t>1.22</w:t>
            </w:r>
          </w:p>
        </w:tc>
        <w:tc>
          <w:tcPr>
            <w:tcW w:w="894" w:type="dxa"/>
            <w:tcBorders>
              <w:bottom w:val="double" w:sz="4" w:space="0" w:color="auto"/>
            </w:tcBorders>
            <w:shd w:val="clear" w:color="auto" w:fill="DEEAF6" w:themeFill="accent5" w:themeFillTint="33"/>
            <w:vAlign w:val="center"/>
          </w:tcPr>
          <w:p w14:paraId="6985151A" w14:textId="452DCB24" w:rsidR="00A71AB6" w:rsidRPr="007F5D82" w:rsidRDefault="006F780E">
            <w:pPr>
              <w:spacing w:before="40" w:after="40"/>
              <w:jc w:val="center"/>
              <w:rPr>
                <w:rFonts w:cs="Arial"/>
                <w:color w:val="000000"/>
                <w:sz w:val="20"/>
                <w:szCs w:val="20"/>
              </w:rPr>
            </w:pPr>
            <w:r w:rsidRPr="00BD763C">
              <w:rPr>
                <w:color w:val="000000"/>
                <w:szCs w:val="20"/>
              </w:rPr>
              <w:t>1.25</w:t>
            </w:r>
          </w:p>
        </w:tc>
        <w:tc>
          <w:tcPr>
            <w:tcW w:w="894" w:type="dxa"/>
            <w:tcBorders>
              <w:bottom w:val="double" w:sz="4" w:space="0" w:color="auto"/>
            </w:tcBorders>
            <w:shd w:val="clear" w:color="auto" w:fill="DEEAF6" w:themeFill="accent5" w:themeFillTint="33"/>
            <w:vAlign w:val="center"/>
          </w:tcPr>
          <w:p w14:paraId="31877544" w14:textId="08D710BA"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bottom w:val="double" w:sz="4" w:space="0" w:color="auto"/>
            </w:tcBorders>
            <w:shd w:val="clear" w:color="auto" w:fill="DEEAF6" w:themeFill="accent5" w:themeFillTint="33"/>
            <w:vAlign w:val="center"/>
          </w:tcPr>
          <w:p w14:paraId="34AA7DFB" w14:textId="3DA97195" w:rsidR="00A71AB6" w:rsidRPr="007F5D82" w:rsidRDefault="006F780E">
            <w:pPr>
              <w:spacing w:before="40" w:after="40"/>
              <w:jc w:val="center"/>
              <w:rPr>
                <w:rFonts w:cs="Arial"/>
                <w:color w:val="000000"/>
                <w:sz w:val="20"/>
                <w:szCs w:val="20"/>
              </w:rPr>
            </w:pPr>
            <w:r w:rsidRPr="00BD763C">
              <w:rPr>
                <w:color w:val="000000"/>
                <w:szCs w:val="20"/>
              </w:rPr>
              <w:t>1.23</w:t>
            </w:r>
          </w:p>
        </w:tc>
        <w:tc>
          <w:tcPr>
            <w:tcW w:w="894" w:type="dxa"/>
            <w:tcBorders>
              <w:bottom w:val="double" w:sz="4" w:space="0" w:color="auto"/>
            </w:tcBorders>
            <w:shd w:val="clear" w:color="auto" w:fill="DEEAF6" w:themeFill="accent5" w:themeFillTint="33"/>
            <w:vAlign w:val="center"/>
          </w:tcPr>
          <w:p w14:paraId="0BAFDC94" w14:textId="28773BF2" w:rsidR="00A71AB6" w:rsidRPr="007F5D82" w:rsidRDefault="006F780E">
            <w:pPr>
              <w:spacing w:before="40" w:after="40"/>
              <w:jc w:val="center"/>
              <w:rPr>
                <w:rFonts w:cs="Arial"/>
                <w:color w:val="000000"/>
                <w:sz w:val="20"/>
                <w:szCs w:val="20"/>
              </w:rPr>
            </w:pPr>
            <w:r w:rsidRPr="00BD763C">
              <w:rPr>
                <w:color w:val="000000"/>
                <w:szCs w:val="20"/>
              </w:rPr>
              <w:t>1.22</w:t>
            </w:r>
          </w:p>
        </w:tc>
        <w:tc>
          <w:tcPr>
            <w:tcW w:w="894" w:type="dxa"/>
            <w:tcBorders>
              <w:bottom w:val="double" w:sz="4" w:space="0" w:color="auto"/>
            </w:tcBorders>
            <w:shd w:val="clear" w:color="auto" w:fill="DEEAF6" w:themeFill="accent5" w:themeFillTint="33"/>
            <w:vAlign w:val="center"/>
          </w:tcPr>
          <w:p w14:paraId="74ADDDCC" w14:textId="01436C17" w:rsidR="00A71AB6" w:rsidRPr="007F5D82" w:rsidRDefault="006F780E">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shd w:val="clear" w:color="auto" w:fill="DEEAF6" w:themeFill="accent5" w:themeFillTint="33"/>
            <w:vAlign w:val="center"/>
          </w:tcPr>
          <w:p w14:paraId="4D22D89D" w14:textId="1296522D" w:rsidR="00A71AB6" w:rsidRPr="007F5D82" w:rsidRDefault="006F780E">
            <w:pPr>
              <w:spacing w:before="40" w:after="40"/>
              <w:jc w:val="center"/>
              <w:rPr>
                <w:rFonts w:cs="Arial"/>
                <w:color w:val="000000"/>
                <w:sz w:val="20"/>
                <w:szCs w:val="20"/>
              </w:rPr>
            </w:pPr>
            <w:r w:rsidRPr="00BD763C">
              <w:rPr>
                <w:color w:val="000000"/>
                <w:szCs w:val="20"/>
              </w:rPr>
              <w:t>1.22</w:t>
            </w:r>
          </w:p>
        </w:tc>
        <w:tc>
          <w:tcPr>
            <w:tcW w:w="894" w:type="dxa"/>
            <w:tcBorders>
              <w:bottom w:val="double" w:sz="4" w:space="0" w:color="auto"/>
            </w:tcBorders>
            <w:shd w:val="clear" w:color="auto" w:fill="DEEAF6" w:themeFill="accent5" w:themeFillTint="33"/>
            <w:vAlign w:val="center"/>
          </w:tcPr>
          <w:p w14:paraId="4CDCE277" w14:textId="2BDB3515" w:rsidR="00A71AB6" w:rsidRPr="007F5D82" w:rsidRDefault="006F780E">
            <w:pPr>
              <w:spacing w:before="40" w:after="40"/>
              <w:jc w:val="center"/>
              <w:rPr>
                <w:rFonts w:cs="Arial"/>
                <w:color w:val="000000"/>
                <w:sz w:val="20"/>
                <w:szCs w:val="20"/>
              </w:rPr>
            </w:pPr>
            <w:r w:rsidRPr="00BD763C">
              <w:rPr>
                <w:color w:val="000000"/>
                <w:szCs w:val="20"/>
              </w:rPr>
              <w:t>1.19</w:t>
            </w:r>
          </w:p>
        </w:tc>
      </w:tr>
      <w:tr w:rsidR="00327A7D" w:rsidRPr="00416C2F" w14:paraId="679A32BF" w14:textId="77777777" w:rsidTr="00B03641">
        <w:tc>
          <w:tcPr>
            <w:tcW w:w="615" w:type="dxa"/>
            <w:vMerge w:val="restart"/>
            <w:tcBorders>
              <w:top w:val="double" w:sz="4" w:space="0" w:color="auto"/>
            </w:tcBorders>
            <w:vAlign w:val="center"/>
          </w:tcPr>
          <w:p w14:paraId="0DAD26C2" w14:textId="13903678" w:rsidR="00A71AB6" w:rsidRPr="007F5D82" w:rsidRDefault="000119A7">
            <w:pPr>
              <w:spacing w:before="40" w:after="40"/>
              <w:jc w:val="center"/>
              <w:rPr>
                <w:rFonts w:cs="Arial"/>
                <w:color w:val="000000"/>
                <w:sz w:val="20"/>
                <w:szCs w:val="20"/>
              </w:rPr>
            </w:pPr>
            <w:r w:rsidRPr="00BD763C">
              <w:rPr>
                <w:szCs w:val="20"/>
              </w:rPr>
              <w:t>64</w:t>
            </w:r>
          </w:p>
        </w:tc>
        <w:tc>
          <w:tcPr>
            <w:tcW w:w="615" w:type="dxa"/>
            <w:vMerge w:val="restart"/>
            <w:tcBorders>
              <w:top w:val="double" w:sz="4" w:space="0" w:color="auto"/>
            </w:tcBorders>
            <w:vAlign w:val="center"/>
          </w:tcPr>
          <w:p w14:paraId="798358E8" w14:textId="1C8CAA8E" w:rsidR="00275C33" w:rsidRPr="00337C3E" w:rsidRDefault="000119A7">
            <w:pPr>
              <w:spacing w:before="40" w:after="40"/>
              <w:jc w:val="center"/>
              <w:rPr>
                <w:rFonts w:cs="Arial"/>
                <w:color w:val="000000"/>
                <w:sz w:val="20"/>
                <w:szCs w:val="20"/>
              </w:rPr>
            </w:pPr>
            <w:r w:rsidRPr="00BD763C">
              <w:rPr>
                <w:szCs w:val="20"/>
              </w:rPr>
              <w:t>9</w:t>
            </w:r>
          </w:p>
        </w:tc>
        <w:tc>
          <w:tcPr>
            <w:tcW w:w="616" w:type="dxa"/>
            <w:tcBorders>
              <w:top w:val="double" w:sz="4" w:space="0" w:color="auto"/>
              <w:right w:val="double" w:sz="4" w:space="0" w:color="auto"/>
            </w:tcBorders>
            <w:vAlign w:val="center"/>
          </w:tcPr>
          <w:p w14:paraId="46B491EE" w14:textId="1E864E88" w:rsidR="00A71AB6" w:rsidRPr="007F5D82" w:rsidRDefault="004F76F2">
            <w:pPr>
              <w:spacing w:before="40" w:after="40"/>
              <w:jc w:val="center"/>
              <w:rPr>
                <w:rFonts w:cs="Arial"/>
                <w:color w:val="000000"/>
                <w:sz w:val="20"/>
                <w:szCs w:val="20"/>
              </w:rPr>
            </w:pPr>
            <w:r w:rsidRPr="00BD763C">
              <w:rPr>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84F2CCF" w14:textId="217F8AB1" w:rsidR="00A71AB6" w:rsidRPr="007F5D82" w:rsidRDefault="00F85A5E">
            <w:pPr>
              <w:spacing w:before="40" w:after="40"/>
              <w:jc w:val="center"/>
              <w:rPr>
                <w:rFonts w:cs="Arial"/>
                <w:color w:val="000000"/>
                <w:sz w:val="20"/>
                <w:szCs w:val="20"/>
              </w:rPr>
            </w:pPr>
            <w:r w:rsidRPr="00BD763C">
              <w:rPr>
                <w:rFonts w:cs="Arial"/>
                <w:color w:val="000000"/>
                <w:szCs w:val="20"/>
              </w:rPr>
              <w:t>1.27</w:t>
            </w:r>
          </w:p>
        </w:tc>
        <w:tc>
          <w:tcPr>
            <w:tcW w:w="995" w:type="dxa"/>
            <w:tcBorders>
              <w:top w:val="double" w:sz="4" w:space="0" w:color="auto"/>
              <w:left w:val="double" w:sz="4" w:space="0" w:color="auto"/>
            </w:tcBorders>
            <w:shd w:val="clear" w:color="auto" w:fill="DEEAF6" w:themeFill="accent5" w:themeFillTint="33"/>
            <w:vAlign w:val="center"/>
          </w:tcPr>
          <w:p w14:paraId="3076B068" w14:textId="34F86AE0"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545A49E4" w14:textId="3928E8E8"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26D18DF1" w14:textId="717BE016"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503F0F6C" w14:textId="38509F62"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1E3F76E8" w14:textId="07FF41F4" w:rsidR="00A71AB6" w:rsidRPr="007F5D82" w:rsidRDefault="006F780E">
            <w:pPr>
              <w:spacing w:before="40" w:after="40"/>
              <w:jc w:val="center"/>
              <w:rPr>
                <w:rFonts w:cs="Arial"/>
                <w:color w:val="000000"/>
                <w:sz w:val="20"/>
                <w:szCs w:val="20"/>
              </w:rPr>
            </w:pPr>
            <w:r w:rsidRPr="00BD763C">
              <w:rPr>
                <w:color w:val="000000"/>
                <w:szCs w:val="20"/>
              </w:rPr>
              <w:t>1.29</w:t>
            </w:r>
          </w:p>
        </w:tc>
        <w:tc>
          <w:tcPr>
            <w:tcW w:w="894" w:type="dxa"/>
            <w:tcBorders>
              <w:top w:val="double" w:sz="4" w:space="0" w:color="auto"/>
            </w:tcBorders>
            <w:shd w:val="clear" w:color="auto" w:fill="DEEAF6" w:themeFill="accent5" w:themeFillTint="33"/>
            <w:vAlign w:val="center"/>
          </w:tcPr>
          <w:p w14:paraId="03C15F80" w14:textId="6691EED4"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2C797456" w14:textId="078415E8" w:rsidR="00A71AB6" w:rsidRPr="007F5D82" w:rsidRDefault="006F780E">
            <w:pPr>
              <w:spacing w:before="40" w:after="40"/>
              <w:jc w:val="center"/>
              <w:rPr>
                <w:rFonts w:cs="Arial"/>
                <w:color w:val="000000"/>
                <w:sz w:val="20"/>
                <w:szCs w:val="20"/>
              </w:rPr>
            </w:pPr>
            <w:r w:rsidRPr="00BD763C">
              <w:rPr>
                <w:color w:val="000000"/>
                <w:szCs w:val="20"/>
              </w:rPr>
              <w:t>1.23</w:t>
            </w:r>
          </w:p>
        </w:tc>
        <w:tc>
          <w:tcPr>
            <w:tcW w:w="894" w:type="dxa"/>
            <w:tcBorders>
              <w:top w:val="double" w:sz="4" w:space="0" w:color="auto"/>
            </w:tcBorders>
            <w:shd w:val="clear" w:color="auto" w:fill="DEEAF6" w:themeFill="accent5" w:themeFillTint="33"/>
            <w:vAlign w:val="center"/>
          </w:tcPr>
          <w:p w14:paraId="4A70E1FB" w14:textId="7149256B" w:rsidR="00A71AB6" w:rsidRPr="007F5D82" w:rsidRDefault="006F780E">
            <w:pPr>
              <w:spacing w:before="40" w:after="40"/>
              <w:jc w:val="center"/>
              <w:rPr>
                <w:rFonts w:cs="Arial"/>
                <w:color w:val="000000"/>
                <w:sz w:val="20"/>
                <w:szCs w:val="20"/>
              </w:rPr>
            </w:pPr>
            <w:r w:rsidRPr="00BD763C">
              <w:rPr>
                <w:color w:val="000000"/>
                <w:szCs w:val="20"/>
              </w:rPr>
              <w:t>1.21</w:t>
            </w:r>
          </w:p>
        </w:tc>
      </w:tr>
      <w:tr w:rsidR="00C87D4C" w:rsidRPr="00416C2F" w14:paraId="4EA230EF" w14:textId="77777777" w:rsidTr="00B03641">
        <w:tc>
          <w:tcPr>
            <w:tcW w:w="615" w:type="dxa"/>
            <w:vMerge/>
            <w:vAlign w:val="center"/>
          </w:tcPr>
          <w:p w14:paraId="4A1AEED1" w14:textId="77777777" w:rsidR="00F85A5E" w:rsidRPr="00337C3E" w:rsidRDefault="00F85A5E" w:rsidP="00B11A59">
            <w:pPr>
              <w:spacing w:before="40" w:after="40"/>
              <w:jc w:val="center"/>
              <w:rPr>
                <w:rFonts w:cs="Arial"/>
                <w:color w:val="000000"/>
                <w:sz w:val="20"/>
                <w:szCs w:val="20"/>
              </w:rPr>
            </w:pPr>
          </w:p>
        </w:tc>
        <w:tc>
          <w:tcPr>
            <w:tcW w:w="615" w:type="dxa"/>
            <w:vMerge/>
            <w:vAlign w:val="center"/>
          </w:tcPr>
          <w:p w14:paraId="06489422" w14:textId="77777777" w:rsidR="00F85A5E" w:rsidRPr="00337C3E" w:rsidRDefault="00F85A5E" w:rsidP="00B11A59">
            <w:pPr>
              <w:spacing w:before="40" w:after="40"/>
              <w:jc w:val="center"/>
              <w:rPr>
                <w:rFonts w:cs="Arial"/>
                <w:color w:val="000000"/>
                <w:sz w:val="20"/>
                <w:szCs w:val="20"/>
              </w:rPr>
            </w:pPr>
          </w:p>
        </w:tc>
        <w:tc>
          <w:tcPr>
            <w:tcW w:w="616" w:type="dxa"/>
            <w:tcBorders>
              <w:right w:val="double" w:sz="4" w:space="0" w:color="auto"/>
            </w:tcBorders>
            <w:vAlign w:val="center"/>
          </w:tcPr>
          <w:p w14:paraId="2967856A" w14:textId="4C08A9A4" w:rsidR="00F85A5E" w:rsidRPr="00337C3E" w:rsidRDefault="00F85A5E" w:rsidP="00B11A59">
            <w:pPr>
              <w:spacing w:before="40" w:after="40"/>
              <w:jc w:val="center"/>
              <w:rPr>
                <w:rFonts w:cs="Arial"/>
                <w:color w:val="000000"/>
                <w:sz w:val="20"/>
                <w:szCs w:val="20"/>
              </w:rPr>
            </w:pPr>
            <w:r w:rsidRPr="00BD763C">
              <w:rPr>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0375FBAB" w14:textId="77777777" w:rsidR="00F85A5E" w:rsidRPr="00337C3E" w:rsidDel="00F86573" w:rsidRDefault="00F85A5E" w:rsidP="00B11A59">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60447F86" w14:textId="73BD221D" w:rsidR="00F85A5E" w:rsidRPr="00337C3E" w:rsidDel="00F86573" w:rsidRDefault="00F85A5E" w:rsidP="00B11A59">
            <w:pPr>
              <w:spacing w:before="40" w:after="40"/>
              <w:jc w:val="center"/>
              <w:rPr>
                <w:rFonts w:cs="Arial"/>
                <w:color w:val="000000"/>
                <w:sz w:val="20"/>
                <w:szCs w:val="20"/>
              </w:rPr>
            </w:pPr>
            <w:r w:rsidRPr="00BD763C">
              <w:rPr>
                <w:color w:val="000000"/>
                <w:szCs w:val="20"/>
              </w:rPr>
              <w:t>1.27</w:t>
            </w:r>
          </w:p>
        </w:tc>
        <w:tc>
          <w:tcPr>
            <w:tcW w:w="894" w:type="dxa"/>
            <w:shd w:val="clear" w:color="auto" w:fill="DEEAF6" w:themeFill="accent5" w:themeFillTint="33"/>
            <w:vAlign w:val="center"/>
          </w:tcPr>
          <w:p w14:paraId="3EDD1E8E" w14:textId="39D2AA6C" w:rsidR="00F85A5E" w:rsidRPr="00337C3E" w:rsidDel="00F86573" w:rsidRDefault="00F85A5E" w:rsidP="00B11A59">
            <w:pPr>
              <w:spacing w:before="40" w:after="40"/>
              <w:jc w:val="center"/>
              <w:rPr>
                <w:sz w:val="20"/>
                <w:szCs w:val="20"/>
              </w:rPr>
            </w:pPr>
            <w:r w:rsidRPr="00BD763C">
              <w:rPr>
                <w:color w:val="000000"/>
                <w:szCs w:val="20"/>
              </w:rPr>
              <w:t>1.27</w:t>
            </w:r>
          </w:p>
        </w:tc>
        <w:tc>
          <w:tcPr>
            <w:tcW w:w="894" w:type="dxa"/>
            <w:shd w:val="clear" w:color="auto" w:fill="DEEAF6" w:themeFill="accent5" w:themeFillTint="33"/>
            <w:vAlign w:val="center"/>
          </w:tcPr>
          <w:p w14:paraId="43EA167C" w14:textId="61E0BCAF" w:rsidR="00F85A5E" w:rsidRPr="00337C3E" w:rsidDel="00F86573" w:rsidRDefault="00F85A5E" w:rsidP="00B11A59">
            <w:pPr>
              <w:spacing w:before="40" w:after="40"/>
              <w:jc w:val="center"/>
              <w:rPr>
                <w:sz w:val="20"/>
                <w:szCs w:val="20"/>
              </w:rPr>
            </w:pPr>
            <w:r w:rsidRPr="00BD763C">
              <w:rPr>
                <w:color w:val="000000"/>
                <w:szCs w:val="20"/>
              </w:rPr>
              <w:t>1.25</w:t>
            </w:r>
          </w:p>
        </w:tc>
        <w:tc>
          <w:tcPr>
            <w:tcW w:w="894" w:type="dxa"/>
            <w:shd w:val="clear" w:color="auto" w:fill="DEEAF6" w:themeFill="accent5" w:themeFillTint="33"/>
            <w:vAlign w:val="center"/>
          </w:tcPr>
          <w:p w14:paraId="066D7847" w14:textId="05B38269" w:rsidR="00F85A5E" w:rsidRPr="00337C3E" w:rsidDel="00F86573" w:rsidRDefault="00F85A5E" w:rsidP="00B11A59">
            <w:pPr>
              <w:spacing w:before="40" w:after="40"/>
              <w:jc w:val="center"/>
              <w:rPr>
                <w:sz w:val="20"/>
                <w:szCs w:val="20"/>
              </w:rPr>
            </w:pPr>
            <w:r w:rsidRPr="00BD763C">
              <w:rPr>
                <w:color w:val="000000"/>
                <w:szCs w:val="20"/>
              </w:rPr>
              <w:t>1.28</w:t>
            </w:r>
          </w:p>
        </w:tc>
        <w:tc>
          <w:tcPr>
            <w:tcW w:w="894" w:type="dxa"/>
            <w:shd w:val="clear" w:color="auto" w:fill="DEEAF6" w:themeFill="accent5" w:themeFillTint="33"/>
            <w:vAlign w:val="center"/>
          </w:tcPr>
          <w:p w14:paraId="30ABFE7B" w14:textId="529E9AC9" w:rsidR="00F85A5E" w:rsidRPr="00337C3E" w:rsidDel="00F86573" w:rsidRDefault="00F85A5E" w:rsidP="00B11A59">
            <w:pPr>
              <w:spacing w:before="40" w:after="40"/>
              <w:jc w:val="center"/>
              <w:rPr>
                <w:sz w:val="20"/>
                <w:szCs w:val="20"/>
              </w:rPr>
            </w:pPr>
            <w:r w:rsidRPr="00BD763C">
              <w:rPr>
                <w:color w:val="000000"/>
                <w:szCs w:val="20"/>
              </w:rPr>
              <w:t>1.30</w:t>
            </w:r>
          </w:p>
        </w:tc>
        <w:tc>
          <w:tcPr>
            <w:tcW w:w="894" w:type="dxa"/>
            <w:shd w:val="clear" w:color="auto" w:fill="DEEAF6" w:themeFill="accent5" w:themeFillTint="33"/>
            <w:vAlign w:val="center"/>
          </w:tcPr>
          <w:p w14:paraId="514E817C" w14:textId="29A4E40B" w:rsidR="00F85A5E" w:rsidRPr="00337C3E" w:rsidDel="00F86573" w:rsidRDefault="00F85A5E" w:rsidP="00B11A59">
            <w:pPr>
              <w:spacing w:before="40" w:after="40"/>
              <w:jc w:val="center"/>
              <w:rPr>
                <w:sz w:val="20"/>
                <w:szCs w:val="20"/>
              </w:rPr>
            </w:pPr>
            <w:r w:rsidRPr="00BD763C">
              <w:rPr>
                <w:color w:val="000000"/>
                <w:szCs w:val="20"/>
              </w:rPr>
              <w:t>1.28</w:t>
            </w:r>
          </w:p>
        </w:tc>
        <w:tc>
          <w:tcPr>
            <w:tcW w:w="894" w:type="dxa"/>
            <w:shd w:val="clear" w:color="auto" w:fill="DEEAF6" w:themeFill="accent5" w:themeFillTint="33"/>
            <w:vAlign w:val="center"/>
          </w:tcPr>
          <w:p w14:paraId="4BCA52DB" w14:textId="35CD375D" w:rsidR="00F85A5E" w:rsidRPr="00337C3E" w:rsidDel="00F86573" w:rsidRDefault="00F85A5E" w:rsidP="00B11A59">
            <w:pPr>
              <w:spacing w:before="40" w:after="40"/>
              <w:jc w:val="center"/>
              <w:rPr>
                <w:sz w:val="20"/>
                <w:szCs w:val="20"/>
              </w:rPr>
            </w:pPr>
            <w:r w:rsidRPr="00BD763C">
              <w:rPr>
                <w:color w:val="000000"/>
                <w:szCs w:val="20"/>
              </w:rPr>
              <w:t>1.26</w:t>
            </w:r>
          </w:p>
        </w:tc>
        <w:tc>
          <w:tcPr>
            <w:tcW w:w="894" w:type="dxa"/>
            <w:shd w:val="clear" w:color="auto" w:fill="DEEAF6" w:themeFill="accent5" w:themeFillTint="33"/>
            <w:vAlign w:val="center"/>
          </w:tcPr>
          <w:p w14:paraId="2BD9691C" w14:textId="1CD1BB8F" w:rsidR="00F85A5E" w:rsidRPr="00337C3E" w:rsidDel="00F86573" w:rsidRDefault="00F85A5E" w:rsidP="00B11A59">
            <w:pPr>
              <w:spacing w:before="40" w:after="40"/>
              <w:jc w:val="center"/>
              <w:rPr>
                <w:sz w:val="20"/>
                <w:szCs w:val="20"/>
              </w:rPr>
            </w:pPr>
            <w:r w:rsidRPr="00BD763C">
              <w:rPr>
                <w:color w:val="000000"/>
                <w:szCs w:val="20"/>
              </w:rPr>
              <w:t>1.24</w:t>
            </w:r>
          </w:p>
        </w:tc>
      </w:tr>
      <w:tr w:rsidR="00C87D4C" w:rsidRPr="00416C2F" w14:paraId="40509696" w14:textId="77777777" w:rsidTr="00B03641">
        <w:tc>
          <w:tcPr>
            <w:tcW w:w="615" w:type="dxa"/>
            <w:vMerge/>
            <w:vAlign w:val="center"/>
          </w:tcPr>
          <w:p w14:paraId="509C00A0" w14:textId="77777777" w:rsidR="00F85A5E" w:rsidRPr="00337C3E" w:rsidRDefault="00F85A5E" w:rsidP="00B11A59">
            <w:pPr>
              <w:spacing w:before="40" w:after="40"/>
              <w:jc w:val="center"/>
              <w:rPr>
                <w:rFonts w:cs="Arial"/>
                <w:color w:val="000000"/>
                <w:sz w:val="20"/>
                <w:szCs w:val="20"/>
              </w:rPr>
            </w:pPr>
          </w:p>
        </w:tc>
        <w:tc>
          <w:tcPr>
            <w:tcW w:w="615" w:type="dxa"/>
            <w:vMerge/>
            <w:vAlign w:val="center"/>
          </w:tcPr>
          <w:p w14:paraId="0BD0C9B4" w14:textId="77777777" w:rsidR="00F85A5E" w:rsidRPr="00337C3E" w:rsidRDefault="00F85A5E" w:rsidP="00B11A59">
            <w:pPr>
              <w:spacing w:before="40" w:after="40"/>
              <w:jc w:val="center"/>
              <w:rPr>
                <w:rFonts w:cs="Arial"/>
                <w:color w:val="000000"/>
                <w:sz w:val="20"/>
                <w:szCs w:val="20"/>
              </w:rPr>
            </w:pPr>
          </w:p>
        </w:tc>
        <w:tc>
          <w:tcPr>
            <w:tcW w:w="616" w:type="dxa"/>
            <w:tcBorders>
              <w:right w:val="double" w:sz="4" w:space="0" w:color="auto"/>
            </w:tcBorders>
            <w:vAlign w:val="center"/>
          </w:tcPr>
          <w:p w14:paraId="63D6AE1E" w14:textId="0360E90D" w:rsidR="00F85A5E" w:rsidRPr="00337C3E" w:rsidRDefault="00F85A5E" w:rsidP="00B11A59">
            <w:pPr>
              <w:spacing w:before="40" w:after="40"/>
              <w:jc w:val="center"/>
              <w:rPr>
                <w:rFonts w:cs="Arial"/>
                <w:color w:val="000000"/>
                <w:sz w:val="20"/>
                <w:szCs w:val="20"/>
              </w:rPr>
            </w:pPr>
            <w:r w:rsidRPr="00BD763C">
              <w:rPr>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3DE2A9C9" w14:textId="77777777" w:rsidR="00F85A5E" w:rsidRPr="00337C3E" w:rsidDel="00F86573" w:rsidRDefault="00F85A5E" w:rsidP="00B11A59">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3B986BA5" w14:textId="35152F72" w:rsidR="00F85A5E" w:rsidRPr="00337C3E" w:rsidDel="00F86573" w:rsidRDefault="00F85A5E" w:rsidP="00B11A59">
            <w:pPr>
              <w:spacing w:before="40" w:after="40"/>
              <w:jc w:val="center"/>
              <w:rPr>
                <w:rFonts w:cs="Arial"/>
                <w:color w:val="000000"/>
                <w:sz w:val="20"/>
                <w:szCs w:val="20"/>
              </w:rPr>
            </w:pPr>
            <w:r w:rsidRPr="00BD763C">
              <w:rPr>
                <w:color w:val="000000"/>
                <w:szCs w:val="20"/>
              </w:rPr>
              <w:t>1.37</w:t>
            </w:r>
          </w:p>
        </w:tc>
        <w:tc>
          <w:tcPr>
            <w:tcW w:w="894" w:type="dxa"/>
            <w:shd w:val="clear" w:color="auto" w:fill="DEEAF6" w:themeFill="accent5" w:themeFillTint="33"/>
            <w:vAlign w:val="center"/>
          </w:tcPr>
          <w:p w14:paraId="61667ACC" w14:textId="08CA01BB" w:rsidR="00F85A5E" w:rsidRPr="00337C3E" w:rsidDel="00F86573" w:rsidRDefault="00F85A5E" w:rsidP="00B11A59">
            <w:pPr>
              <w:spacing w:before="40" w:after="40"/>
              <w:jc w:val="center"/>
              <w:rPr>
                <w:sz w:val="20"/>
                <w:szCs w:val="20"/>
              </w:rPr>
            </w:pPr>
            <w:r w:rsidRPr="00BD763C">
              <w:rPr>
                <w:color w:val="000000"/>
                <w:szCs w:val="20"/>
              </w:rPr>
              <w:t>1.38</w:t>
            </w:r>
          </w:p>
        </w:tc>
        <w:tc>
          <w:tcPr>
            <w:tcW w:w="894" w:type="dxa"/>
            <w:shd w:val="clear" w:color="auto" w:fill="DEEAF6" w:themeFill="accent5" w:themeFillTint="33"/>
            <w:vAlign w:val="center"/>
          </w:tcPr>
          <w:p w14:paraId="3381C67E" w14:textId="48B12A31" w:rsidR="00F85A5E" w:rsidRPr="00337C3E" w:rsidDel="00F86573" w:rsidRDefault="00F85A5E" w:rsidP="00B11A59">
            <w:pPr>
              <w:spacing w:before="40" w:after="40"/>
              <w:jc w:val="center"/>
              <w:rPr>
                <w:sz w:val="20"/>
                <w:szCs w:val="20"/>
              </w:rPr>
            </w:pPr>
            <w:r w:rsidRPr="00BD763C">
              <w:rPr>
                <w:color w:val="000000"/>
                <w:szCs w:val="20"/>
              </w:rPr>
              <w:t>1.38</w:t>
            </w:r>
          </w:p>
        </w:tc>
        <w:tc>
          <w:tcPr>
            <w:tcW w:w="894" w:type="dxa"/>
            <w:shd w:val="clear" w:color="auto" w:fill="DEEAF6" w:themeFill="accent5" w:themeFillTint="33"/>
            <w:vAlign w:val="center"/>
          </w:tcPr>
          <w:p w14:paraId="14A89636" w14:textId="4FAC69AC" w:rsidR="00F85A5E" w:rsidRPr="00337C3E" w:rsidDel="00F86573" w:rsidRDefault="00F85A5E" w:rsidP="00B11A59">
            <w:pPr>
              <w:spacing w:before="40" w:after="40"/>
              <w:jc w:val="center"/>
              <w:rPr>
                <w:sz w:val="20"/>
                <w:szCs w:val="20"/>
              </w:rPr>
            </w:pPr>
            <w:r w:rsidRPr="00BD763C">
              <w:rPr>
                <w:color w:val="000000"/>
                <w:szCs w:val="20"/>
              </w:rPr>
              <w:t>1.34</w:t>
            </w:r>
          </w:p>
        </w:tc>
        <w:tc>
          <w:tcPr>
            <w:tcW w:w="894" w:type="dxa"/>
            <w:shd w:val="clear" w:color="auto" w:fill="DEEAF6" w:themeFill="accent5" w:themeFillTint="33"/>
            <w:vAlign w:val="center"/>
          </w:tcPr>
          <w:p w14:paraId="22973F34" w14:textId="245EDD74" w:rsidR="00F85A5E" w:rsidRPr="00337C3E" w:rsidDel="00F86573" w:rsidRDefault="00F85A5E" w:rsidP="00B11A59">
            <w:pPr>
              <w:spacing w:before="40" w:after="40"/>
              <w:jc w:val="center"/>
              <w:rPr>
                <w:sz w:val="20"/>
                <w:szCs w:val="20"/>
              </w:rPr>
            </w:pPr>
            <w:r w:rsidRPr="00BD763C">
              <w:rPr>
                <w:color w:val="000000"/>
                <w:szCs w:val="20"/>
              </w:rPr>
              <w:t>1.38</w:t>
            </w:r>
          </w:p>
        </w:tc>
        <w:tc>
          <w:tcPr>
            <w:tcW w:w="894" w:type="dxa"/>
            <w:shd w:val="clear" w:color="auto" w:fill="DEEAF6" w:themeFill="accent5" w:themeFillTint="33"/>
            <w:vAlign w:val="center"/>
          </w:tcPr>
          <w:p w14:paraId="1F608077" w14:textId="6662692E" w:rsidR="00F85A5E" w:rsidRPr="00337C3E" w:rsidDel="00F86573" w:rsidRDefault="00F85A5E" w:rsidP="00B11A59">
            <w:pPr>
              <w:spacing w:before="40" w:after="40"/>
              <w:jc w:val="center"/>
              <w:rPr>
                <w:sz w:val="20"/>
                <w:szCs w:val="20"/>
              </w:rPr>
            </w:pPr>
            <w:r w:rsidRPr="00BD763C">
              <w:rPr>
                <w:color w:val="000000"/>
                <w:szCs w:val="20"/>
              </w:rPr>
              <w:t>1.36</w:t>
            </w:r>
          </w:p>
        </w:tc>
        <w:tc>
          <w:tcPr>
            <w:tcW w:w="894" w:type="dxa"/>
            <w:shd w:val="clear" w:color="auto" w:fill="DEEAF6" w:themeFill="accent5" w:themeFillTint="33"/>
            <w:vAlign w:val="center"/>
          </w:tcPr>
          <w:p w14:paraId="542D0F26" w14:textId="6869F2D5" w:rsidR="00F85A5E" w:rsidRPr="00337C3E" w:rsidDel="00F86573" w:rsidRDefault="00F85A5E" w:rsidP="00B11A59">
            <w:pPr>
              <w:spacing w:before="40" w:after="40"/>
              <w:jc w:val="center"/>
              <w:rPr>
                <w:sz w:val="20"/>
                <w:szCs w:val="20"/>
              </w:rPr>
            </w:pPr>
            <w:r w:rsidRPr="00BD763C">
              <w:rPr>
                <w:color w:val="000000"/>
                <w:szCs w:val="20"/>
              </w:rPr>
              <w:t>1.37</w:t>
            </w:r>
          </w:p>
        </w:tc>
        <w:tc>
          <w:tcPr>
            <w:tcW w:w="894" w:type="dxa"/>
            <w:shd w:val="clear" w:color="auto" w:fill="DEEAF6" w:themeFill="accent5" w:themeFillTint="33"/>
            <w:vAlign w:val="center"/>
          </w:tcPr>
          <w:p w14:paraId="5FAB0E4D" w14:textId="4395CF83" w:rsidR="00F85A5E" w:rsidRPr="00337C3E" w:rsidDel="00F86573" w:rsidRDefault="00F85A5E" w:rsidP="00B11A59">
            <w:pPr>
              <w:spacing w:before="40" w:after="40"/>
              <w:jc w:val="center"/>
              <w:rPr>
                <w:sz w:val="20"/>
                <w:szCs w:val="20"/>
              </w:rPr>
            </w:pPr>
            <w:r w:rsidRPr="00BD763C">
              <w:rPr>
                <w:color w:val="000000"/>
                <w:szCs w:val="20"/>
              </w:rPr>
              <w:t>1.35</w:t>
            </w:r>
          </w:p>
        </w:tc>
      </w:tr>
    </w:tbl>
    <w:p w14:paraId="3BB02762" w14:textId="77777777" w:rsidR="00FA3C06" w:rsidRPr="00337C3E" w:rsidRDefault="00FA3C06" w:rsidP="00FA3C06">
      <w:pPr>
        <w:rPr>
          <w:lang w:eastAsia="en-GB"/>
        </w:rPr>
      </w:pPr>
    </w:p>
    <w:p w14:paraId="4E2250E7" w14:textId="7DAC2A54" w:rsidR="00A71AB6" w:rsidRDefault="00A71AB6" w:rsidP="003A5318">
      <w:pPr>
        <w:pStyle w:val="Caption"/>
      </w:pPr>
    </w:p>
    <w:p w14:paraId="742B781D" w14:textId="632E5108" w:rsidR="00FA3C06" w:rsidRPr="00FA3C06" w:rsidRDefault="00FA3C06" w:rsidP="00337C3E">
      <w:pPr>
        <w:pStyle w:val="Caption"/>
      </w:pPr>
      <w:bookmarkStart w:id="224" w:name="_Ref178586797"/>
      <w:r>
        <w:t xml:space="preserve">Table </w:t>
      </w:r>
      <w:r w:rsidR="00500110">
        <w:fldChar w:fldCharType="begin"/>
      </w:r>
      <w:r w:rsidR="00500110">
        <w:instrText xml:space="preserve"> SEQ Table \* ARABIC </w:instrText>
      </w:r>
      <w:r w:rsidR="00500110">
        <w:fldChar w:fldCharType="separate"/>
      </w:r>
      <w:r w:rsidR="00850DA1">
        <w:rPr>
          <w:noProof/>
        </w:rPr>
        <w:t>2</w:t>
      </w:r>
      <w:r w:rsidR="00500110">
        <w:rPr>
          <w:noProof/>
        </w:rPr>
        <w:fldChar w:fldCharType="end"/>
      </w:r>
      <w:bookmarkEnd w:id="224"/>
      <w:r w:rsidR="00E531A4">
        <w:t xml:space="preserve"> </w:t>
      </w:r>
      <w:r w:rsidR="00E531A4" w:rsidRPr="00E531A4">
        <w:t xml:space="preserve">90%tile 2D positioning accuracy (meters) of PDP models using direct sample-based reporting or Rel-17 path-based reporting from seven different channel estimation algorithms for the {60%, 6m, 2m} InF-DH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E531A4"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065EA3" w:rsidRPr="00416C2F" w14:paraId="38A0DA95" w14:textId="77777777">
        <w:tc>
          <w:tcPr>
            <w:tcW w:w="1846" w:type="dxa"/>
            <w:gridSpan w:val="3"/>
            <w:tcBorders>
              <w:right w:val="double" w:sz="4" w:space="0" w:color="auto"/>
            </w:tcBorders>
            <w:vAlign w:val="center"/>
          </w:tcPr>
          <w:p w14:paraId="1B8759DD" w14:textId="77777777" w:rsidR="00065EA3" w:rsidRPr="007F5D82" w:rsidRDefault="00065EA3">
            <w:pPr>
              <w:spacing w:before="40" w:after="40"/>
              <w:jc w:val="center"/>
              <w:rPr>
                <w:rFonts w:cs="Arial"/>
                <w:color w:val="000000"/>
                <w:sz w:val="20"/>
                <w:szCs w:val="20"/>
              </w:rPr>
            </w:pPr>
            <w:r w:rsidRPr="001F661F">
              <w:rPr>
                <w:sz w:val="20"/>
                <w:szCs w:val="20"/>
              </w:rPr>
              <w:lastRenderedPageBreak/>
              <w:t>Test cases</w:t>
            </w:r>
          </w:p>
        </w:tc>
        <w:tc>
          <w:tcPr>
            <w:tcW w:w="8116" w:type="dxa"/>
            <w:gridSpan w:val="9"/>
            <w:tcBorders>
              <w:left w:val="double" w:sz="4" w:space="0" w:color="auto"/>
            </w:tcBorders>
            <w:vAlign w:val="center"/>
          </w:tcPr>
          <w:p w14:paraId="328F2590" w14:textId="77777777" w:rsidR="00065EA3" w:rsidRPr="007F5D82" w:rsidRDefault="00065EA3">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100 MHz RS bandwidth</w:t>
            </w:r>
          </w:p>
        </w:tc>
      </w:tr>
      <w:tr w:rsidR="00416C2F" w:rsidRPr="00416C2F" w14:paraId="1B94A3D6" w14:textId="77777777" w:rsidTr="00ED1FA9">
        <w:tc>
          <w:tcPr>
            <w:tcW w:w="615" w:type="dxa"/>
            <w:vMerge w:val="restart"/>
            <w:vAlign w:val="center"/>
          </w:tcPr>
          <w:p w14:paraId="0DEE54BB" w14:textId="77777777" w:rsidR="00065EA3"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Cs w:val="20"/>
                      </w:rPr>
                      <m:t>M</m:t>
                    </m:r>
                  </m:e>
                  <m:sub>
                    <m:r>
                      <w:rPr>
                        <w:rFonts w:ascii="Cambria Math" w:hAnsi="Cambria Math"/>
                        <w:szCs w:val="20"/>
                      </w:rPr>
                      <m:t>t</m:t>
                    </m:r>
                  </m:sub>
                </m:sSub>
              </m:oMath>
            </m:oMathPara>
          </w:p>
        </w:tc>
        <w:tc>
          <w:tcPr>
            <w:tcW w:w="615" w:type="dxa"/>
            <w:vMerge w:val="restart"/>
            <w:vAlign w:val="center"/>
          </w:tcPr>
          <w:p w14:paraId="0B35522B" w14:textId="77777777" w:rsidR="00065EA3" w:rsidRPr="00337C3E" w:rsidRDefault="009C13C0">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Cs w:val="20"/>
                      </w:rPr>
                      <m:t>N</m:t>
                    </m:r>
                  </m:e>
                  <m:sub>
                    <m:r>
                      <w:rPr>
                        <w:rFonts w:ascii="Cambria Math" w:hAnsi="Cambria Math"/>
                        <w:szCs w:val="20"/>
                      </w:rPr>
                      <m:t>t</m:t>
                    </m:r>
                  </m:sub>
                  <m:sup>
                    <m:r>
                      <m:rPr>
                        <m:sty m:val="p"/>
                      </m:rPr>
                      <w:rPr>
                        <w:rFonts w:ascii="Cambria Math" w:hAnsi="Cambria Math"/>
                        <w:szCs w:val="20"/>
                      </w:rPr>
                      <m:t>'</m:t>
                    </m:r>
                  </m:sup>
                </m:sSubSup>
              </m:oMath>
            </m:oMathPara>
          </w:p>
        </w:tc>
        <w:tc>
          <w:tcPr>
            <w:tcW w:w="616" w:type="dxa"/>
            <w:vMerge w:val="restart"/>
            <w:tcBorders>
              <w:right w:val="double" w:sz="4" w:space="0" w:color="auto"/>
            </w:tcBorders>
            <w:vAlign w:val="center"/>
          </w:tcPr>
          <w:p w14:paraId="179DF2FF" w14:textId="77777777" w:rsidR="00065EA3"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Cs w:val="20"/>
                      </w:rPr>
                      <m:t>N</m:t>
                    </m:r>
                  </m:e>
                  <m:sub>
                    <m:r>
                      <w:rPr>
                        <w:rFonts w:ascii="Cambria Math" w:hAnsi="Cambria Math"/>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217FDD08" w14:textId="1DA0D260" w:rsidR="00065EA3" w:rsidRPr="00416C2F" w:rsidRDefault="00065EA3">
            <w:pPr>
              <w:spacing w:before="40" w:after="40"/>
              <w:jc w:val="center"/>
              <w:rPr>
                <w:rFonts w:cs="Arial"/>
                <w:color w:val="000000"/>
                <w:sz w:val="20"/>
                <w:szCs w:val="20"/>
              </w:rPr>
            </w:pPr>
            <w:r w:rsidRPr="00E16A91">
              <w:rPr>
                <w:rFonts w:cs="Arial"/>
                <w:color w:val="000000"/>
                <w:sz w:val="18"/>
                <w:szCs w:val="18"/>
              </w:rPr>
              <w:t>Sample based signaling</w:t>
            </w:r>
          </w:p>
        </w:tc>
        <w:tc>
          <w:tcPr>
            <w:tcW w:w="7253" w:type="dxa"/>
            <w:gridSpan w:val="8"/>
            <w:tcBorders>
              <w:left w:val="double" w:sz="4" w:space="0" w:color="auto"/>
            </w:tcBorders>
            <w:vAlign w:val="center"/>
          </w:tcPr>
          <w:p w14:paraId="414F3ED1" w14:textId="1E411467" w:rsidR="00065EA3" w:rsidRPr="00416C2F" w:rsidRDefault="00065EA3">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Cs w:val="20"/>
                  <w:highlight w:val="yellow"/>
                </w:rPr>
                <m:t>δ=3</m:t>
              </m:r>
            </m:oMath>
          </w:p>
        </w:tc>
      </w:tr>
      <w:tr w:rsidR="00416C2F" w:rsidRPr="00416C2F" w14:paraId="256DD582" w14:textId="77777777" w:rsidTr="00ED1FA9">
        <w:tc>
          <w:tcPr>
            <w:tcW w:w="615" w:type="dxa"/>
            <w:vMerge/>
            <w:vAlign w:val="center"/>
          </w:tcPr>
          <w:p w14:paraId="13C3504C" w14:textId="77777777" w:rsidR="00065EA3" w:rsidRPr="00416C2F" w:rsidRDefault="00065EA3">
            <w:pPr>
              <w:spacing w:before="40" w:after="40"/>
              <w:jc w:val="center"/>
              <w:rPr>
                <w:rFonts w:cs="Arial"/>
                <w:color w:val="000000"/>
                <w:sz w:val="20"/>
                <w:szCs w:val="20"/>
              </w:rPr>
            </w:pPr>
          </w:p>
        </w:tc>
        <w:tc>
          <w:tcPr>
            <w:tcW w:w="615" w:type="dxa"/>
            <w:vMerge/>
            <w:vAlign w:val="center"/>
          </w:tcPr>
          <w:p w14:paraId="46EC4249" w14:textId="77777777" w:rsidR="00065EA3" w:rsidRPr="00337C3E" w:rsidRDefault="00065EA3">
            <w:pPr>
              <w:spacing w:before="40" w:after="40"/>
              <w:jc w:val="center"/>
              <w:rPr>
                <w:rFonts w:cs="Arial"/>
                <w:color w:val="000000"/>
                <w:sz w:val="20"/>
                <w:szCs w:val="20"/>
              </w:rPr>
            </w:pPr>
          </w:p>
        </w:tc>
        <w:tc>
          <w:tcPr>
            <w:tcW w:w="616" w:type="dxa"/>
            <w:vMerge/>
            <w:tcBorders>
              <w:right w:val="double" w:sz="4" w:space="0" w:color="auto"/>
            </w:tcBorders>
            <w:vAlign w:val="center"/>
          </w:tcPr>
          <w:p w14:paraId="70B7B9B7" w14:textId="77777777" w:rsidR="00065EA3" w:rsidRPr="00416C2F" w:rsidRDefault="00065EA3">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535CA175" w14:textId="77777777" w:rsidR="00065EA3" w:rsidRPr="00416C2F" w:rsidRDefault="00065EA3">
            <w:pPr>
              <w:spacing w:before="40" w:after="40"/>
              <w:jc w:val="center"/>
              <w:rPr>
                <w:rFonts w:cs="Arial"/>
                <w:color w:val="000000"/>
                <w:sz w:val="20"/>
                <w:szCs w:val="20"/>
              </w:rPr>
            </w:pPr>
          </w:p>
        </w:tc>
        <w:tc>
          <w:tcPr>
            <w:tcW w:w="995" w:type="dxa"/>
            <w:vMerge w:val="restart"/>
            <w:tcBorders>
              <w:left w:val="double" w:sz="4" w:space="0" w:color="auto"/>
            </w:tcBorders>
            <w:vAlign w:val="center"/>
          </w:tcPr>
          <w:p w14:paraId="23AAE8A3" w14:textId="77777777" w:rsidR="00065EA3" w:rsidRPr="00416C2F" w:rsidRDefault="00065EA3">
            <w:pPr>
              <w:spacing w:before="40" w:after="40"/>
              <w:jc w:val="center"/>
              <w:rPr>
                <w:rFonts w:cs="Arial"/>
                <w:color w:val="000000"/>
                <w:sz w:val="20"/>
                <w:szCs w:val="20"/>
              </w:rPr>
            </w:pPr>
            <w:r w:rsidRPr="00E16A91">
              <w:rPr>
                <w:sz w:val="18"/>
                <w:szCs w:val="18"/>
              </w:rPr>
              <w:t>Average across estimators</w:t>
            </w:r>
          </w:p>
        </w:tc>
        <w:tc>
          <w:tcPr>
            <w:tcW w:w="6258" w:type="dxa"/>
            <w:gridSpan w:val="7"/>
            <w:vAlign w:val="center"/>
          </w:tcPr>
          <w:p w14:paraId="6EAB749A" w14:textId="17E36FA4" w:rsidR="00065EA3" w:rsidRPr="00416C2F" w:rsidRDefault="00065EA3">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Cs w:val="20"/>
                        </w:rPr>
                        <m:t>τ</m:t>
                      </m:r>
                    </m:e>
                  </m:acc>
                </m:e>
                <m:sub>
                  <m:r>
                    <w:rPr>
                      <w:rFonts w:ascii="Cambria Math" w:hAnsi="Cambria Math"/>
                      <w:sz w:val="20"/>
                      <w:szCs w:val="20"/>
                    </w:rPr>
                    <m:t>1</m:t>
                  </m:r>
                </m:sub>
              </m:sSub>
            </m:oMath>
          </w:p>
        </w:tc>
      </w:tr>
      <w:tr w:rsidR="00065EA3" w:rsidRPr="00416C2F" w14:paraId="0C3C52F9" w14:textId="77777777" w:rsidTr="00ED1FA9">
        <w:tc>
          <w:tcPr>
            <w:tcW w:w="615" w:type="dxa"/>
            <w:vMerge/>
            <w:tcBorders>
              <w:bottom w:val="double" w:sz="4" w:space="0" w:color="auto"/>
            </w:tcBorders>
            <w:vAlign w:val="center"/>
          </w:tcPr>
          <w:p w14:paraId="557F3189" w14:textId="77777777" w:rsidR="00065EA3" w:rsidRPr="007F5D82" w:rsidRDefault="00065EA3">
            <w:pPr>
              <w:spacing w:before="40" w:after="40"/>
              <w:jc w:val="center"/>
              <w:rPr>
                <w:rFonts w:cs="Arial"/>
                <w:color w:val="000000"/>
                <w:sz w:val="20"/>
                <w:szCs w:val="20"/>
              </w:rPr>
            </w:pPr>
          </w:p>
        </w:tc>
        <w:tc>
          <w:tcPr>
            <w:tcW w:w="615" w:type="dxa"/>
            <w:vMerge/>
            <w:tcBorders>
              <w:bottom w:val="double" w:sz="4" w:space="0" w:color="auto"/>
            </w:tcBorders>
            <w:vAlign w:val="center"/>
          </w:tcPr>
          <w:p w14:paraId="0B9C3F2C" w14:textId="77777777" w:rsidR="00065EA3" w:rsidRPr="00337C3E" w:rsidRDefault="00065EA3">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04302BC4" w14:textId="77777777" w:rsidR="00065EA3" w:rsidRPr="007F5D82" w:rsidRDefault="00065EA3">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470BBB32" w14:textId="77777777" w:rsidR="00065EA3" w:rsidRPr="007F5D82" w:rsidRDefault="00065EA3">
            <w:pPr>
              <w:spacing w:before="40" w:after="40"/>
              <w:jc w:val="center"/>
              <w:rPr>
                <w:rFonts w:cs="Arial"/>
                <w:color w:val="000000"/>
                <w:sz w:val="20"/>
                <w:szCs w:val="20"/>
              </w:rPr>
            </w:pPr>
          </w:p>
        </w:tc>
        <w:tc>
          <w:tcPr>
            <w:tcW w:w="995" w:type="dxa"/>
            <w:vMerge/>
            <w:tcBorders>
              <w:left w:val="double" w:sz="4" w:space="0" w:color="auto"/>
              <w:bottom w:val="double" w:sz="4" w:space="0" w:color="auto"/>
            </w:tcBorders>
            <w:vAlign w:val="center"/>
          </w:tcPr>
          <w:p w14:paraId="28194176" w14:textId="77777777" w:rsidR="00065EA3" w:rsidRPr="007F5D82" w:rsidRDefault="00065EA3">
            <w:pPr>
              <w:spacing w:before="40" w:after="40"/>
              <w:jc w:val="center"/>
              <w:rPr>
                <w:rFonts w:cs="Arial"/>
                <w:color w:val="000000"/>
                <w:sz w:val="20"/>
                <w:szCs w:val="20"/>
              </w:rPr>
            </w:pPr>
          </w:p>
        </w:tc>
        <w:tc>
          <w:tcPr>
            <w:tcW w:w="894" w:type="dxa"/>
            <w:tcBorders>
              <w:bottom w:val="double" w:sz="4" w:space="0" w:color="auto"/>
            </w:tcBorders>
            <w:vAlign w:val="center"/>
          </w:tcPr>
          <w:p w14:paraId="6BF10C9A" w14:textId="77777777" w:rsidR="00065EA3" w:rsidRPr="007F5D82" w:rsidRDefault="00065EA3">
            <w:pPr>
              <w:spacing w:before="40" w:after="40"/>
              <w:jc w:val="center"/>
              <w:rPr>
                <w:rFonts w:cs="Arial"/>
                <w:color w:val="000000"/>
                <w:sz w:val="20"/>
                <w:szCs w:val="20"/>
              </w:rPr>
            </w:pPr>
            <w:r w:rsidRPr="00BD763C">
              <w:rPr>
                <w:szCs w:val="20"/>
              </w:rPr>
              <w:t>G</w:t>
            </w:r>
          </w:p>
        </w:tc>
        <w:tc>
          <w:tcPr>
            <w:tcW w:w="894" w:type="dxa"/>
            <w:tcBorders>
              <w:bottom w:val="double" w:sz="4" w:space="0" w:color="auto"/>
            </w:tcBorders>
            <w:vAlign w:val="center"/>
          </w:tcPr>
          <w:p w14:paraId="197D6DC1" w14:textId="77777777" w:rsidR="00065EA3" w:rsidRPr="007F5D82" w:rsidRDefault="00065EA3">
            <w:pPr>
              <w:spacing w:before="40" w:after="40"/>
              <w:jc w:val="center"/>
              <w:rPr>
                <w:rFonts w:cs="Arial"/>
                <w:color w:val="000000"/>
                <w:sz w:val="20"/>
                <w:szCs w:val="20"/>
              </w:rPr>
            </w:pPr>
            <w:r w:rsidRPr="00BD763C">
              <w:rPr>
                <w:szCs w:val="20"/>
              </w:rPr>
              <w:t>F</w:t>
            </w:r>
          </w:p>
        </w:tc>
        <w:tc>
          <w:tcPr>
            <w:tcW w:w="894" w:type="dxa"/>
            <w:tcBorders>
              <w:bottom w:val="double" w:sz="4" w:space="0" w:color="auto"/>
            </w:tcBorders>
            <w:vAlign w:val="center"/>
          </w:tcPr>
          <w:p w14:paraId="7BE837B0" w14:textId="77777777" w:rsidR="00065EA3" w:rsidRPr="007F5D82" w:rsidRDefault="00065EA3">
            <w:pPr>
              <w:spacing w:before="40" w:after="40"/>
              <w:jc w:val="center"/>
              <w:rPr>
                <w:rFonts w:cs="Arial"/>
                <w:color w:val="000000"/>
                <w:sz w:val="20"/>
                <w:szCs w:val="20"/>
              </w:rPr>
            </w:pPr>
            <w:r w:rsidRPr="00BD763C">
              <w:rPr>
                <w:szCs w:val="20"/>
              </w:rPr>
              <w:t>E</w:t>
            </w:r>
          </w:p>
        </w:tc>
        <w:tc>
          <w:tcPr>
            <w:tcW w:w="894" w:type="dxa"/>
            <w:tcBorders>
              <w:bottom w:val="double" w:sz="4" w:space="0" w:color="auto"/>
            </w:tcBorders>
            <w:vAlign w:val="center"/>
          </w:tcPr>
          <w:p w14:paraId="16AD4C15" w14:textId="77777777" w:rsidR="00065EA3" w:rsidRPr="007F5D82" w:rsidRDefault="00065EA3">
            <w:pPr>
              <w:spacing w:before="40" w:after="40"/>
              <w:jc w:val="center"/>
              <w:rPr>
                <w:rFonts w:cs="Arial"/>
                <w:color w:val="000000"/>
                <w:sz w:val="20"/>
                <w:szCs w:val="20"/>
              </w:rPr>
            </w:pPr>
            <w:r w:rsidRPr="00BD763C">
              <w:rPr>
                <w:szCs w:val="20"/>
              </w:rPr>
              <w:t>D</w:t>
            </w:r>
          </w:p>
        </w:tc>
        <w:tc>
          <w:tcPr>
            <w:tcW w:w="894" w:type="dxa"/>
            <w:tcBorders>
              <w:bottom w:val="double" w:sz="4" w:space="0" w:color="auto"/>
            </w:tcBorders>
            <w:vAlign w:val="center"/>
          </w:tcPr>
          <w:p w14:paraId="114C7FE6" w14:textId="77777777" w:rsidR="00065EA3" w:rsidRPr="007F5D82" w:rsidRDefault="00065EA3">
            <w:pPr>
              <w:spacing w:before="40" w:after="40"/>
              <w:jc w:val="center"/>
              <w:rPr>
                <w:rFonts w:cs="Arial"/>
                <w:color w:val="000000"/>
                <w:sz w:val="20"/>
                <w:szCs w:val="20"/>
              </w:rPr>
            </w:pPr>
            <w:r w:rsidRPr="00BD763C">
              <w:rPr>
                <w:szCs w:val="20"/>
              </w:rPr>
              <w:t>C</w:t>
            </w:r>
          </w:p>
        </w:tc>
        <w:tc>
          <w:tcPr>
            <w:tcW w:w="894" w:type="dxa"/>
            <w:tcBorders>
              <w:bottom w:val="double" w:sz="4" w:space="0" w:color="auto"/>
            </w:tcBorders>
            <w:vAlign w:val="center"/>
          </w:tcPr>
          <w:p w14:paraId="3ED34BDC" w14:textId="77777777" w:rsidR="00065EA3" w:rsidRPr="007F5D82" w:rsidRDefault="00065EA3">
            <w:pPr>
              <w:spacing w:before="40" w:after="40"/>
              <w:jc w:val="center"/>
              <w:rPr>
                <w:rFonts w:cs="Arial"/>
                <w:color w:val="000000"/>
                <w:sz w:val="20"/>
                <w:szCs w:val="20"/>
              </w:rPr>
            </w:pPr>
            <w:r w:rsidRPr="00BD763C">
              <w:rPr>
                <w:szCs w:val="20"/>
              </w:rPr>
              <w:t>B</w:t>
            </w:r>
          </w:p>
        </w:tc>
        <w:tc>
          <w:tcPr>
            <w:tcW w:w="894" w:type="dxa"/>
            <w:tcBorders>
              <w:bottom w:val="double" w:sz="4" w:space="0" w:color="auto"/>
            </w:tcBorders>
            <w:vAlign w:val="center"/>
          </w:tcPr>
          <w:p w14:paraId="4B11FE54" w14:textId="77777777" w:rsidR="00065EA3" w:rsidRPr="007F5D82" w:rsidRDefault="00065EA3">
            <w:pPr>
              <w:spacing w:before="40" w:after="40"/>
              <w:jc w:val="center"/>
              <w:rPr>
                <w:rFonts w:cs="Arial"/>
                <w:color w:val="000000"/>
                <w:sz w:val="20"/>
                <w:szCs w:val="20"/>
              </w:rPr>
            </w:pPr>
            <w:r w:rsidRPr="00BD763C">
              <w:rPr>
                <w:szCs w:val="20"/>
              </w:rPr>
              <w:t>A</w:t>
            </w:r>
          </w:p>
        </w:tc>
      </w:tr>
      <w:tr w:rsidR="00065EA3" w:rsidRPr="00416C2F" w14:paraId="56F87371" w14:textId="77777777" w:rsidTr="00ED1FA9">
        <w:tc>
          <w:tcPr>
            <w:tcW w:w="615" w:type="dxa"/>
            <w:vMerge w:val="restart"/>
            <w:tcBorders>
              <w:top w:val="double" w:sz="4" w:space="0" w:color="auto"/>
            </w:tcBorders>
            <w:vAlign w:val="center"/>
          </w:tcPr>
          <w:p w14:paraId="7636EBE0" w14:textId="77777777" w:rsidR="00065EA3" w:rsidRPr="007F5D82" w:rsidRDefault="00065EA3" w:rsidP="00065EA3">
            <w:pPr>
              <w:spacing w:before="40" w:after="40"/>
              <w:jc w:val="center"/>
              <w:rPr>
                <w:rFonts w:cs="Arial"/>
                <w:color w:val="000000"/>
                <w:sz w:val="20"/>
                <w:szCs w:val="20"/>
              </w:rPr>
            </w:pPr>
            <w:r w:rsidRPr="00BD763C">
              <w:rPr>
                <w:szCs w:val="20"/>
              </w:rPr>
              <w:t>128</w:t>
            </w:r>
          </w:p>
        </w:tc>
        <w:tc>
          <w:tcPr>
            <w:tcW w:w="615" w:type="dxa"/>
            <w:vMerge w:val="restart"/>
            <w:tcBorders>
              <w:top w:val="double" w:sz="4" w:space="0" w:color="auto"/>
            </w:tcBorders>
            <w:vAlign w:val="center"/>
          </w:tcPr>
          <w:p w14:paraId="3403D587" w14:textId="77777777" w:rsidR="00065EA3" w:rsidRPr="00337C3E" w:rsidRDefault="00065EA3" w:rsidP="00065EA3">
            <w:pPr>
              <w:spacing w:before="40" w:after="40"/>
              <w:jc w:val="center"/>
              <w:rPr>
                <w:rFonts w:cs="Arial"/>
                <w:color w:val="000000"/>
                <w:sz w:val="20"/>
                <w:szCs w:val="20"/>
              </w:rPr>
            </w:pPr>
            <w:r w:rsidRPr="00BD763C">
              <w:rPr>
                <w:szCs w:val="20"/>
              </w:rPr>
              <w:t>16</w:t>
            </w:r>
          </w:p>
        </w:tc>
        <w:tc>
          <w:tcPr>
            <w:tcW w:w="616" w:type="dxa"/>
            <w:tcBorders>
              <w:top w:val="double" w:sz="4" w:space="0" w:color="auto"/>
              <w:right w:val="double" w:sz="4" w:space="0" w:color="auto"/>
            </w:tcBorders>
            <w:vAlign w:val="center"/>
          </w:tcPr>
          <w:p w14:paraId="12237E47" w14:textId="77777777" w:rsidR="00065EA3" w:rsidRPr="007F5D82" w:rsidRDefault="00065EA3" w:rsidP="00065EA3">
            <w:pPr>
              <w:spacing w:before="40" w:after="40"/>
              <w:jc w:val="center"/>
              <w:rPr>
                <w:rFonts w:cs="Arial"/>
                <w:color w:val="000000"/>
                <w:sz w:val="20"/>
                <w:szCs w:val="20"/>
              </w:rPr>
            </w:pPr>
            <w:r w:rsidRPr="00BD763C">
              <w:rPr>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76B02249" w14:textId="77777777" w:rsidR="00065EA3" w:rsidRPr="007F5D82" w:rsidRDefault="00065EA3" w:rsidP="00065EA3">
            <w:pPr>
              <w:spacing w:before="40" w:after="40"/>
              <w:jc w:val="center"/>
              <w:rPr>
                <w:rFonts w:cs="Arial"/>
                <w:color w:val="000000"/>
                <w:sz w:val="20"/>
                <w:szCs w:val="20"/>
              </w:rPr>
            </w:pPr>
            <w:r w:rsidRPr="00BD763C">
              <w:rPr>
                <w:rFonts w:cs="Arial"/>
                <w:color w:val="000000"/>
                <w:szCs w:val="20"/>
              </w:rPr>
              <w:t>1.00</w:t>
            </w:r>
          </w:p>
        </w:tc>
        <w:tc>
          <w:tcPr>
            <w:tcW w:w="995" w:type="dxa"/>
            <w:tcBorders>
              <w:top w:val="double" w:sz="4" w:space="0" w:color="auto"/>
              <w:left w:val="double" w:sz="4" w:space="0" w:color="auto"/>
            </w:tcBorders>
            <w:vAlign w:val="center"/>
          </w:tcPr>
          <w:p w14:paraId="5E204912" w14:textId="6B09F882" w:rsidR="00065EA3" w:rsidRPr="007F5D82" w:rsidRDefault="00065EA3" w:rsidP="00065EA3">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vAlign w:val="center"/>
          </w:tcPr>
          <w:p w14:paraId="17A02FCD" w14:textId="788F8D6E" w:rsidR="00065EA3" w:rsidRPr="007F5D82" w:rsidRDefault="00065EA3" w:rsidP="00065EA3">
            <w:pPr>
              <w:spacing w:before="40" w:after="40"/>
              <w:jc w:val="center"/>
              <w:rPr>
                <w:rFonts w:cs="Arial"/>
                <w:color w:val="000000"/>
                <w:sz w:val="20"/>
                <w:szCs w:val="20"/>
              </w:rPr>
            </w:pPr>
            <w:r w:rsidRPr="00BD763C">
              <w:rPr>
                <w:color w:val="000000"/>
                <w:szCs w:val="20"/>
              </w:rPr>
              <w:t>1.02</w:t>
            </w:r>
          </w:p>
        </w:tc>
        <w:tc>
          <w:tcPr>
            <w:tcW w:w="894" w:type="dxa"/>
            <w:tcBorders>
              <w:top w:val="double" w:sz="4" w:space="0" w:color="auto"/>
            </w:tcBorders>
            <w:vAlign w:val="center"/>
          </w:tcPr>
          <w:p w14:paraId="77569367" w14:textId="3631BF0E" w:rsidR="00065EA3" w:rsidRPr="007F5D82" w:rsidRDefault="00065EA3" w:rsidP="00065EA3">
            <w:pPr>
              <w:spacing w:before="40" w:after="40"/>
              <w:jc w:val="center"/>
              <w:rPr>
                <w:rFonts w:cs="Arial"/>
                <w:color w:val="000000"/>
                <w:sz w:val="20"/>
                <w:szCs w:val="20"/>
              </w:rPr>
            </w:pPr>
            <w:r w:rsidRPr="00BD763C">
              <w:rPr>
                <w:color w:val="000000"/>
                <w:szCs w:val="20"/>
              </w:rPr>
              <w:t>1.00</w:t>
            </w:r>
          </w:p>
        </w:tc>
        <w:tc>
          <w:tcPr>
            <w:tcW w:w="894" w:type="dxa"/>
            <w:tcBorders>
              <w:top w:val="double" w:sz="4" w:space="0" w:color="auto"/>
            </w:tcBorders>
            <w:vAlign w:val="center"/>
          </w:tcPr>
          <w:p w14:paraId="4F61BEA5" w14:textId="2D7B4CEF" w:rsidR="00065EA3" w:rsidRPr="007F5D82" w:rsidRDefault="00065EA3" w:rsidP="00065EA3">
            <w:pPr>
              <w:spacing w:before="40" w:after="40"/>
              <w:jc w:val="center"/>
              <w:rPr>
                <w:rFonts w:cs="Arial"/>
                <w:color w:val="000000"/>
                <w:sz w:val="20"/>
                <w:szCs w:val="20"/>
              </w:rPr>
            </w:pPr>
            <w:r w:rsidRPr="00BD763C">
              <w:rPr>
                <w:color w:val="000000"/>
                <w:szCs w:val="20"/>
              </w:rPr>
              <w:t>1.02</w:t>
            </w:r>
          </w:p>
        </w:tc>
        <w:tc>
          <w:tcPr>
            <w:tcW w:w="894" w:type="dxa"/>
            <w:tcBorders>
              <w:top w:val="double" w:sz="4" w:space="0" w:color="auto"/>
            </w:tcBorders>
            <w:vAlign w:val="center"/>
          </w:tcPr>
          <w:p w14:paraId="73DB8CE4" w14:textId="6E434649" w:rsidR="00065EA3" w:rsidRPr="007F5D82" w:rsidRDefault="00065EA3" w:rsidP="00065EA3">
            <w:pPr>
              <w:spacing w:before="40" w:after="40"/>
              <w:jc w:val="center"/>
              <w:rPr>
                <w:rFonts w:cs="Arial"/>
                <w:color w:val="000000"/>
                <w:sz w:val="20"/>
                <w:szCs w:val="20"/>
              </w:rPr>
            </w:pPr>
            <w:r w:rsidRPr="00BD763C">
              <w:rPr>
                <w:color w:val="000000"/>
                <w:szCs w:val="20"/>
              </w:rPr>
              <w:t>1.04</w:t>
            </w:r>
          </w:p>
        </w:tc>
        <w:tc>
          <w:tcPr>
            <w:tcW w:w="894" w:type="dxa"/>
            <w:tcBorders>
              <w:top w:val="double" w:sz="4" w:space="0" w:color="auto"/>
            </w:tcBorders>
            <w:vAlign w:val="center"/>
          </w:tcPr>
          <w:p w14:paraId="48B8F592" w14:textId="25EC5A14" w:rsidR="00065EA3" w:rsidRPr="007F5D82" w:rsidRDefault="00065EA3" w:rsidP="00065EA3">
            <w:pPr>
              <w:spacing w:before="40" w:after="40"/>
              <w:jc w:val="center"/>
              <w:rPr>
                <w:rFonts w:cs="Arial"/>
                <w:color w:val="000000"/>
                <w:sz w:val="20"/>
                <w:szCs w:val="20"/>
              </w:rPr>
            </w:pPr>
            <w:r w:rsidRPr="00BD763C">
              <w:rPr>
                <w:color w:val="000000"/>
                <w:szCs w:val="20"/>
              </w:rPr>
              <w:t>1.02</w:t>
            </w:r>
          </w:p>
        </w:tc>
        <w:tc>
          <w:tcPr>
            <w:tcW w:w="894" w:type="dxa"/>
            <w:tcBorders>
              <w:top w:val="double" w:sz="4" w:space="0" w:color="auto"/>
            </w:tcBorders>
            <w:vAlign w:val="center"/>
          </w:tcPr>
          <w:p w14:paraId="7AB1CDDC" w14:textId="774878F8" w:rsidR="00065EA3" w:rsidRPr="007F5D82" w:rsidRDefault="00065EA3" w:rsidP="00065EA3">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vAlign w:val="center"/>
          </w:tcPr>
          <w:p w14:paraId="12335960" w14:textId="3255BBC7" w:rsidR="00065EA3" w:rsidRPr="007F5D82" w:rsidRDefault="00065EA3" w:rsidP="00065EA3">
            <w:pPr>
              <w:spacing w:before="40" w:after="40"/>
              <w:jc w:val="center"/>
              <w:rPr>
                <w:rFonts w:cs="Arial"/>
                <w:color w:val="000000"/>
                <w:sz w:val="20"/>
                <w:szCs w:val="20"/>
              </w:rPr>
            </w:pPr>
            <w:r w:rsidRPr="00BD763C">
              <w:rPr>
                <w:color w:val="000000"/>
                <w:szCs w:val="20"/>
              </w:rPr>
              <w:t>1.00</w:t>
            </w:r>
          </w:p>
        </w:tc>
      </w:tr>
      <w:tr w:rsidR="00065EA3" w:rsidRPr="00416C2F" w14:paraId="0C9B6B08" w14:textId="77777777" w:rsidTr="00ED1FA9">
        <w:tc>
          <w:tcPr>
            <w:tcW w:w="615" w:type="dxa"/>
            <w:vMerge/>
            <w:vAlign w:val="center"/>
          </w:tcPr>
          <w:p w14:paraId="14719F67" w14:textId="77777777" w:rsidR="00065EA3" w:rsidRPr="007F5D82" w:rsidRDefault="00065EA3" w:rsidP="00065EA3">
            <w:pPr>
              <w:spacing w:before="40" w:after="40"/>
              <w:jc w:val="center"/>
              <w:rPr>
                <w:rFonts w:cs="Arial"/>
                <w:color w:val="000000"/>
                <w:sz w:val="20"/>
                <w:szCs w:val="20"/>
              </w:rPr>
            </w:pPr>
          </w:p>
        </w:tc>
        <w:tc>
          <w:tcPr>
            <w:tcW w:w="615" w:type="dxa"/>
            <w:vMerge/>
            <w:vAlign w:val="center"/>
          </w:tcPr>
          <w:p w14:paraId="65FCF4BA" w14:textId="77777777" w:rsidR="00065EA3" w:rsidRPr="00337C3E" w:rsidRDefault="00065EA3" w:rsidP="00065EA3">
            <w:pPr>
              <w:spacing w:before="40" w:after="40"/>
              <w:jc w:val="center"/>
              <w:rPr>
                <w:rFonts w:cs="Arial"/>
                <w:color w:val="000000"/>
                <w:sz w:val="20"/>
                <w:szCs w:val="20"/>
              </w:rPr>
            </w:pPr>
          </w:p>
        </w:tc>
        <w:tc>
          <w:tcPr>
            <w:tcW w:w="616" w:type="dxa"/>
            <w:tcBorders>
              <w:right w:val="double" w:sz="4" w:space="0" w:color="auto"/>
            </w:tcBorders>
            <w:vAlign w:val="center"/>
          </w:tcPr>
          <w:p w14:paraId="34457A42" w14:textId="77777777" w:rsidR="00065EA3" w:rsidRPr="007F5D82" w:rsidRDefault="00065EA3" w:rsidP="00065EA3">
            <w:pPr>
              <w:spacing w:before="40" w:after="40"/>
              <w:jc w:val="center"/>
              <w:rPr>
                <w:rFonts w:cs="Arial"/>
                <w:color w:val="000000"/>
                <w:sz w:val="20"/>
                <w:szCs w:val="20"/>
              </w:rPr>
            </w:pPr>
            <w:r w:rsidRPr="00BD763C">
              <w:rPr>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68700506" w14:textId="77777777" w:rsidR="00065EA3" w:rsidRPr="007F5D82" w:rsidRDefault="00065EA3" w:rsidP="00065EA3">
            <w:pPr>
              <w:spacing w:before="40" w:after="40"/>
              <w:jc w:val="center"/>
              <w:rPr>
                <w:rFonts w:cs="Arial"/>
                <w:color w:val="000000"/>
                <w:sz w:val="20"/>
                <w:szCs w:val="20"/>
              </w:rPr>
            </w:pPr>
          </w:p>
        </w:tc>
        <w:tc>
          <w:tcPr>
            <w:tcW w:w="995" w:type="dxa"/>
            <w:tcBorders>
              <w:left w:val="double" w:sz="4" w:space="0" w:color="auto"/>
            </w:tcBorders>
            <w:vAlign w:val="center"/>
          </w:tcPr>
          <w:p w14:paraId="2C7DA939" w14:textId="1E119A89"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vAlign w:val="center"/>
          </w:tcPr>
          <w:p w14:paraId="6BD1B4B7" w14:textId="24623A0F"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vAlign w:val="center"/>
          </w:tcPr>
          <w:p w14:paraId="670EB57B" w14:textId="675A2571"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vAlign w:val="center"/>
          </w:tcPr>
          <w:p w14:paraId="3A552A31" w14:textId="085B51A5"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vAlign w:val="center"/>
          </w:tcPr>
          <w:p w14:paraId="704072F6" w14:textId="3257E881" w:rsidR="00065EA3" w:rsidRPr="007F5D82" w:rsidRDefault="00065EA3" w:rsidP="00065EA3">
            <w:pPr>
              <w:spacing w:before="40" w:after="40"/>
              <w:jc w:val="center"/>
              <w:rPr>
                <w:rFonts w:cs="Arial"/>
                <w:color w:val="000000"/>
                <w:sz w:val="20"/>
                <w:szCs w:val="20"/>
              </w:rPr>
            </w:pPr>
            <w:r w:rsidRPr="00BD763C">
              <w:rPr>
                <w:color w:val="000000"/>
                <w:szCs w:val="20"/>
              </w:rPr>
              <w:t>1.04</w:t>
            </w:r>
          </w:p>
        </w:tc>
        <w:tc>
          <w:tcPr>
            <w:tcW w:w="894" w:type="dxa"/>
            <w:vAlign w:val="center"/>
          </w:tcPr>
          <w:p w14:paraId="73874D69" w14:textId="717F743A" w:rsidR="00065EA3" w:rsidRPr="007F5D82" w:rsidRDefault="00065EA3" w:rsidP="00065EA3">
            <w:pPr>
              <w:spacing w:before="40" w:after="40"/>
              <w:jc w:val="center"/>
              <w:rPr>
                <w:rFonts w:cs="Arial"/>
                <w:color w:val="000000"/>
                <w:sz w:val="20"/>
                <w:szCs w:val="20"/>
              </w:rPr>
            </w:pPr>
            <w:r w:rsidRPr="00BD763C">
              <w:rPr>
                <w:color w:val="000000"/>
                <w:szCs w:val="20"/>
              </w:rPr>
              <w:t>1.08</w:t>
            </w:r>
          </w:p>
        </w:tc>
        <w:tc>
          <w:tcPr>
            <w:tcW w:w="894" w:type="dxa"/>
            <w:vAlign w:val="center"/>
          </w:tcPr>
          <w:p w14:paraId="28B1B3B3" w14:textId="419ACD55"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vAlign w:val="center"/>
          </w:tcPr>
          <w:p w14:paraId="4447ABED" w14:textId="6AC3FDE2" w:rsidR="00065EA3" w:rsidRPr="007F5D82" w:rsidRDefault="00065EA3" w:rsidP="00065EA3">
            <w:pPr>
              <w:spacing w:before="40" w:after="40"/>
              <w:jc w:val="center"/>
              <w:rPr>
                <w:rFonts w:cs="Arial"/>
                <w:color w:val="000000"/>
                <w:sz w:val="20"/>
                <w:szCs w:val="20"/>
              </w:rPr>
            </w:pPr>
            <w:r w:rsidRPr="00BD763C">
              <w:rPr>
                <w:color w:val="000000"/>
                <w:szCs w:val="20"/>
              </w:rPr>
              <w:t>1.08</w:t>
            </w:r>
          </w:p>
        </w:tc>
      </w:tr>
      <w:tr w:rsidR="00065EA3" w:rsidRPr="00416C2F" w14:paraId="2B1C9408" w14:textId="77777777" w:rsidTr="00ED1FA9">
        <w:tc>
          <w:tcPr>
            <w:tcW w:w="615" w:type="dxa"/>
            <w:vMerge/>
            <w:tcBorders>
              <w:bottom w:val="double" w:sz="4" w:space="0" w:color="auto"/>
            </w:tcBorders>
            <w:vAlign w:val="center"/>
          </w:tcPr>
          <w:p w14:paraId="4165D3C5" w14:textId="77777777" w:rsidR="00065EA3" w:rsidRPr="007F5D82" w:rsidRDefault="00065EA3" w:rsidP="00065EA3">
            <w:pPr>
              <w:spacing w:before="40" w:after="40"/>
              <w:jc w:val="center"/>
              <w:rPr>
                <w:rFonts w:cs="Arial"/>
                <w:color w:val="000000"/>
                <w:sz w:val="20"/>
                <w:szCs w:val="20"/>
              </w:rPr>
            </w:pPr>
          </w:p>
        </w:tc>
        <w:tc>
          <w:tcPr>
            <w:tcW w:w="615" w:type="dxa"/>
            <w:vMerge/>
            <w:tcBorders>
              <w:bottom w:val="double" w:sz="4" w:space="0" w:color="auto"/>
            </w:tcBorders>
            <w:vAlign w:val="center"/>
          </w:tcPr>
          <w:p w14:paraId="7A79F971" w14:textId="77777777" w:rsidR="00065EA3" w:rsidRPr="00337C3E" w:rsidRDefault="00065EA3" w:rsidP="00065EA3">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34634BD4" w14:textId="77777777" w:rsidR="00065EA3" w:rsidRPr="007F5D82" w:rsidRDefault="00065EA3" w:rsidP="00065EA3">
            <w:pPr>
              <w:spacing w:before="40" w:after="40"/>
              <w:jc w:val="center"/>
              <w:rPr>
                <w:rFonts w:cs="Arial"/>
                <w:color w:val="000000"/>
                <w:sz w:val="20"/>
                <w:szCs w:val="20"/>
              </w:rPr>
            </w:pPr>
            <w:r w:rsidRPr="00BD763C">
              <w:rPr>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6060CD85" w14:textId="77777777" w:rsidR="00065EA3" w:rsidRPr="007F5D82" w:rsidRDefault="00065EA3" w:rsidP="00065EA3">
            <w:pPr>
              <w:spacing w:before="40" w:after="40"/>
              <w:jc w:val="center"/>
              <w:rPr>
                <w:rFonts w:cs="Arial"/>
                <w:color w:val="000000"/>
                <w:sz w:val="20"/>
                <w:szCs w:val="20"/>
              </w:rPr>
            </w:pPr>
          </w:p>
        </w:tc>
        <w:tc>
          <w:tcPr>
            <w:tcW w:w="995" w:type="dxa"/>
            <w:tcBorders>
              <w:left w:val="double" w:sz="4" w:space="0" w:color="auto"/>
              <w:bottom w:val="double" w:sz="4" w:space="0" w:color="auto"/>
            </w:tcBorders>
            <w:vAlign w:val="center"/>
          </w:tcPr>
          <w:p w14:paraId="7CB9486C" w14:textId="7BEFB64B" w:rsidR="00065EA3" w:rsidRPr="007F5D82" w:rsidRDefault="00065EA3" w:rsidP="00065EA3">
            <w:pPr>
              <w:spacing w:before="40" w:after="40"/>
              <w:jc w:val="center"/>
              <w:rPr>
                <w:rFonts w:cs="Arial"/>
                <w:color w:val="000000"/>
                <w:sz w:val="20"/>
                <w:szCs w:val="20"/>
              </w:rPr>
            </w:pPr>
            <w:r w:rsidRPr="00BD763C">
              <w:rPr>
                <w:color w:val="000000"/>
                <w:szCs w:val="20"/>
              </w:rPr>
              <w:t>1.19</w:t>
            </w:r>
          </w:p>
        </w:tc>
        <w:tc>
          <w:tcPr>
            <w:tcW w:w="894" w:type="dxa"/>
            <w:tcBorders>
              <w:bottom w:val="double" w:sz="4" w:space="0" w:color="auto"/>
            </w:tcBorders>
            <w:vAlign w:val="center"/>
          </w:tcPr>
          <w:p w14:paraId="6B1C40A8" w14:textId="36314A5E" w:rsidR="00065EA3" w:rsidRPr="007F5D82" w:rsidRDefault="00065EA3" w:rsidP="00065EA3">
            <w:pPr>
              <w:spacing w:before="40" w:after="40"/>
              <w:jc w:val="center"/>
              <w:rPr>
                <w:rFonts w:cs="Arial"/>
                <w:color w:val="000000"/>
                <w:sz w:val="20"/>
                <w:szCs w:val="20"/>
              </w:rPr>
            </w:pPr>
            <w:r w:rsidRPr="00BD763C">
              <w:rPr>
                <w:color w:val="000000"/>
                <w:szCs w:val="20"/>
              </w:rPr>
              <w:t>1.18</w:t>
            </w:r>
          </w:p>
        </w:tc>
        <w:tc>
          <w:tcPr>
            <w:tcW w:w="894" w:type="dxa"/>
            <w:tcBorders>
              <w:bottom w:val="double" w:sz="4" w:space="0" w:color="auto"/>
            </w:tcBorders>
            <w:vAlign w:val="center"/>
          </w:tcPr>
          <w:p w14:paraId="35E95CC0" w14:textId="1BFEBA03" w:rsidR="00065EA3" w:rsidRPr="007F5D82" w:rsidRDefault="00065EA3" w:rsidP="00065EA3">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vAlign w:val="center"/>
          </w:tcPr>
          <w:p w14:paraId="549804FF" w14:textId="1632D1F8" w:rsidR="00065EA3" w:rsidRPr="007F5D82" w:rsidRDefault="00065EA3" w:rsidP="00065EA3">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vAlign w:val="center"/>
          </w:tcPr>
          <w:p w14:paraId="67047CE8" w14:textId="36ADD882" w:rsidR="00065EA3" w:rsidRPr="007F5D82" w:rsidRDefault="00065EA3" w:rsidP="00065EA3">
            <w:pPr>
              <w:spacing w:before="40" w:after="40"/>
              <w:jc w:val="center"/>
              <w:rPr>
                <w:rFonts w:cs="Arial"/>
                <w:color w:val="000000"/>
                <w:sz w:val="20"/>
                <w:szCs w:val="20"/>
              </w:rPr>
            </w:pPr>
            <w:r w:rsidRPr="00BD763C">
              <w:rPr>
                <w:color w:val="000000"/>
                <w:szCs w:val="20"/>
              </w:rPr>
              <w:t>1.19</w:t>
            </w:r>
          </w:p>
        </w:tc>
        <w:tc>
          <w:tcPr>
            <w:tcW w:w="894" w:type="dxa"/>
            <w:tcBorders>
              <w:bottom w:val="double" w:sz="4" w:space="0" w:color="auto"/>
            </w:tcBorders>
            <w:vAlign w:val="center"/>
          </w:tcPr>
          <w:p w14:paraId="3238BB0E" w14:textId="4657BCA8" w:rsidR="00065EA3" w:rsidRPr="007F5D82" w:rsidRDefault="00065EA3" w:rsidP="00065EA3">
            <w:pPr>
              <w:spacing w:before="40" w:after="40"/>
              <w:jc w:val="center"/>
              <w:rPr>
                <w:rFonts w:cs="Arial"/>
                <w:color w:val="000000"/>
                <w:sz w:val="20"/>
                <w:szCs w:val="20"/>
              </w:rPr>
            </w:pPr>
            <w:r w:rsidRPr="00BD763C">
              <w:rPr>
                <w:color w:val="000000"/>
                <w:szCs w:val="20"/>
              </w:rPr>
              <w:t>1.19</w:t>
            </w:r>
          </w:p>
        </w:tc>
        <w:tc>
          <w:tcPr>
            <w:tcW w:w="894" w:type="dxa"/>
            <w:tcBorders>
              <w:bottom w:val="double" w:sz="4" w:space="0" w:color="auto"/>
            </w:tcBorders>
            <w:vAlign w:val="center"/>
          </w:tcPr>
          <w:p w14:paraId="456CDBB5" w14:textId="2EED532C" w:rsidR="00065EA3" w:rsidRPr="007F5D82" w:rsidRDefault="00065EA3" w:rsidP="00065EA3">
            <w:pPr>
              <w:spacing w:before="40" w:after="40"/>
              <w:jc w:val="center"/>
              <w:rPr>
                <w:rFonts w:cs="Arial"/>
                <w:color w:val="000000"/>
                <w:sz w:val="20"/>
                <w:szCs w:val="20"/>
              </w:rPr>
            </w:pPr>
            <w:r w:rsidRPr="00BD763C">
              <w:rPr>
                <w:color w:val="000000"/>
                <w:szCs w:val="20"/>
              </w:rPr>
              <w:t>1.18</w:t>
            </w:r>
          </w:p>
        </w:tc>
        <w:tc>
          <w:tcPr>
            <w:tcW w:w="894" w:type="dxa"/>
            <w:tcBorders>
              <w:bottom w:val="double" w:sz="4" w:space="0" w:color="auto"/>
            </w:tcBorders>
            <w:vAlign w:val="center"/>
          </w:tcPr>
          <w:p w14:paraId="7C357D80" w14:textId="619C862A" w:rsidR="00065EA3" w:rsidRPr="007F5D82" w:rsidRDefault="00065EA3" w:rsidP="00065EA3">
            <w:pPr>
              <w:spacing w:before="40" w:after="40"/>
              <w:jc w:val="center"/>
              <w:rPr>
                <w:rFonts w:cs="Arial"/>
                <w:color w:val="000000"/>
                <w:sz w:val="20"/>
                <w:szCs w:val="20"/>
              </w:rPr>
            </w:pPr>
            <w:r w:rsidRPr="00BD763C">
              <w:rPr>
                <w:color w:val="000000"/>
                <w:szCs w:val="20"/>
              </w:rPr>
              <w:t>1.17</w:t>
            </w:r>
          </w:p>
        </w:tc>
      </w:tr>
      <w:tr w:rsidR="00065EA3" w:rsidRPr="00416C2F" w14:paraId="2A14927C" w14:textId="77777777" w:rsidTr="00ED1FA9">
        <w:tc>
          <w:tcPr>
            <w:tcW w:w="615" w:type="dxa"/>
            <w:vMerge w:val="restart"/>
            <w:tcBorders>
              <w:top w:val="double" w:sz="4" w:space="0" w:color="auto"/>
            </w:tcBorders>
            <w:vAlign w:val="center"/>
          </w:tcPr>
          <w:p w14:paraId="0267CC8E" w14:textId="77777777" w:rsidR="00065EA3" w:rsidRPr="007F5D82" w:rsidRDefault="00065EA3" w:rsidP="00065EA3">
            <w:pPr>
              <w:spacing w:before="40" w:after="40"/>
              <w:jc w:val="center"/>
              <w:rPr>
                <w:rFonts w:cs="Arial"/>
                <w:color w:val="000000"/>
                <w:sz w:val="20"/>
                <w:szCs w:val="20"/>
              </w:rPr>
            </w:pPr>
            <w:r w:rsidRPr="00BD763C">
              <w:rPr>
                <w:szCs w:val="20"/>
              </w:rPr>
              <w:t>64</w:t>
            </w:r>
          </w:p>
        </w:tc>
        <w:tc>
          <w:tcPr>
            <w:tcW w:w="615" w:type="dxa"/>
            <w:vMerge w:val="restart"/>
            <w:tcBorders>
              <w:top w:val="double" w:sz="4" w:space="0" w:color="auto"/>
            </w:tcBorders>
            <w:vAlign w:val="center"/>
          </w:tcPr>
          <w:p w14:paraId="631F084D" w14:textId="77777777" w:rsidR="00065EA3" w:rsidRPr="00337C3E" w:rsidRDefault="00065EA3" w:rsidP="00065EA3">
            <w:pPr>
              <w:spacing w:before="40" w:after="40"/>
              <w:jc w:val="center"/>
              <w:rPr>
                <w:rFonts w:cs="Arial"/>
                <w:color w:val="000000"/>
                <w:sz w:val="20"/>
                <w:szCs w:val="20"/>
              </w:rPr>
            </w:pPr>
            <w:r w:rsidRPr="00BD763C">
              <w:rPr>
                <w:szCs w:val="20"/>
              </w:rPr>
              <w:t>16</w:t>
            </w:r>
          </w:p>
        </w:tc>
        <w:tc>
          <w:tcPr>
            <w:tcW w:w="616" w:type="dxa"/>
            <w:tcBorders>
              <w:top w:val="double" w:sz="4" w:space="0" w:color="auto"/>
              <w:right w:val="double" w:sz="4" w:space="0" w:color="auto"/>
            </w:tcBorders>
            <w:vAlign w:val="center"/>
          </w:tcPr>
          <w:p w14:paraId="388E4BF7" w14:textId="77777777" w:rsidR="00065EA3" w:rsidRPr="007F5D82" w:rsidRDefault="00065EA3" w:rsidP="00065EA3">
            <w:pPr>
              <w:spacing w:before="40" w:after="40"/>
              <w:jc w:val="center"/>
              <w:rPr>
                <w:rFonts w:cs="Arial"/>
                <w:color w:val="000000"/>
                <w:sz w:val="20"/>
                <w:szCs w:val="20"/>
              </w:rPr>
            </w:pPr>
            <w:r w:rsidRPr="00BD763C">
              <w:rPr>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460512FB" w14:textId="3DB37E8C" w:rsidR="00065EA3" w:rsidRPr="007F5D82" w:rsidRDefault="00065EA3" w:rsidP="00065EA3">
            <w:pPr>
              <w:spacing w:before="40" w:after="40"/>
              <w:jc w:val="center"/>
              <w:rPr>
                <w:rFonts w:cs="Arial"/>
                <w:color w:val="000000"/>
                <w:sz w:val="20"/>
                <w:szCs w:val="20"/>
              </w:rPr>
            </w:pPr>
            <w:r w:rsidRPr="00BD763C">
              <w:rPr>
                <w:rFonts w:cs="Arial"/>
                <w:color w:val="000000"/>
                <w:szCs w:val="20"/>
              </w:rPr>
              <w:t>1.0</w:t>
            </w:r>
            <w:r w:rsidR="003D75D2">
              <w:rPr>
                <w:rFonts w:cs="Arial"/>
                <w:color w:val="000000"/>
                <w:szCs w:val="20"/>
              </w:rPr>
              <w:t>7</w:t>
            </w:r>
          </w:p>
        </w:tc>
        <w:tc>
          <w:tcPr>
            <w:tcW w:w="995" w:type="dxa"/>
            <w:tcBorders>
              <w:top w:val="double" w:sz="4" w:space="0" w:color="auto"/>
              <w:left w:val="double" w:sz="4" w:space="0" w:color="auto"/>
            </w:tcBorders>
            <w:vAlign w:val="center"/>
          </w:tcPr>
          <w:p w14:paraId="4BB5EF44" w14:textId="4CD3E887"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vAlign w:val="center"/>
          </w:tcPr>
          <w:p w14:paraId="1DA8D381" w14:textId="788C52C3" w:rsidR="00065EA3" w:rsidRPr="007F5D82" w:rsidRDefault="00065EA3" w:rsidP="00065EA3">
            <w:pPr>
              <w:spacing w:before="40" w:after="40"/>
              <w:jc w:val="center"/>
              <w:rPr>
                <w:rFonts w:cs="Arial"/>
                <w:color w:val="000000"/>
                <w:sz w:val="20"/>
                <w:szCs w:val="20"/>
              </w:rPr>
            </w:pPr>
            <w:r w:rsidRPr="00BD763C">
              <w:rPr>
                <w:color w:val="000000"/>
                <w:szCs w:val="20"/>
              </w:rPr>
              <w:t>1.10</w:t>
            </w:r>
          </w:p>
        </w:tc>
        <w:tc>
          <w:tcPr>
            <w:tcW w:w="894" w:type="dxa"/>
            <w:tcBorders>
              <w:top w:val="double" w:sz="4" w:space="0" w:color="auto"/>
            </w:tcBorders>
            <w:vAlign w:val="center"/>
          </w:tcPr>
          <w:p w14:paraId="70C6C07F" w14:textId="3A500D3C"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vAlign w:val="center"/>
          </w:tcPr>
          <w:p w14:paraId="13D3B0AA" w14:textId="2C187D28"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vAlign w:val="center"/>
          </w:tcPr>
          <w:p w14:paraId="3B2D2C38" w14:textId="42863083" w:rsidR="00065EA3" w:rsidRPr="007F5D82" w:rsidRDefault="00065EA3" w:rsidP="00065EA3">
            <w:pPr>
              <w:spacing w:before="40" w:after="40"/>
              <w:jc w:val="center"/>
              <w:rPr>
                <w:rFonts w:cs="Arial"/>
                <w:color w:val="000000"/>
                <w:sz w:val="20"/>
                <w:szCs w:val="20"/>
              </w:rPr>
            </w:pPr>
            <w:r w:rsidRPr="00BD763C">
              <w:rPr>
                <w:color w:val="000000"/>
                <w:szCs w:val="20"/>
              </w:rPr>
              <w:t>1.10</w:t>
            </w:r>
          </w:p>
        </w:tc>
        <w:tc>
          <w:tcPr>
            <w:tcW w:w="894" w:type="dxa"/>
            <w:tcBorders>
              <w:top w:val="double" w:sz="4" w:space="0" w:color="auto"/>
            </w:tcBorders>
            <w:vAlign w:val="center"/>
          </w:tcPr>
          <w:p w14:paraId="4F063E9A" w14:textId="30FFE848"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tcBorders>
              <w:top w:val="double" w:sz="4" w:space="0" w:color="auto"/>
            </w:tcBorders>
            <w:vAlign w:val="center"/>
          </w:tcPr>
          <w:p w14:paraId="3D9C871E" w14:textId="647EF210"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vAlign w:val="center"/>
          </w:tcPr>
          <w:p w14:paraId="38F85653" w14:textId="75193CD5" w:rsidR="00065EA3" w:rsidRPr="007F5D82" w:rsidRDefault="00065EA3" w:rsidP="00065EA3">
            <w:pPr>
              <w:spacing w:before="40" w:after="40"/>
              <w:jc w:val="center"/>
              <w:rPr>
                <w:rFonts w:cs="Arial"/>
                <w:color w:val="000000"/>
                <w:sz w:val="20"/>
                <w:szCs w:val="20"/>
              </w:rPr>
            </w:pPr>
            <w:r w:rsidRPr="00BD763C">
              <w:rPr>
                <w:color w:val="000000"/>
                <w:szCs w:val="20"/>
              </w:rPr>
              <w:t>1.09</w:t>
            </w:r>
          </w:p>
        </w:tc>
      </w:tr>
      <w:tr w:rsidR="00065EA3" w:rsidRPr="00416C2F" w14:paraId="384A9216" w14:textId="77777777" w:rsidTr="00ED1FA9">
        <w:tc>
          <w:tcPr>
            <w:tcW w:w="615" w:type="dxa"/>
            <w:vMerge/>
            <w:tcBorders>
              <w:bottom w:val="double" w:sz="4" w:space="0" w:color="auto"/>
            </w:tcBorders>
            <w:vAlign w:val="center"/>
          </w:tcPr>
          <w:p w14:paraId="72445AD6" w14:textId="77777777" w:rsidR="00065EA3" w:rsidRPr="007F5D82" w:rsidRDefault="00065EA3" w:rsidP="00065EA3">
            <w:pPr>
              <w:spacing w:before="40" w:after="40"/>
              <w:jc w:val="center"/>
              <w:rPr>
                <w:rFonts w:cs="Arial"/>
                <w:color w:val="000000"/>
                <w:sz w:val="20"/>
                <w:szCs w:val="20"/>
              </w:rPr>
            </w:pPr>
          </w:p>
        </w:tc>
        <w:tc>
          <w:tcPr>
            <w:tcW w:w="615" w:type="dxa"/>
            <w:vMerge/>
            <w:tcBorders>
              <w:bottom w:val="double" w:sz="4" w:space="0" w:color="auto"/>
            </w:tcBorders>
            <w:vAlign w:val="center"/>
          </w:tcPr>
          <w:p w14:paraId="435DC1FF" w14:textId="77777777" w:rsidR="00065EA3" w:rsidRPr="00337C3E" w:rsidRDefault="00065EA3" w:rsidP="00065EA3">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7EE83005" w14:textId="77777777" w:rsidR="00065EA3" w:rsidRPr="007F5D82" w:rsidRDefault="00065EA3" w:rsidP="00065EA3">
            <w:pPr>
              <w:spacing w:before="40" w:after="40"/>
              <w:jc w:val="center"/>
              <w:rPr>
                <w:rFonts w:cs="Arial"/>
                <w:color w:val="000000"/>
                <w:sz w:val="20"/>
                <w:szCs w:val="20"/>
              </w:rPr>
            </w:pPr>
            <w:r w:rsidRPr="00BD763C">
              <w:rPr>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2C872E99" w14:textId="77777777" w:rsidR="00065EA3" w:rsidRPr="007F5D82" w:rsidRDefault="00065EA3" w:rsidP="00065EA3">
            <w:pPr>
              <w:spacing w:before="40" w:after="40"/>
              <w:jc w:val="center"/>
              <w:rPr>
                <w:rFonts w:cs="Arial"/>
                <w:color w:val="000000"/>
                <w:sz w:val="20"/>
                <w:szCs w:val="20"/>
              </w:rPr>
            </w:pPr>
          </w:p>
        </w:tc>
        <w:tc>
          <w:tcPr>
            <w:tcW w:w="995" w:type="dxa"/>
            <w:tcBorders>
              <w:left w:val="double" w:sz="4" w:space="0" w:color="auto"/>
              <w:bottom w:val="double" w:sz="4" w:space="0" w:color="auto"/>
            </w:tcBorders>
            <w:vAlign w:val="center"/>
          </w:tcPr>
          <w:p w14:paraId="591363F2" w14:textId="643F9C3B" w:rsidR="00065EA3" w:rsidRPr="007F5D82" w:rsidRDefault="00065EA3" w:rsidP="00065EA3">
            <w:pPr>
              <w:spacing w:before="40" w:after="40"/>
              <w:jc w:val="center"/>
              <w:rPr>
                <w:rFonts w:cs="Arial"/>
                <w:color w:val="000000"/>
                <w:sz w:val="20"/>
                <w:szCs w:val="20"/>
              </w:rPr>
            </w:pPr>
            <w:r w:rsidRPr="00BD763C">
              <w:rPr>
                <w:color w:val="000000"/>
                <w:szCs w:val="20"/>
              </w:rPr>
              <w:t>1.22</w:t>
            </w:r>
          </w:p>
        </w:tc>
        <w:tc>
          <w:tcPr>
            <w:tcW w:w="894" w:type="dxa"/>
            <w:tcBorders>
              <w:bottom w:val="double" w:sz="4" w:space="0" w:color="auto"/>
            </w:tcBorders>
            <w:vAlign w:val="center"/>
          </w:tcPr>
          <w:p w14:paraId="57EE15E0" w14:textId="77597027" w:rsidR="00065EA3" w:rsidRPr="007F5D82" w:rsidRDefault="00065EA3" w:rsidP="00065EA3">
            <w:pPr>
              <w:spacing w:before="40" w:after="40"/>
              <w:jc w:val="center"/>
              <w:rPr>
                <w:rFonts w:cs="Arial"/>
                <w:color w:val="000000"/>
                <w:sz w:val="20"/>
                <w:szCs w:val="20"/>
              </w:rPr>
            </w:pPr>
            <w:r w:rsidRPr="00BD763C">
              <w:rPr>
                <w:color w:val="000000"/>
                <w:szCs w:val="20"/>
              </w:rPr>
              <w:t>1.23</w:t>
            </w:r>
          </w:p>
        </w:tc>
        <w:tc>
          <w:tcPr>
            <w:tcW w:w="894" w:type="dxa"/>
            <w:tcBorders>
              <w:bottom w:val="double" w:sz="4" w:space="0" w:color="auto"/>
            </w:tcBorders>
            <w:vAlign w:val="center"/>
          </w:tcPr>
          <w:p w14:paraId="63CA1FD8" w14:textId="3D307783" w:rsidR="00065EA3" w:rsidRPr="007F5D82" w:rsidRDefault="00065EA3" w:rsidP="00065EA3">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vAlign w:val="center"/>
          </w:tcPr>
          <w:p w14:paraId="5C3489C4" w14:textId="0765B36F" w:rsidR="00065EA3" w:rsidRPr="007F5D82" w:rsidRDefault="00065EA3" w:rsidP="00065EA3">
            <w:pPr>
              <w:spacing w:before="40" w:after="40"/>
              <w:jc w:val="center"/>
              <w:rPr>
                <w:rFonts w:cs="Arial"/>
                <w:color w:val="000000"/>
                <w:sz w:val="20"/>
                <w:szCs w:val="20"/>
              </w:rPr>
            </w:pPr>
            <w:r w:rsidRPr="00BD763C">
              <w:rPr>
                <w:color w:val="000000"/>
                <w:szCs w:val="20"/>
              </w:rPr>
              <w:t>1.25</w:t>
            </w:r>
          </w:p>
        </w:tc>
        <w:tc>
          <w:tcPr>
            <w:tcW w:w="894" w:type="dxa"/>
            <w:tcBorders>
              <w:bottom w:val="double" w:sz="4" w:space="0" w:color="auto"/>
            </w:tcBorders>
            <w:vAlign w:val="center"/>
          </w:tcPr>
          <w:p w14:paraId="66961E69" w14:textId="63A170CE" w:rsidR="00065EA3" w:rsidRPr="007F5D82" w:rsidRDefault="00065EA3" w:rsidP="00065EA3">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vAlign w:val="center"/>
          </w:tcPr>
          <w:p w14:paraId="281985CD" w14:textId="4371739D" w:rsidR="00065EA3" w:rsidRPr="007F5D82" w:rsidRDefault="00065EA3" w:rsidP="00065EA3">
            <w:pPr>
              <w:spacing w:before="40" w:after="40"/>
              <w:jc w:val="center"/>
              <w:rPr>
                <w:rFonts w:cs="Arial"/>
                <w:color w:val="000000"/>
                <w:sz w:val="20"/>
                <w:szCs w:val="20"/>
              </w:rPr>
            </w:pPr>
            <w:r w:rsidRPr="00BD763C">
              <w:rPr>
                <w:color w:val="000000"/>
                <w:szCs w:val="20"/>
              </w:rPr>
              <w:t>1.26</w:t>
            </w:r>
          </w:p>
        </w:tc>
        <w:tc>
          <w:tcPr>
            <w:tcW w:w="894" w:type="dxa"/>
            <w:tcBorders>
              <w:bottom w:val="double" w:sz="4" w:space="0" w:color="auto"/>
            </w:tcBorders>
            <w:vAlign w:val="center"/>
          </w:tcPr>
          <w:p w14:paraId="762ED346" w14:textId="726D33A3" w:rsidR="00065EA3" w:rsidRPr="007F5D82" w:rsidRDefault="00065EA3" w:rsidP="00065EA3">
            <w:pPr>
              <w:spacing w:before="40" w:after="40"/>
              <w:jc w:val="center"/>
              <w:rPr>
                <w:rFonts w:cs="Arial"/>
                <w:color w:val="000000"/>
                <w:sz w:val="20"/>
                <w:szCs w:val="20"/>
              </w:rPr>
            </w:pPr>
            <w:r w:rsidRPr="00BD763C">
              <w:rPr>
                <w:color w:val="000000"/>
                <w:szCs w:val="20"/>
              </w:rPr>
              <w:t>1.21</w:t>
            </w:r>
          </w:p>
        </w:tc>
        <w:tc>
          <w:tcPr>
            <w:tcW w:w="894" w:type="dxa"/>
            <w:tcBorders>
              <w:bottom w:val="double" w:sz="4" w:space="0" w:color="auto"/>
            </w:tcBorders>
            <w:vAlign w:val="center"/>
          </w:tcPr>
          <w:p w14:paraId="7D6C2168" w14:textId="6262D9BE" w:rsidR="00065EA3" w:rsidRPr="007F5D82" w:rsidRDefault="00065EA3" w:rsidP="00065EA3">
            <w:pPr>
              <w:spacing w:before="40" w:after="40"/>
              <w:jc w:val="center"/>
              <w:rPr>
                <w:rFonts w:cs="Arial"/>
                <w:color w:val="000000"/>
                <w:sz w:val="20"/>
                <w:szCs w:val="20"/>
              </w:rPr>
            </w:pPr>
            <w:r w:rsidRPr="00BD763C">
              <w:rPr>
                <w:color w:val="000000"/>
                <w:szCs w:val="20"/>
              </w:rPr>
              <w:t>1.19</w:t>
            </w:r>
          </w:p>
        </w:tc>
      </w:tr>
      <w:tr w:rsidR="00065EA3" w:rsidRPr="00416C2F" w14:paraId="47833EE6" w14:textId="77777777" w:rsidTr="00ED1FA9">
        <w:tc>
          <w:tcPr>
            <w:tcW w:w="615" w:type="dxa"/>
            <w:vMerge w:val="restart"/>
            <w:tcBorders>
              <w:top w:val="double" w:sz="4" w:space="0" w:color="auto"/>
            </w:tcBorders>
            <w:vAlign w:val="center"/>
          </w:tcPr>
          <w:p w14:paraId="1FD320D9" w14:textId="77777777" w:rsidR="00065EA3" w:rsidRPr="007F5D82" w:rsidRDefault="00065EA3" w:rsidP="00065EA3">
            <w:pPr>
              <w:spacing w:before="40" w:after="40"/>
              <w:jc w:val="center"/>
              <w:rPr>
                <w:rFonts w:cs="Arial"/>
                <w:color w:val="000000"/>
                <w:sz w:val="20"/>
                <w:szCs w:val="20"/>
              </w:rPr>
            </w:pPr>
            <w:r w:rsidRPr="00BD763C">
              <w:rPr>
                <w:szCs w:val="20"/>
              </w:rPr>
              <w:t>64</w:t>
            </w:r>
          </w:p>
        </w:tc>
        <w:tc>
          <w:tcPr>
            <w:tcW w:w="615" w:type="dxa"/>
            <w:vMerge w:val="restart"/>
            <w:tcBorders>
              <w:top w:val="double" w:sz="4" w:space="0" w:color="auto"/>
            </w:tcBorders>
            <w:vAlign w:val="center"/>
          </w:tcPr>
          <w:p w14:paraId="019FE9EC" w14:textId="77777777" w:rsidR="00065EA3" w:rsidRPr="00337C3E" w:rsidRDefault="00065EA3" w:rsidP="00065EA3">
            <w:pPr>
              <w:spacing w:before="40" w:after="40"/>
              <w:jc w:val="center"/>
              <w:rPr>
                <w:rFonts w:cs="Arial"/>
                <w:color w:val="000000"/>
                <w:sz w:val="20"/>
                <w:szCs w:val="20"/>
              </w:rPr>
            </w:pPr>
            <w:r w:rsidRPr="00BD763C">
              <w:rPr>
                <w:szCs w:val="20"/>
              </w:rPr>
              <w:t>9</w:t>
            </w:r>
          </w:p>
        </w:tc>
        <w:tc>
          <w:tcPr>
            <w:tcW w:w="616" w:type="dxa"/>
            <w:tcBorders>
              <w:top w:val="double" w:sz="4" w:space="0" w:color="auto"/>
              <w:right w:val="double" w:sz="4" w:space="0" w:color="auto"/>
            </w:tcBorders>
            <w:vAlign w:val="center"/>
          </w:tcPr>
          <w:p w14:paraId="6EDDA1FA" w14:textId="77777777" w:rsidR="00065EA3" w:rsidRPr="007F5D82" w:rsidRDefault="00065EA3" w:rsidP="00065EA3">
            <w:pPr>
              <w:spacing w:before="40" w:after="40"/>
              <w:jc w:val="center"/>
              <w:rPr>
                <w:rFonts w:cs="Arial"/>
                <w:color w:val="000000"/>
                <w:sz w:val="20"/>
                <w:szCs w:val="20"/>
              </w:rPr>
            </w:pPr>
            <w:r w:rsidRPr="00BD763C">
              <w:rPr>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479BEA35" w14:textId="77777777" w:rsidR="00065EA3" w:rsidRPr="007F5D82" w:rsidRDefault="00065EA3" w:rsidP="00065EA3">
            <w:pPr>
              <w:spacing w:before="40" w:after="40"/>
              <w:jc w:val="center"/>
              <w:rPr>
                <w:rFonts w:cs="Arial"/>
                <w:color w:val="000000"/>
                <w:sz w:val="20"/>
                <w:szCs w:val="20"/>
              </w:rPr>
            </w:pPr>
            <w:r w:rsidRPr="00BD763C">
              <w:rPr>
                <w:rFonts w:cs="Arial"/>
                <w:color w:val="000000"/>
                <w:szCs w:val="20"/>
              </w:rPr>
              <w:t>1.27</w:t>
            </w:r>
          </w:p>
        </w:tc>
        <w:tc>
          <w:tcPr>
            <w:tcW w:w="995" w:type="dxa"/>
            <w:tcBorders>
              <w:top w:val="double" w:sz="4" w:space="0" w:color="auto"/>
              <w:left w:val="double" w:sz="4" w:space="0" w:color="auto"/>
            </w:tcBorders>
            <w:vAlign w:val="center"/>
          </w:tcPr>
          <w:p w14:paraId="4374D855" w14:textId="05482CA9" w:rsidR="00065EA3" w:rsidRPr="007F5D82" w:rsidRDefault="00065EA3" w:rsidP="00065EA3">
            <w:pPr>
              <w:spacing w:before="40" w:after="40"/>
              <w:jc w:val="center"/>
              <w:rPr>
                <w:rFonts w:cs="Arial"/>
                <w:color w:val="000000"/>
                <w:sz w:val="20"/>
                <w:szCs w:val="20"/>
              </w:rPr>
            </w:pPr>
            <w:r w:rsidRPr="00BD763C">
              <w:rPr>
                <w:color w:val="000000"/>
                <w:szCs w:val="20"/>
              </w:rPr>
              <w:t>1.23</w:t>
            </w:r>
          </w:p>
        </w:tc>
        <w:tc>
          <w:tcPr>
            <w:tcW w:w="894" w:type="dxa"/>
            <w:tcBorders>
              <w:top w:val="double" w:sz="4" w:space="0" w:color="auto"/>
            </w:tcBorders>
            <w:vAlign w:val="center"/>
          </w:tcPr>
          <w:p w14:paraId="749C0FFD" w14:textId="3CE612AE" w:rsidR="00065EA3" w:rsidRPr="007F5D82" w:rsidRDefault="00065EA3" w:rsidP="00065EA3">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vAlign w:val="center"/>
          </w:tcPr>
          <w:p w14:paraId="221E5852" w14:textId="61677B65" w:rsidR="00065EA3" w:rsidRPr="007F5D82" w:rsidRDefault="00065EA3" w:rsidP="00065EA3">
            <w:pPr>
              <w:spacing w:before="40" w:after="40"/>
              <w:jc w:val="center"/>
              <w:rPr>
                <w:rFonts w:cs="Arial"/>
                <w:color w:val="000000"/>
                <w:sz w:val="20"/>
                <w:szCs w:val="20"/>
              </w:rPr>
            </w:pPr>
            <w:r w:rsidRPr="00BD763C">
              <w:rPr>
                <w:color w:val="000000"/>
                <w:szCs w:val="20"/>
              </w:rPr>
              <w:t>1.26</w:t>
            </w:r>
          </w:p>
        </w:tc>
        <w:tc>
          <w:tcPr>
            <w:tcW w:w="894" w:type="dxa"/>
            <w:tcBorders>
              <w:top w:val="double" w:sz="4" w:space="0" w:color="auto"/>
            </w:tcBorders>
            <w:vAlign w:val="center"/>
          </w:tcPr>
          <w:p w14:paraId="012EFB90" w14:textId="59F5B7E4" w:rsidR="00065EA3" w:rsidRPr="007F5D82" w:rsidRDefault="00065EA3" w:rsidP="00065EA3">
            <w:pPr>
              <w:spacing w:before="40" w:after="40"/>
              <w:jc w:val="center"/>
              <w:rPr>
                <w:rFonts w:cs="Arial"/>
                <w:color w:val="000000"/>
                <w:sz w:val="20"/>
                <w:szCs w:val="20"/>
              </w:rPr>
            </w:pPr>
            <w:r w:rsidRPr="00BD763C">
              <w:rPr>
                <w:color w:val="000000"/>
                <w:szCs w:val="20"/>
              </w:rPr>
              <w:t>1.21</w:t>
            </w:r>
          </w:p>
        </w:tc>
        <w:tc>
          <w:tcPr>
            <w:tcW w:w="894" w:type="dxa"/>
            <w:tcBorders>
              <w:top w:val="double" w:sz="4" w:space="0" w:color="auto"/>
            </w:tcBorders>
            <w:vAlign w:val="center"/>
          </w:tcPr>
          <w:p w14:paraId="02757884" w14:textId="429C9CBD" w:rsidR="00065EA3" w:rsidRPr="007F5D82" w:rsidRDefault="00065EA3" w:rsidP="00065EA3">
            <w:pPr>
              <w:spacing w:before="40" w:after="40"/>
              <w:jc w:val="center"/>
              <w:rPr>
                <w:rFonts w:cs="Arial"/>
                <w:color w:val="000000"/>
                <w:sz w:val="20"/>
                <w:szCs w:val="20"/>
              </w:rPr>
            </w:pPr>
            <w:r w:rsidRPr="00BD763C">
              <w:rPr>
                <w:color w:val="000000"/>
                <w:szCs w:val="20"/>
              </w:rPr>
              <w:t>1.21</w:t>
            </w:r>
          </w:p>
        </w:tc>
        <w:tc>
          <w:tcPr>
            <w:tcW w:w="894" w:type="dxa"/>
            <w:tcBorders>
              <w:top w:val="double" w:sz="4" w:space="0" w:color="auto"/>
            </w:tcBorders>
            <w:vAlign w:val="center"/>
          </w:tcPr>
          <w:p w14:paraId="6F9D1214" w14:textId="0D35E29E" w:rsidR="00065EA3" w:rsidRPr="007F5D82" w:rsidRDefault="00065EA3" w:rsidP="00065EA3">
            <w:pPr>
              <w:spacing w:before="40" w:after="40"/>
              <w:jc w:val="center"/>
              <w:rPr>
                <w:rFonts w:cs="Arial"/>
                <w:color w:val="000000"/>
                <w:sz w:val="20"/>
                <w:szCs w:val="20"/>
              </w:rPr>
            </w:pPr>
            <w:r w:rsidRPr="00BD763C">
              <w:rPr>
                <w:color w:val="000000"/>
                <w:szCs w:val="20"/>
              </w:rPr>
              <w:t>1.23</w:t>
            </w:r>
          </w:p>
        </w:tc>
        <w:tc>
          <w:tcPr>
            <w:tcW w:w="894" w:type="dxa"/>
            <w:tcBorders>
              <w:top w:val="double" w:sz="4" w:space="0" w:color="auto"/>
            </w:tcBorders>
            <w:vAlign w:val="center"/>
          </w:tcPr>
          <w:p w14:paraId="77CB8275" w14:textId="674386B6" w:rsidR="00065EA3" w:rsidRPr="007F5D82" w:rsidRDefault="00065EA3" w:rsidP="00065EA3">
            <w:pPr>
              <w:spacing w:before="40" w:after="40"/>
              <w:jc w:val="center"/>
              <w:rPr>
                <w:rFonts w:cs="Arial"/>
                <w:color w:val="000000"/>
                <w:sz w:val="20"/>
                <w:szCs w:val="20"/>
              </w:rPr>
            </w:pPr>
            <w:r w:rsidRPr="00BD763C">
              <w:rPr>
                <w:color w:val="000000"/>
                <w:szCs w:val="20"/>
              </w:rPr>
              <w:t>1.25</w:t>
            </w:r>
          </w:p>
        </w:tc>
        <w:tc>
          <w:tcPr>
            <w:tcW w:w="894" w:type="dxa"/>
            <w:tcBorders>
              <w:top w:val="double" w:sz="4" w:space="0" w:color="auto"/>
            </w:tcBorders>
            <w:vAlign w:val="center"/>
          </w:tcPr>
          <w:p w14:paraId="5558B777" w14:textId="2493E09E" w:rsidR="00065EA3" w:rsidRPr="007F5D82" w:rsidRDefault="00065EA3" w:rsidP="00065EA3">
            <w:pPr>
              <w:spacing w:before="40" w:after="40"/>
              <w:jc w:val="center"/>
              <w:rPr>
                <w:rFonts w:cs="Arial"/>
                <w:color w:val="000000"/>
                <w:sz w:val="20"/>
                <w:szCs w:val="20"/>
              </w:rPr>
            </w:pPr>
            <w:r w:rsidRPr="00BD763C">
              <w:rPr>
                <w:color w:val="000000"/>
                <w:szCs w:val="20"/>
              </w:rPr>
              <w:t>1.22</w:t>
            </w:r>
          </w:p>
        </w:tc>
      </w:tr>
      <w:tr w:rsidR="00065EA3" w:rsidRPr="00416C2F" w14:paraId="622BCBDC" w14:textId="77777777" w:rsidTr="00ED1FA9">
        <w:tc>
          <w:tcPr>
            <w:tcW w:w="615" w:type="dxa"/>
            <w:vMerge/>
            <w:vAlign w:val="center"/>
          </w:tcPr>
          <w:p w14:paraId="1110E243" w14:textId="77777777" w:rsidR="00065EA3" w:rsidRPr="00337C3E" w:rsidRDefault="00065EA3" w:rsidP="00065EA3">
            <w:pPr>
              <w:spacing w:before="40" w:after="40"/>
              <w:jc w:val="center"/>
              <w:rPr>
                <w:rFonts w:cs="Arial"/>
                <w:color w:val="000000"/>
                <w:sz w:val="20"/>
                <w:szCs w:val="20"/>
              </w:rPr>
            </w:pPr>
          </w:p>
        </w:tc>
        <w:tc>
          <w:tcPr>
            <w:tcW w:w="615" w:type="dxa"/>
            <w:vMerge/>
            <w:vAlign w:val="center"/>
          </w:tcPr>
          <w:p w14:paraId="4FC4DC9C" w14:textId="77777777" w:rsidR="00065EA3" w:rsidRPr="00337C3E" w:rsidRDefault="00065EA3" w:rsidP="00065EA3">
            <w:pPr>
              <w:spacing w:before="40" w:after="40"/>
              <w:jc w:val="center"/>
              <w:rPr>
                <w:rFonts w:cs="Arial"/>
                <w:color w:val="000000"/>
                <w:sz w:val="20"/>
                <w:szCs w:val="20"/>
              </w:rPr>
            </w:pPr>
          </w:p>
        </w:tc>
        <w:tc>
          <w:tcPr>
            <w:tcW w:w="616" w:type="dxa"/>
            <w:tcBorders>
              <w:right w:val="double" w:sz="4" w:space="0" w:color="auto"/>
            </w:tcBorders>
            <w:vAlign w:val="center"/>
          </w:tcPr>
          <w:p w14:paraId="4E503652" w14:textId="77777777" w:rsidR="00065EA3" w:rsidRPr="00337C3E" w:rsidRDefault="00065EA3" w:rsidP="00065EA3">
            <w:pPr>
              <w:spacing w:before="40" w:after="40"/>
              <w:jc w:val="center"/>
              <w:rPr>
                <w:rFonts w:cs="Arial"/>
                <w:color w:val="000000"/>
                <w:sz w:val="20"/>
                <w:szCs w:val="20"/>
              </w:rPr>
            </w:pPr>
            <w:r w:rsidRPr="00BD763C">
              <w:rPr>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7640C5F9" w14:textId="77777777" w:rsidR="00065EA3" w:rsidRPr="00337C3E" w:rsidDel="00F86573" w:rsidRDefault="00065EA3" w:rsidP="00065EA3">
            <w:pPr>
              <w:spacing w:before="40" w:after="40"/>
              <w:jc w:val="center"/>
              <w:rPr>
                <w:sz w:val="20"/>
                <w:szCs w:val="20"/>
              </w:rPr>
            </w:pPr>
          </w:p>
        </w:tc>
        <w:tc>
          <w:tcPr>
            <w:tcW w:w="995" w:type="dxa"/>
            <w:tcBorders>
              <w:left w:val="double" w:sz="4" w:space="0" w:color="auto"/>
            </w:tcBorders>
            <w:vAlign w:val="center"/>
          </w:tcPr>
          <w:p w14:paraId="2DF7C7A9" w14:textId="581CC179" w:rsidR="00065EA3" w:rsidRPr="00337C3E" w:rsidDel="00F86573" w:rsidRDefault="00065EA3" w:rsidP="00065EA3">
            <w:pPr>
              <w:spacing w:before="40" w:after="40"/>
              <w:jc w:val="center"/>
              <w:rPr>
                <w:rFonts w:cs="Arial"/>
                <w:color w:val="000000"/>
                <w:sz w:val="20"/>
                <w:szCs w:val="20"/>
              </w:rPr>
            </w:pPr>
            <w:r w:rsidRPr="00BD763C">
              <w:rPr>
                <w:color w:val="000000"/>
                <w:szCs w:val="20"/>
              </w:rPr>
              <w:t>1.25</w:t>
            </w:r>
          </w:p>
        </w:tc>
        <w:tc>
          <w:tcPr>
            <w:tcW w:w="894" w:type="dxa"/>
            <w:vAlign w:val="center"/>
          </w:tcPr>
          <w:p w14:paraId="15B36EF2" w14:textId="62372203" w:rsidR="00065EA3" w:rsidRPr="00337C3E" w:rsidDel="00F86573" w:rsidRDefault="00065EA3" w:rsidP="00065EA3">
            <w:pPr>
              <w:spacing w:before="40" w:after="40"/>
              <w:jc w:val="center"/>
              <w:rPr>
                <w:sz w:val="20"/>
                <w:szCs w:val="20"/>
              </w:rPr>
            </w:pPr>
            <w:r w:rsidRPr="00BD763C">
              <w:rPr>
                <w:color w:val="000000"/>
                <w:szCs w:val="20"/>
              </w:rPr>
              <w:t>1.25</w:t>
            </w:r>
          </w:p>
        </w:tc>
        <w:tc>
          <w:tcPr>
            <w:tcW w:w="894" w:type="dxa"/>
            <w:vAlign w:val="center"/>
          </w:tcPr>
          <w:p w14:paraId="1FB3F782" w14:textId="7820ABDF" w:rsidR="00065EA3" w:rsidRPr="00337C3E" w:rsidDel="00F86573" w:rsidRDefault="00065EA3" w:rsidP="00065EA3">
            <w:pPr>
              <w:spacing w:before="40" w:after="40"/>
              <w:jc w:val="center"/>
              <w:rPr>
                <w:sz w:val="20"/>
                <w:szCs w:val="20"/>
              </w:rPr>
            </w:pPr>
            <w:r w:rsidRPr="00BD763C">
              <w:rPr>
                <w:color w:val="000000"/>
                <w:szCs w:val="20"/>
              </w:rPr>
              <w:t>1.24</w:t>
            </w:r>
          </w:p>
        </w:tc>
        <w:tc>
          <w:tcPr>
            <w:tcW w:w="894" w:type="dxa"/>
            <w:vAlign w:val="center"/>
          </w:tcPr>
          <w:p w14:paraId="562AF58A" w14:textId="186E819A" w:rsidR="00065EA3" w:rsidRPr="00337C3E" w:rsidDel="00F86573" w:rsidRDefault="00065EA3" w:rsidP="00065EA3">
            <w:pPr>
              <w:spacing w:before="40" w:after="40"/>
              <w:jc w:val="center"/>
              <w:rPr>
                <w:sz w:val="20"/>
                <w:szCs w:val="20"/>
              </w:rPr>
            </w:pPr>
            <w:r w:rsidRPr="00BD763C">
              <w:rPr>
                <w:color w:val="000000"/>
                <w:szCs w:val="20"/>
              </w:rPr>
              <w:t>1.25</w:t>
            </w:r>
          </w:p>
        </w:tc>
        <w:tc>
          <w:tcPr>
            <w:tcW w:w="894" w:type="dxa"/>
            <w:vAlign w:val="center"/>
          </w:tcPr>
          <w:p w14:paraId="491A9BA1" w14:textId="626EA086" w:rsidR="00065EA3" w:rsidRPr="00337C3E" w:rsidDel="00F86573" w:rsidRDefault="00065EA3" w:rsidP="00065EA3">
            <w:pPr>
              <w:spacing w:before="40" w:after="40"/>
              <w:jc w:val="center"/>
              <w:rPr>
                <w:sz w:val="20"/>
                <w:szCs w:val="20"/>
              </w:rPr>
            </w:pPr>
            <w:r w:rsidRPr="00BD763C">
              <w:rPr>
                <w:color w:val="000000"/>
                <w:szCs w:val="20"/>
              </w:rPr>
              <w:t>1.25</w:t>
            </w:r>
          </w:p>
        </w:tc>
        <w:tc>
          <w:tcPr>
            <w:tcW w:w="894" w:type="dxa"/>
            <w:vAlign w:val="center"/>
          </w:tcPr>
          <w:p w14:paraId="1CD149EE" w14:textId="49111BA2" w:rsidR="00065EA3" w:rsidRPr="00337C3E" w:rsidDel="00F86573" w:rsidRDefault="00065EA3" w:rsidP="00065EA3">
            <w:pPr>
              <w:spacing w:before="40" w:after="40"/>
              <w:jc w:val="center"/>
              <w:rPr>
                <w:sz w:val="20"/>
                <w:szCs w:val="20"/>
              </w:rPr>
            </w:pPr>
            <w:r w:rsidRPr="00BD763C">
              <w:rPr>
                <w:color w:val="000000"/>
                <w:szCs w:val="20"/>
              </w:rPr>
              <w:t>1.24</w:t>
            </w:r>
          </w:p>
        </w:tc>
        <w:tc>
          <w:tcPr>
            <w:tcW w:w="894" w:type="dxa"/>
            <w:vAlign w:val="center"/>
          </w:tcPr>
          <w:p w14:paraId="240DEC28" w14:textId="305DDF5C" w:rsidR="00065EA3" w:rsidRPr="00337C3E" w:rsidDel="00F86573" w:rsidRDefault="00065EA3" w:rsidP="00065EA3">
            <w:pPr>
              <w:spacing w:before="40" w:after="40"/>
              <w:jc w:val="center"/>
              <w:rPr>
                <w:sz w:val="20"/>
                <w:szCs w:val="20"/>
              </w:rPr>
            </w:pPr>
            <w:r w:rsidRPr="00BD763C">
              <w:rPr>
                <w:color w:val="000000"/>
                <w:szCs w:val="20"/>
              </w:rPr>
              <w:t>1.27</w:t>
            </w:r>
          </w:p>
        </w:tc>
        <w:tc>
          <w:tcPr>
            <w:tcW w:w="894" w:type="dxa"/>
            <w:vAlign w:val="center"/>
          </w:tcPr>
          <w:p w14:paraId="452972F4" w14:textId="1C4E872B" w:rsidR="00065EA3" w:rsidRPr="00337C3E" w:rsidDel="00F86573" w:rsidRDefault="00065EA3" w:rsidP="00065EA3">
            <w:pPr>
              <w:spacing w:before="40" w:after="40"/>
              <w:jc w:val="center"/>
              <w:rPr>
                <w:sz w:val="20"/>
                <w:szCs w:val="20"/>
              </w:rPr>
            </w:pPr>
            <w:r w:rsidRPr="00BD763C">
              <w:rPr>
                <w:color w:val="000000"/>
                <w:szCs w:val="20"/>
              </w:rPr>
              <w:t>1.25</w:t>
            </w:r>
          </w:p>
        </w:tc>
      </w:tr>
      <w:tr w:rsidR="00065EA3" w:rsidRPr="00416C2F" w14:paraId="0F643E75" w14:textId="77777777" w:rsidTr="00ED1FA9">
        <w:tc>
          <w:tcPr>
            <w:tcW w:w="615" w:type="dxa"/>
            <w:vMerge/>
            <w:vAlign w:val="center"/>
          </w:tcPr>
          <w:p w14:paraId="4538B33A" w14:textId="77777777" w:rsidR="00065EA3" w:rsidRPr="00337C3E" w:rsidRDefault="00065EA3" w:rsidP="00065EA3">
            <w:pPr>
              <w:spacing w:before="40" w:after="40"/>
              <w:jc w:val="center"/>
              <w:rPr>
                <w:rFonts w:cs="Arial"/>
                <w:color w:val="000000"/>
                <w:sz w:val="20"/>
                <w:szCs w:val="20"/>
              </w:rPr>
            </w:pPr>
          </w:p>
        </w:tc>
        <w:tc>
          <w:tcPr>
            <w:tcW w:w="615" w:type="dxa"/>
            <w:vMerge/>
            <w:vAlign w:val="center"/>
          </w:tcPr>
          <w:p w14:paraId="2B409F06" w14:textId="77777777" w:rsidR="00065EA3" w:rsidRPr="00337C3E" w:rsidRDefault="00065EA3" w:rsidP="00065EA3">
            <w:pPr>
              <w:spacing w:before="40" w:after="40"/>
              <w:jc w:val="center"/>
              <w:rPr>
                <w:rFonts w:cs="Arial"/>
                <w:color w:val="000000"/>
                <w:sz w:val="20"/>
                <w:szCs w:val="20"/>
              </w:rPr>
            </w:pPr>
          </w:p>
        </w:tc>
        <w:tc>
          <w:tcPr>
            <w:tcW w:w="616" w:type="dxa"/>
            <w:tcBorders>
              <w:right w:val="double" w:sz="4" w:space="0" w:color="auto"/>
            </w:tcBorders>
            <w:vAlign w:val="center"/>
          </w:tcPr>
          <w:p w14:paraId="692172AF" w14:textId="77777777" w:rsidR="00065EA3" w:rsidRPr="00337C3E" w:rsidRDefault="00065EA3" w:rsidP="00065EA3">
            <w:pPr>
              <w:spacing w:before="40" w:after="40"/>
              <w:jc w:val="center"/>
              <w:rPr>
                <w:rFonts w:cs="Arial"/>
                <w:color w:val="000000"/>
                <w:sz w:val="20"/>
                <w:szCs w:val="20"/>
              </w:rPr>
            </w:pPr>
            <w:r w:rsidRPr="00BD763C">
              <w:rPr>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433984AE" w14:textId="77777777" w:rsidR="00065EA3" w:rsidRPr="00337C3E" w:rsidDel="00F86573" w:rsidRDefault="00065EA3" w:rsidP="00065EA3">
            <w:pPr>
              <w:spacing w:before="40" w:after="40"/>
              <w:jc w:val="center"/>
              <w:rPr>
                <w:sz w:val="20"/>
                <w:szCs w:val="20"/>
              </w:rPr>
            </w:pPr>
          </w:p>
        </w:tc>
        <w:tc>
          <w:tcPr>
            <w:tcW w:w="995" w:type="dxa"/>
            <w:tcBorders>
              <w:left w:val="double" w:sz="4" w:space="0" w:color="auto"/>
            </w:tcBorders>
            <w:vAlign w:val="center"/>
          </w:tcPr>
          <w:p w14:paraId="10A3F0A3" w14:textId="0BA43FAF" w:rsidR="00065EA3" w:rsidRPr="00337C3E" w:rsidDel="00F86573" w:rsidRDefault="00065EA3" w:rsidP="00065EA3">
            <w:pPr>
              <w:spacing w:before="40" w:after="40"/>
              <w:jc w:val="center"/>
              <w:rPr>
                <w:rFonts w:cs="Arial"/>
                <w:color w:val="000000"/>
                <w:sz w:val="20"/>
                <w:szCs w:val="20"/>
              </w:rPr>
            </w:pPr>
            <w:r w:rsidRPr="00BD763C">
              <w:rPr>
                <w:color w:val="000000"/>
                <w:szCs w:val="20"/>
              </w:rPr>
              <w:t>1.36</w:t>
            </w:r>
          </w:p>
        </w:tc>
        <w:tc>
          <w:tcPr>
            <w:tcW w:w="894" w:type="dxa"/>
            <w:vAlign w:val="center"/>
          </w:tcPr>
          <w:p w14:paraId="7C53667E" w14:textId="372BE5DB" w:rsidR="00065EA3" w:rsidRPr="00337C3E" w:rsidDel="00F86573" w:rsidRDefault="00065EA3" w:rsidP="00065EA3">
            <w:pPr>
              <w:spacing w:before="40" w:after="40"/>
              <w:jc w:val="center"/>
              <w:rPr>
                <w:sz w:val="20"/>
                <w:szCs w:val="20"/>
              </w:rPr>
            </w:pPr>
            <w:r w:rsidRPr="00BD763C">
              <w:rPr>
                <w:color w:val="000000"/>
                <w:szCs w:val="20"/>
              </w:rPr>
              <w:t>1.37</w:t>
            </w:r>
          </w:p>
        </w:tc>
        <w:tc>
          <w:tcPr>
            <w:tcW w:w="894" w:type="dxa"/>
            <w:vAlign w:val="center"/>
          </w:tcPr>
          <w:p w14:paraId="268FE257" w14:textId="2A1DCEC3" w:rsidR="00065EA3" w:rsidRPr="00337C3E" w:rsidDel="00F86573" w:rsidRDefault="00065EA3" w:rsidP="00065EA3">
            <w:pPr>
              <w:spacing w:before="40" w:after="40"/>
              <w:jc w:val="center"/>
              <w:rPr>
                <w:sz w:val="20"/>
                <w:szCs w:val="20"/>
              </w:rPr>
            </w:pPr>
            <w:r w:rsidRPr="00BD763C">
              <w:rPr>
                <w:color w:val="000000"/>
                <w:szCs w:val="20"/>
              </w:rPr>
              <w:t>1.35</w:t>
            </w:r>
          </w:p>
        </w:tc>
        <w:tc>
          <w:tcPr>
            <w:tcW w:w="894" w:type="dxa"/>
            <w:vAlign w:val="center"/>
          </w:tcPr>
          <w:p w14:paraId="78EAF31A" w14:textId="5491DE43" w:rsidR="00065EA3" w:rsidRPr="00337C3E" w:rsidDel="00F86573" w:rsidRDefault="00065EA3" w:rsidP="00065EA3">
            <w:pPr>
              <w:spacing w:before="40" w:after="40"/>
              <w:jc w:val="center"/>
              <w:rPr>
                <w:sz w:val="20"/>
                <w:szCs w:val="20"/>
              </w:rPr>
            </w:pPr>
            <w:r w:rsidRPr="00BD763C">
              <w:rPr>
                <w:color w:val="000000"/>
                <w:szCs w:val="20"/>
              </w:rPr>
              <w:t>1.36</w:t>
            </w:r>
          </w:p>
        </w:tc>
        <w:tc>
          <w:tcPr>
            <w:tcW w:w="894" w:type="dxa"/>
            <w:vAlign w:val="center"/>
          </w:tcPr>
          <w:p w14:paraId="687D21EE" w14:textId="7B089EDB" w:rsidR="00065EA3" w:rsidRPr="00337C3E" w:rsidDel="00F86573" w:rsidRDefault="00065EA3" w:rsidP="00065EA3">
            <w:pPr>
              <w:spacing w:before="40" w:after="40"/>
              <w:jc w:val="center"/>
              <w:rPr>
                <w:sz w:val="20"/>
                <w:szCs w:val="20"/>
              </w:rPr>
            </w:pPr>
            <w:r w:rsidRPr="00BD763C">
              <w:rPr>
                <w:color w:val="000000"/>
                <w:szCs w:val="20"/>
              </w:rPr>
              <w:t>1.35</w:t>
            </w:r>
          </w:p>
        </w:tc>
        <w:tc>
          <w:tcPr>
            <w:tcW w:w="894" w:type="dxa"/>
            <w:vAlign w:val="center"/>
          </w:tcPr>
          <w:p w14:paraId="238BA079" w14:textId="14C334B1" w:rsidR="00065EA3" w:rsidRPr="00337C3E" w:rsidDel="00F86573" w:rsidRDefault="00065EA3" w:rsidP="00065EA3">
            <w:pPr>
              <w:spacing w:before="40" w:after="40"/>
              <w:jc w:val="center"/>
              <w:rPr>
                <w:sz w:val="20"/>
                <w:szCs w:val="20"/>
              </w:rPr>
            </w:pPr>
            <w:r w:rsidRPr="00BD763C">
              <w:rPr>
                <w:color w:val="000000"/>
                <w:szCs w:val="20"/>
              </w:rPr>
              <w:t>1.41</w:t>
            </w:r>
          </w:p>
        </w:tc>
        <w:tc>
          <w:tcPr>
            <w:tcW w:w="894" w:type="dxa"/>
            <w:vAlign w:val="center"/>
          </w:tcPr>
          <w:p w14:paraId="3E9802D8" w14:textId="1FC92AF7" w:rsidR="00065EA3" w:rsidRPr="00337C3E" w:rsidDel="00F86573" w:rsidRDefault="00065EA3" w:rsidP="00065EA3">
            <w:pPr>
              <w:spacing w:before="40" w:after="40"/>
              <w:jc w:val="center"/>
              <w:rPr>
                <w:sz w:val="20"/>
                <w:szCs w:val="20"/>
              </w:rPr>
            </w:pPr>
            <w:r w:rsidRPr="00BD763C">
              <w:rPr>
                <w:color w:val="000000"/>
                <w:szCs w:val="20"/>
              </w:rPr>
              <w:t>1.36</w:t>
            </w:r>
          </w:p>
        </w:tc>
        <w:tc>
          <w:tcPr>
            <w:tcW w:w="894" w:type="dxa"/>
            <w:vAlign w:val="center"/>
          </w:tcPr>
          <w:p w14:paraId="68B1FDD8" w14:textId="03821635" w:rsidR="00065EA3" w:rsidRPr="00337C3E" w:rsidDel="00F86573" w:rsidRDefault="00065EA3" w:rsidP="00065EA3">
            <w:pPr>
              <w:spacing w:before="40" w:after="40"/>
              <w:jc w:val="center"/>
              <w:rPr>
                <w:sz w:val="20"/>
                <w:szCs w:val="20"/>
              </w:rPr>
            </w:pPr>
            <w:r w:rsidRPr="00BD763C">
              <w:rPr>
                <w:color w:val="000000"/>
                <w:szCs w:val="20"/>
              </w:rPr>
              <w:t>1.34</w:t>
            </w:r>
          </w:p>
        </w:tc>
      </w:tr>
    </w:tbl>
    <w:p w14:paraId="75CA9195" w14:textId="77777777" w:rsidR="001F337D" w:rsidRDefault="001F337D" w:rsidP="006724F4"/>
    <w:p w14:paraId="0ADA4FDF" w14:textId="77777777" w:rsidR="00A01F01" w:rsidRDefault="00A01F01" w:rsidP="00A01F01"/>
    <w:p w14:paraId="4A225534" w14:textId="07156AED" w:rsidR="00A01F01" w:rsidRDefault="00A01F01" w:rsidP="00643098">
      <w:pPr>
        <w:pStyle w:val="Heading6"/>
      </w:pPr>
      <w:r>
        <w:t>6</w:t>
      </w:r>
      <w:r w:rsidRPr="00C40D72">
        <w:t xml:space="preserve"> TRP</w:t>
      </w:r>
      <w:r w:rsidR="00E2787B">
        <w:t>s</w:t>
      </w:r>
    </w:p>
    <w:p w14:paraId="23B54C7B" w14:textId="4BB6387D" w:rsidR="002C4E72" w:rsidRDefault="00257CDB" w:rsidP="006724F4">
      <w:r>
        <w:fldChar w:fldCharType="begin"/>
      </w:r>
      <w:r>
        <w:instrText xml:space="preserve"> REF _Ref178590235 \h </w:instrText>
      </w:r>
      <w:r>
        <w:fldChar w:fldCharType="separate"/>
      </w:r>
      <w:r w:rsidR="00850DA1">
        <w:t xml:space="preserve">Table </w:t>
      </w:r>
      <w:r w:rsidR="00850DA1">
        <w:rPr>
          <w:noProof/>
        </w:rPr>
        <w:t>3</w:t>
      </w:r>
      <w:r>
        <w:fldChar w:fldCharType="end"/>
      </w:r>
      <w:r>
        <w:t xml:space="preserve"> and </w:t>
      </w:r>
      <w:r>
        <w:fldChar w:fldCharType="begin"/>
      </w:r>
      <w:r>
        <w:instrText xml:space="preserve"> REF _Ref178590237 \h </w:instrText>
      </w:r>
      <w:r>
        <w:fldChar w:fldCharType="separate"/>
      </w:r>
      <w:r w:rsidR="00850DA1">
        <w:t xml:space="preserve">Table </w:t>
      </w:r>
      <w:r w:rsidR="00850DA1">
        <w:rPr>
          <w:noProof/>
        </w:rPr>
        <w:t>4</w:t>
      </w:r>
      <w:r>
        <w:fldChar w:fldCharType="end"/>
      </w:r>
      <w:r>
        <w:t xml:space="preserve"> </w:t>
      </w:r>
      <w:r w:rsidRPr="00F06FE8">
        <w:t>resent the evaluation results for measurement report window placement with</w:t>
      </w:r>
      <w:r>
        <w:t xml:space="preserve">  </w:t>
      </w:r>
      <m:oMath>
        <m:r>
          <w:rPr>
            <w:rFonts w:ascii="Cambria Math" w:hAnsi="Cambria Math"/>
          </w:rPr>
          <m:t>δ=0</m:t>
        </m:r>
      </m:oMath>
      <w:r>
        <w:t xml:space="preserve"> and </w:t>
      </w:r>
      <m:oMath>
        <m:r>
          <w:rPr>
            <w:rFonts w:ascii="Cambria Math" w:hAnsi="Cambria Math"/>
          </w:rPr>
          <m:t>δ=3</m:t>
        </m:r>
      </m:oMath>
      <w:r>
        <w:t xml:space="preserve">, </w:t>
      </w:r>
      <w:r w:rsidRPr="00C044C5">
        <w:t xml:space="preserve">respectively. The ML model uses input from the </w:t>
      </w:r>
      <w:r>
        <w:t>6</w:t>
      </w:r>
      <w:r w:rsidRPr="00C044C5">
        <w:t xml:space="preserve"> TRPs with the highest received signal power. The </w:t>
      </w:r>
      <w:r>
        <w:t>“</w:t>
      </w:r>
      <w:r w:rsidRPr="00C044C5">
        <w:t xml:space="preserve">Sample-based </w:t>
      </w:r>
      <w:r>
        <w:t>s</w:t>
      </w:r>
      <w:r w:rsidRPr="00C044C5">
        <w:t>ignaling</w:t>
      </w:r>
      <w:r>
        <w:t>”</w:t>
      </w:r>
      <w:r w:rsidRPr="00C044C5">
        <w:t xml:space="preserve"> column </w:t>
      </w:r>
      <w:r w:rsidR="00042C65">
        <w:t>(green highlighted)</w:t>
      </w:r>
      <w:r w:rsidR="00042C65" w:rsidRPr="00C044C5">
        <w:t xml:space="preserve"> </w:t>
      </w:r>
      <w:r w:rsidRPr="00C044C5">
        <w:t xml:space="preserve">represents the performance bound, independent of the starting position of the list of </w:t>
      </w:r>
      <w:r>
        <w:t>N</w:t>
      </w:r>
      <w:r w:rsidRPr="004D3536">
        <w:rPr>
          <w:vertAlign w:val="subscript"/>
        </w:rPr>
        <w:t>t</w:t>
      </w:r>
      <w:r>
        <w:t xml:space="preserve"> </w:t>
      </w:r>
      <w:r w:rsidR="00AF746A">
        <w:t xml:space="preserve">consecutive </w:t>
      </w:r>
      <w:r>
        <w:t>samples. For this column, the N</w:t>
      </w:r>
      <w:r w:rsidRPr="004D3536">
        <w:rPr>
          <w:vertAlign w:val="subscript"/>
        </w:rPr>
        <w:t>t</w:t>
      </w:r>
      <w:r>
        <w:t>’ s</w:t>
      </w:r>
      <w:r w:rsidRPr="00152498">
        <w:t xml:space="preserve">amples with the highest power are selected from the </w:t>
      </w:r>
      <w:r w:rsidR="00ED1FA9">
        <w:t>ID</w:t>
      </w:r>
      <w:r w:rsidRPr="00152498">
        <w:t>FT window of siz</w:t>
      </w:r>
      <w:r>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t>.</w:t>
      </w:r>
    </w:p>
    <w:p w14:paraId="596844AC" w14:textId="130F5446" w:rsidR="002C4E72" w:rsidRDefault="003E4A2A" w:rsidP="002C4E72">
      <w:pPr>
        <w:pStyle w:val="Caption"/>
      </w:pPr>
      <w:bookmarkStart w:id="225" w:name="_Ref178590235"/>
      <w:r>
        <w:t xml:space="preserve">Table </w:t>
      </w:r>
      <w:r w:rsidR="00500110">
        <w:fldChar w:fldCharType="begin"/>
      </w:r>
      <w:r w:rsidR="00500110">
        <w:instrText xml:space="preserve"> SEQ Table \* ARABIC </w:instrText>
      </w:r>
      <w:r w:rsidR="00500110">
        <w:fldChar w:fldCharType="separate"/>
      </w:r>
      <w:r w:rsidR="00850DA1">
        <w:rPr>
          <w:noProof/>
        </w:rPr>
        <w:t>3</w:t>
      </w:r>
      <w:r w:rsidR="00500110">
        <w:rPr>
          <w:noProof/>
        </w:rPr>
        <w:fldChar w:fldCharType="end"/>
      </w:r>
      <w:bookmarkEnd w:id="225"/>
      <w:r>
        <w:t xml:space="preserve"> </w:t>
      </w:r>
      <w:r w:rsidR="002C4E72" w:rsidRPr="00E531A4">
        <w:t xml:space="preserve">90%tile 2D positioning accuracy (meters) of PDP models using direct sample-based reporting or Rel-17 path-based reporting from seven different channel estimation algorithms for the {60%, 6m, 2m} InF-DH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2C4E72"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2C4E72" w:rsidRPr="00416C2F" w14:paraId="55EF00E6" w14:textId="77777777">
        <w:tc>
          <w:tcPr>
            <w:tcW w:w="1846" w:type="dxa"/>
            <w:gridSpan w:val="3"/>
            <w:tcBorders>
              <w:right w:val="double" w:sz="4" w:space="0" w:color="auto"/>
            </w:tcBorders>
            <w:vAlign w:val="center"/>
          </w:tcPr>
          <w:p w14:paraId="101F530E" w14:textId="77777777" w:rsidR="002C4E72" w:rsidRPr="00416C2F" w:rsidRDefault="002C4E72">
            <w:pPr>
              <w:spacing w:before="40" w:after="40"/>
              <w:jc w:val="center"/>
              <w:rPr>
                <w:rFonts w:cs="Arial"/>
                <w:color w:val="000000"/>
                <w:sz w:val="20"/>
                <w:szCs w:val="20"/>
              </w:rPr>
            </w:pPr>
            <w:r w:rsidRPr="00416C2F">
              <w:rPr>
                <w:sz w:val="20"/>
                <w:szCs w:val="20"/>
              </w:rPr>
              <w:t>Test cases</w:t>
            </w:r>
          </w:p>
        </w:tc>
        <w:tc>
          <w:tcPr>
            <w:tcW w:w="8116" w:type="dxa"/>
            <w:gridSpan w:val="9"/>
            <w:tcBorders>
              <w:left w:val="double" w:sz="4" w:space="0" w:color="auto"/>
            </w:tcBorders>
            <w:vAlign w:val="center"/>
          </w:tcPr>
          <w:p w14:paraId="1CC1E806" w14:textId="77777777" w:rsidR="002C4E72" w:rsidRPr="00416C2F" w:rsidRDefault="002C4E72">
            <w:pPr>
              <w:spacing w:before="40" w:after="40"/>
              <w:jc w:val="center"/>
              <w:rPr>
                <w:rFonts w:cs="Arial"/>
                <w:color w:val="000000"/>
                <w:sz w:val="20"/>
                <w:szCs w:val="20"/>
              </w:rPr>
            </w:pPr>
            <w:r w:rsidRPr="00416C2F">
              <w:rPr>
                <w:sz w:val="20"/>
                <w:szCs w:val="20"/>
              </w:rPr>
              <w:t>90%tile 2D positioning errors [m] based on 100 MHz RS bandwidth</w:t>
            </w:r>
          </w:p>
        </w:tc>
      </w:tr>
      <w:tr w:rsidR="002C4E72" w:rsidRPr="00416C2F" w14:paraId="2EDAFBF4" w14:textId="77777777" w:rsidTr="00B03641">
        <w:tc>
          <w:tcPr>
            <w:tcW w:w="615" w:type="dxa"/>
            <w:vMerge w:val="restart"/>
            <w:vAlign w:val="center"/>
          </w:tcPr>
          <w:p w14:paraId="4D0265C6" w14:textId="77777777" w:rsidR="002C4E72"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M</m:t>
                    </m:r>
                  </m:e>
                  <m:sub>
                    <m:r>
                      <w:rPr>
                        <w:rFonts w:ascii="Cambria Math" w:hAnsi="Cambria Math"/>
                        <w:sz w:val="20"/>
                        <w:szCs w:val="20"/>
                      </w:rPr>
                      <m:t>t</m:t>
                    </m:r>
                  </m:sub>
                </m:sSub>
              </m:oMath>
            </m:oMathPara>
          </w:p>
        </w:tc>
        <w:tc>
          <w:tcPr>
            <w:tcW w:w="615" w:type="dxa"/>
            <w:vMerge w:val="restart"/>
            <w:vAlign w:val="center"/>
          </w:tcPr>
          <w:p w14:paraId="70073E2F" w14:textId="77777777" w:rsidR="002C4E72" w:rsidRPr="00FA2A84" w:rsidRDefault="009C13C0">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6" w:type="dxa"/>
            <w:vMerge w:val="restart"/>
            <w:tcBorders>
              <w:right w:val="double" w:sz="4" w:space="0" w:color="auto"/>
            </w:tcBorders>
            <w:vAlign w:val="center"/>
          </w:tcPr>
          <w:p w14:paraId="60E9886F" w14:textId="77777777" w:rsidR="002C4E72"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7A23F1CC" w14:textId="77777777" w:rsidR="002C4E72" w:rsidRPr="00E16A91" w:rsidRDefault="002C4E72">
            <w:pPr>
              <w:spacing w:before="40" w:after="40"/>
              <w:jc w:val="center"/>
              <w:rPr>
                <w:rFonts w:cs="Arial"/>
                <w:color w:val="000000"/>
                <w:sz w:val="18"/>
                <w:szCs w:val="18"/>
              </w:rPr>
            </w:pPr>
            <w:r w:rsidRPr="00E16A91">
              <w:rPr>
                <w:rFonts w:cs="Arial"/>
                <w:color w:val="000000"/>
                <w:sz w:val="18"/>
                <w:szCs w:val="18"/>
              </w:rPr>
              <w:t>Sample based signaling</w:t>
            </w:r>
          </w:p>
        </w:tc>
        <w:tc>
          <w:tcPr>
            <w:tcW w:w="7253" w:type="dxa"/>
            <w:gridSpan w:val="8"/>
            <w:tcBorders>
              <w:left w:val="double" w:sz="4" w:space="0" w:color="auto"/>
            </w:tcBorders>
            <w:shd w:val="clear" w:color="auto" w:fill="DEEAF6" w:themeFill="accent5" w:themeFillTint="33"/>
            <w:vAlign w:val="center"/>
          </w:tcPr>
          <w:p w14:paraId="50001964" w14:textId="77777777" w:rsidR="002C4E72" w:rsidRPr="00416C2F" w:rsidRDefault="002C4E72">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 w:val="20"/>
                  <w:szCs w:val="20"/>
                  <w:highlight w:val="yellow"/>
                </w:rPr>
                <m:t>δ=0</m:t>
              </m:r>
            </m:oMath>
          </w:p>
        </w:tc>
      </w:tr>
      <w:tr w:rsidR="00C2099B" w:rsidRPr="00416C2F" w14:paraId="1EAB932A" w14:textId="77777777" w:rsidTr="00B03641">
        <w:tc>
          <w:tcPr>
            <w:tcW w:w="615" w:type="dxa"/>
            <w:vMerge/>
            <w:vAlign w:val="center"/>
          </w:tcPr>
          <w:p w14:paraId="22008553" w14:textId="77777777" w:rsidR="002C4E72" w:rsidRPr="00416C2F" w:rsidRDefault="002C4E72">
            <w:pPr>
              <w:spacing w:before="40" w:after="40"/>
              <w:jc w:val="center"/>
              <w:rPr>
                <w:rFonts w:cs="Arial"/>
                <w:color w:val="000000"/>
                <w:sz w:val="20"/>
                <w:szCs w:val="20"/>
              </w:rPr>
            </w:pPr>
          </w:p>
        </w:tc>
        <w:tc>
          <w:tcPr>
            <w:tcW w:w="615" w:type="dxa"/>
            <w:vMerge/>
            <w:vAlign w:val="center"/>
          </w:tcPr>
          <w:p w14:paraId="09079826" w14:textId="77777777" w:rsidR="002C4E72" w:rsidRPr="00FA2A84" w:rsidRDefault="002C4E72">
            <w:pPr>
              <w:spacing w:before="40" w:after="40"/>
              <w:jc w:val="center"/>
              <w:rPr>
                <w:rFonts w:cs="Arial"/>
                <w:color w:val="000000"/>
                <w:sz w:val="20"/>
                <w:szCs w:val="20"/>
              </w:rPr>
            </w:pPr>
          </w:p>
        </w:tc>
        <w:tc>
          <w:tcPr>
            <w:tcW w:w="616" w:type="dxa"/>
            <w:vMerge/>
            <w:tcBorders>
              <w:right w:val="double" w:sz="4" w:space="0" w:color="auto"/>
            </w:tcBorders>
            <w:vAlign w:val="center"/>
          </w:tcPr>
          <w:p w14:paraId="036498DD" w14:textId="77777777" w:rsidR="002C4E72" w:rsidRPr="00416C2F" w:rsidRDefault="002C4E72">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45490C75" w14:textId="77777777" w:rsidR="002C4E72" w:rsidRPr="00416C2F" w:rsidRDefault="002C4E72">
            <w:pPr>
              <w:spacing w:before="40" w:after="40"/>
              <w:jc w:val="center"/>
              <w:rPr>
                <w:rFonts w:cs="Arial"/>
                <w:color w:val="000000"/>
                <w:sz w:val="20"/>
                <w:szCs w:val="20"/>
              </w:rPr>
            </w:pPr>
          </w:p>
        </w:tc>
        <w:tc>
          <w:tcPr>
            <w:tcW w:w="995" w:type="dxa"/>
            <w:vMerge w:val="restart"/>
            <w:tcBorders>
              <w:left w:val="double" w:sz="4" w:space="0" w:color="auto"/>
            </w:tcBorders>
            <w:shd w:val="clear" w:color="auto" w:fill="DEEAF6" w:themeFill="accent5" w:themeFillTint="33"/>
            <w:vAlign w:val="center"/>
          </w:tcPr>
          <w:p w14:paraId="1E6FCADC" w14:textId="77777777" w:rsidR="002C4E72" w:rsidRPr="00416C2F" w:rsidRDefault="002C4E72">
            <w:pPr>
              <w:spacing w:before="40" w:after="40"/>
              <w:jc w:val="center"/>
              <w:rPr>
                <w:rFonts w:cs="Arial"/>
                <w:color w:val="000000"/>
                <w:sz w:val="20"/>
                <w:szCs w:val="20"/>
              </w:rPr>
            </w:pPr>
            <w:r w:rsidRPr="00E16A91">
              <w:rPr>
                <w:sz w:val="18"/>
                <w:szCs w:val="18"/>
              </w:rPr>
              <w:t>Average across estimators</w:t>
            </w:r>
          </w:p>
        </w:tc>
        <w:tc>
          <w:tcPr>
            <w:tcW w:w="6258" w:type="dxa"/>
            <w:gridSpan w:val="7"/>
            <w:shd w:val="clear" w:color="auto" w:fill="DEEAF6" w:themeFill="accent5" w:themeFillTint="33"/>
            <w:vAlign w:val="center"/>
          </w:tcPr>
          <w:p w14:paraId="41C6120B" w14:textId="366EFF05" w:rsidR="002C4E72" w:rsidRPr="00416C2F" w:rsidRDefault="002C4E72">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τ</m:t>
                      </m:r>
                    </m:e>
                  </m:acc>
                </m:e>
                <m:sub>
                  <m:r>
                    <w:rPr>
                      <w:rFonts w:ascii="Cambria Math" w:hAnsi="Cambria Math"/>
                      <w:sz w:val="20"/>
                      <w:szCs w:val="20"/>
                    </w:rPr>
                    <m:t>1</m:t>
                  </m:r>
                </m:sub>
              </m:sSub>
            </m:oMath>
          </w:p>
        </w:tc>
      </w:tr>
      <w:tr w:rsidR="002C4E72" w:rsidRPr="00416C2F" w14:paraId="711002C1" w14:textId="77777777" w:rsidTr="00B03641">
        <w:tc>
          <w:tcPr>
            <w:tcW w:w="615" w:type="dxa"/>
            <w:vMerge/>
            <w:tcBorders>
              <w:bottom w:val="double" w:sz="4" w:space="0" w:color="auto"/>
            </w:tcBorders>
            <w:vAlign w:val="center"/>
          </w:tcPr>
          <w:p w14:paraId="6461052E" w14:textId="77777777" w:rsidR="002C4E72" w:rsidRPr="00416C2F" w:rsidRDefault="002C4E72">
            <w:pPr>
              <w:spacing w:before="40" w:after="40"/>
              <w:jc w:val="center"/>
              <w:rPr>
                <w:rFonts w:cs="Arial"/>
                <w:color w:val="000000"/>
                <w:sz w:val="20"/>
                <w:szCs w:val="20"/>
              </w:rPr>
            </w:pPr>
          </w:p>
        </w:tc>
        <w:tc>
          <w:tcPr>
            <w:tcW w:w="615" w:type="dxa"/>
            <w:vMerge/>
            <w:tcBorders>
              <w:bottom w:val="double" w:sz="4" w:space="0" w:color="auto"/>
            </w:tcBorders>
            <w:vAlign w:val="center"/>
          </w:tcPr>
          <w:p w14:paraId="79109B29" w14:textId="77777777" w:rsidR="002C4E72" w:rsidRPr="00FA2A84" w:rsidRDefault="002C4E72">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0D1D71DA" w14:textId="77777777" w:rsidR="002C4E72" w:rsidRPr="00416C2F" w:rsidRDefault="002C4E72">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DA578B6" w14:textId="77777777" w:rsidR="002C4E72" w:rsidRPr="00416C2F" w:rsidRDefault="002C4E72">
            <w:pPr>
              <w:spacing w:before="40" w:after="40"/>
              <w:jc w:val="center"/>
              <w:rPr>
                <w:rFonts w:cs="Arial"/>
                <w:color w:val="000000"/>
                <w:sz w:val="20"/>
                <w:szCs w:val="20"/>
              </w:rPr>
            </w:pPr>
          </w:p>
        </w:tc>
        <w:tc>
          <w:tcPr>
            <w:tcW w:w="995" w:type="dxa"/>
            <w:vMerge/>
            <w:tcBorders>
              <w:left w:val="double" w:sz="4" w:space="0" w:color="auto"/>
              <w:bottom w:val="double" w:sz="4" w:space="0" w:color="auto"/>
            </w:tcBorders>
            <w:shd w:val="clear" w:color="auto" w:fill="DEEAF6" w:themeFill="accent5" w:themeFillTint="33"/>
            <w:vAlign w:val="center"/>
          </w:tcPr>
          <w:p w14:paraId="1014A0A8" w14:textId="77777777" w:rsidR="002C4E72" w:rsidRPr="00416C2F" w:rsidRDefault="002C4E72">
            <w:pPr>
              <w:spacing w:before="40" w:after="40"/>
              <w:jc w:val="center"/>
              <w:rPr>
                <w:rFonts w:cs="Arial"/>
                <w:color w:val="000000"/>
                <w:sz w:val="20"/>
                <w:szCs w:val="20"/>
              </w:rPr>
            </w:pPr>
          </w:p>
        </w:tc>
        <w:tc>
          <w:tcPr>
            <w:tcW w:w="894" w:type="dxa"/>
            <w:tcBorders>
              <w:bottom w:val="double" w:sz="4" w:space="0" w:color="auto"/>
            </w:tcBorders>
            <w:shd w:val="clear" w:color="auto" w:fill="DEEAF6" w:themeFill="accent5" w:themeFillTint="33"/>
            <w:vAlign w:val="center"/>
          </w:tcPr>
          <w:p w14:paraId="02640BE6" w14:textId="77777777" w:rsidR="002C4E72" w:rsidRPr="00416C2F" w:rsidRDefault="002C4E72">
            <w:pPr>
              <w:spacing w:before="40" w:after="40"/>
              <w:jc w:val="center"/>
              <w:rPr>
                <w:rFonts w:cs="Arial"/>
                <w:color w:val="000000"/>
                <w:sz w:val="20"/>
                <w:szCs w:val="20"/>
              </w:rPr>
            </w:pPr>
            <w:r w:rsidRPr="00FA2A84">
              <w:rPr>
                <w:sz w:val="20"/>
                <w:szCs w:val="20"/>
              </w:rPr>
              <w:t>G</w:t>
            </w:r>
          </w:p>
        </w:tc>
        <w:tc>
          <w:tcPr>
            <w:tcW w:w="894" w:type="dxa"/>
            <w:tcBorders>
              <w:bottom w:val="double" w:sz="4" w:space="0" w:color="auto"/>
            </w:tcBorders>
            <w:shd w:val="clear" w:color="auto" w:fill="DEEAF6" w:themeFill="accent5" w:themeFillTint="33"/>
            <w:vAlign w:val="center"/>
          </w:tcPr>
          <w:p w14:paraId="5329393D" w14:textId="77777777" w:rsidR="002C4E72" w:rsidRPr="00416C2F" w:rsidRDefault="002C4E72">
            <w:pPr>
              <w:spacing w:before="40" w:after="40"/>
              <w:jc w:val="center"/>
              <w:rPr>
                <w:rFonts w:cs="Arial"/>
                <w:color w:val="000000"/>
                <w:sz w:val="20"/>
                <w:szCs w:val="20"/>
              </w:rPr>
            </w:pPr>
            <w:r w:rsidRPr="00FA2A84">
              <w:rPr>
                <w:sz w:val="20"/>
                <w:szCs w:val="20"/>
              </w:rPr>
              <w:t>F</w:t>
            </w:r>
          </w:p>
        </w:tc>
        <w:tc>
          <w:tcPr>
            <w:tcW w:w="894" w:type="dxa"/>
            <w:tcBorders>
              <w:bottom w:val="double" w:sz="4" w:space="0" w:color="auto"/>
            </w:tcBorders>
            <w:shd w:val="clear" w:color="auto" w:fill="DEEAF6" w:themeFill="accent5" w:themeFillTint="33"/>
            <w:vAlign w:val="center"/>
          </w:tcPr>
          <w:p w14:paraId="6F85CC53" w14:textId="77777777" w:rsidR="002C4E72" w:rsidRPr="00416C2F" w:rsidRDefault="002C4E72">
            <w:pPr>
              <w:spacing w:before="40" w:after="40"/>
              <w:jc w:val="center"/>
              <w:rPr>
                <w:rFonts w:cs="Arial"/>
                <w:color w:val="000000"/>
                <w:sz w:val="20"/>
                <w:szCs w:val="20"/>
              </w:rPr>
            </w:pPr>
            <w:r w:rsidRPr="00FA2A84">
              <w:rPr>
                <w:sz w:val="20"/>
                <w:szCs w:val="20"/>
              </w:rPr>
              <w:t>E</w:t>
            </w:r>
          </w:p>
        </w:tc>
        <w:tc>
          <w:tcPr>
            <w:tcW w:w="894" w:type="dxa"/>
            <w:tcBorders>
              <w:bottom w:val="double" w:sz="4" w:space="0" w:color="auto"/>
            </w:tcBorders>
            <w:shd w:val="clear" w:color="auto" w:fill="DEEAF6" w:themeFill="accent5" w:themeFillTint="33"/>
            <w:vAlign w:val="center"/>
          </w:tcPr>
          <w:p w14:paraId="7AFC83F6" w14:textId="77777777" w:rsidR="002C4E72" w:rsidRPr="00416C2F" w:rsidRDefault="002C4E72">
            <w:pPr>
              <w:spacing w:before="40" w:after="40"/>
              <w:jc w:val="center"/>
              <w:rPr>
                <w:rFonts w:cs="Arial"/>
                <w:color w:val="000000"/>
                <w:sz w:val="20"/>
                <w:szCs w:val="20"/>
              </w:rPr>
            </w:pPr>
            <w:r w:rsidRPr="00FA2A84">
              <w:rPr>
                <w:sz w:val="20"/>
                <w:szCs w:val="20"/>
              </w:rPr>
              <w:t>D</w:t>
            </w:r>
          </w:p>
        </w:tc>
        <w:tc>
          <w:tcPr>
            <w:tcW w:w="894" w:type="dxa"/>
            <w:tcBorders>
              <w:bottom w:val="double" w:sz="4" w:space="0" w:color="auto"/>
            </w:tcBorders>
            <w:shd w:val="clear" w:color="auto" w:fill="DEEAF6" w:themeFill="accent5" w:themeFillTint="33"/>
            <w:vAlign w:val="center"/>
          </w:tcPr>
          <w:p w14:paraId="445F5F4A" w14:textId="77777777" w:rsidR="002C4E72" w:rsidRPr="00416C2F" w:rsidRDefault="002C4E72">
            <w:pPr>
              <w:spacing w:before="40" w:after="40"/>
              <w:jc w:val="center"/>
              <w:rPr>
                <w:rFonts w:cs="Arial"/>
                <w:color w:val="000000"/>
                <w:sz w:val="20"/>
                <w:szCs w:val="20"/>
              </w:rPr>
            </w:pPr>
            <w:r w:rsidRPr="00FA2A84">
              <w:rPr>
                <w:sz w:val="20"/>
                <w:szCs w:val="20"/>
              </w:rPr>
              <w:t>C</w:t>
            </w:r>
          </w:p>
        </w:tc>
        <w:tc>
          <w:tcPr>
            <w:tcW w:w="894" w:type="dxa"/>
            <w:tcBorders>
              <w:bottom w:val="double" w:sz="4" w:space="0" w:color="auto"/>
            </w:tcBorders>
            <w:shd w:val="clear" w:color="auto" w:fill="DEEAF6" w:themeFill="accent5" w:themeFillTint="33"/>
            <w:vAlign w:val="center"/>
          </w:tcPr>
          <w:p w14:paraId="19D77B84" w14:textId="77777777" w:rsidR="002C4E72" w:rsidRPr="00416C2F" w:rsidRDefault="002C4E72">
            <w:pPr>
              <w:spacing w:before="40" w:after="40"/>
              <w:jc w:val="center"/>
              <w:rPr>
                <w:rFonts w:cs="Arial"/>
                <w:color w:val="000000"/>
                <w:sz w:val="20"/>
                <w:szCs w:val="20"/>
              </w:rPr>
            </w:pPr>
            <w:r w:rsidRPr="00FA2A84">
              <w:rPr>
                <w:sz w:val="20"/>
                <w:szCs w:val="20"/>
              </w:rPr>
              <w:t>B</w:t>
            </w:r>
          </w:p>
        </w:tc>
        <w:tc>
          <w:tcPr>
            <w:tcW w:w="894" w:type="dxa"/>
            <w:tcBorders>
              <w:bottom w:val="double" w:sz="4" w:space="0" w:color="auto"/>
            </w:tcBorders>
            <w:shd w:val="clear" w:color="auto" w:fill="DEEAF6" w:themeFill="accent5" w:themeFillTint="33"/>
            <w:vAlign w:val="center"/>
          </w:tcPr>
          <w:p w14:paraId="7AAA446D" w14:textId="77777777" w:rsidR="002C4E72" w:rsidRPr="00416C2F" w:rsidRDefault="002C4E72">
            <w:pPr>
              <w:spacing w:before="40" w:after="40"/>
              <w:jc w:val="center"/>
              <w:rPr>
                <w:rFonts w:cs="Arial"/>
                <w:color w:val="000000"/>
                <w:sz w:val="20"/>
                <w:szCs w:val="20"/>
              </w:rPr>
            </w:pPr>
            <w:r w:rsidRPr="00FA2A84">
              <w:rPr>
                <w:sz w:val="20"/>
                <w:szCs w:val="20"/>
              </w:rPr>
              <w:t>A</w:t>
            </w:r>
          </w:p>
        </w:tc>
      </w:tr>
      <w:tr w:rsidR="00DA21BC" w:rsidRPr="00416C2F" w14:paraId="76674814" w14:textId="77777777" w:rsidTr="00B03641">
        <w:tc>
          <w:tcPr>
            <w:tcW w:w="615" w:type="dxa"/>
            <w:vMerge w:val="restart"/>
            <w:tcBorders>
              <w:top w:val="double" w:sz="4" w:space="0" w:color="auto"/>
            </w:tcBorders>
            <w:vAlign w:val="center"/>
          </w:tcPr>
          <w:p w14:paraId="0E469B61" w14:textId="77777777" w:rsidR="008C7654" w:rsidRPr="00416C2F" w:rsidRDefault="008C7654" w:rsidP="008C7654">
            <w:pPr>
              <w:spacing w:before="40" w:after="40"/>
              <w:jc w:val="center"/>
              <w:rPr>
                <w:rFonts w:cs="Arial"/>
                <w:color w:val="000000"/>
                <w:sz w:val="20"/>
                <w:szCs w:val="20"/>
              </w:rPr>
            </w:pPr>
            <w:r w:rsidRPr="00FA2A84">
              <w:rPr>
                <w:sz w:val="20"/>
                <w:szCs w:val="20"/>
              </w:rPr>
              <w:t>128</w:t>
            </w:r>
          </w:p>
        </w:tc>
        <w:tc>
          <w:tcPr>
            <w:tcW w:w="615" w:type="dxa"/>
            <w:vMerge w:val="restart"/>
            <w:tcBorders>
              <w:top w:val="double" w:sz="4" w:space="0" w:color="auto"/>
            </w:tcBorders>
            <w:vAlign w:val="center"/>
          </w:tcPr>
          <w:p w14:paraId="45C3960E"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7B606B4D"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3D016F78" w14:textId="67770E1F" w:rsidR="008C7654" w:rsidRPr="00416C2F" w:rsidRDefault="008C7654" w:rsidP="008C7654">
            <w:pPr>
              <w:spacing w:before="40" w:after="40"/>
              <w:jc w:val="center"/>
              <w:rPr>
                <w:rFonts w:cs="Arial"/>
                <w:color w:val="000000"/>
                <w:sz w:val="20"/>
                <w:szCs w:val="20"/>
              </w:rPr>
            </w:pPr>
            <w:r w:rsidRPr="00FA2A84">
              <w:rPr>
                <w:sz w:val="20"/>
                <w:szCs w:val="20"/>
              </w:rPr>
              <w:t>1.38</w:t>
            </w:r>
          </w:p>
        </w:tc>
        <w:tc>
          <w:tcPr>
            <w:tcW w:w="995" w:type="dxa"/>
            <w:tcBorders>
              <w:top w:val="double" w:sz="4" w:space="0" w:color="auto"/>
              <w:left w:val="double" w:sz="4" w:space="0" w:color="auto"/>
            </w:tcBorders>
            <w:shd w:val="clear" w:color="auto" w:fill="DEEAF6" w:themeFill="accent5" w:themeFillTint="33"/>
          </w:tcPr>
          <w:p w14:paraId="7B1E2A3A" w14:textId="5D65B565" w:rsidR="008C7654" w:rsidRPr="00337C3E" w:rsidRDefault="008C7654" w:rsidP="008C7654">
            <w:pPr>
              <w:spacing w:before="40" w:after="40"/>
              <w:jc w:val="center"/>
              <w:rPr>
                <w:sz w:val="20"/>
                <w:szCs w:val="20"/>
              </w:rPr>
            </w:pPr>
            <w:r w:rsidRPr="009E54DE">
              <w:rPr>
                <w:szCs w:val="20"/>
              </w:rPr>
              <w:t>1.32</w:t>
            </w:r>
          </w:p>
        </w:tc>
        <w:tc>
          <w:tcPr>
            <w:tcW w:w="894" w:type="dxa"/>
            <w:tcBorders>
              <w:top w:val="double" w:sz="4" w:space="0" w:color="auto"/>
            </w:tcBorders>
            <w:shd w:val="clear" w:color="auto" w:fill="DEEAF6" w:themeFill="accent5" w:themeFillTint="33"/>
          </w:tcPr>
          <w:p w14:paraId="4F46F8E4" w14:textId="21ECC061" w:rsidR="008C7654" w:rsidRPr="00337C3E" w:rsidRDefault="008C7654" w:rsidP="008C7654">
            <w:pPr>
              <w:spacing w:before="40" w:after="40"/>
              <w:jc w:val="center"/>
              <w:rPr>
                <w:sz w:val="20"/>
                <w:szCs w:val="20"/>
              </w:rPr>
            </w:pPr>
            <w:r w:rsidRPr="009E54DE">
              <w:rPr>
                <w:szCs w:val="20"/>
              </w:rPr>
              <w:t>1.34</w:t>
            </w:r>
          </w:p>
        </w:tc>
        <w:tc>
          <w:tcPr>
            <w:tcW w:w="894" w:type="dxa"/>
            <w:tcBorders>
              <w:top w:val="double" w:sz="4" w:space="0" w:color="auto"/>
            </w:tcBorders>
            <w:shd w:val="clear" w:color="auto" w:fill="DEEAF6" w:themeFill="accent5" w:themeFillTint="33"/>
          </w:tcPr>
          <w:p w14:paraId="70C72C8D" w14:textId="129D172B" w:rsidR="008C7654" w:rsidRPr="00337C3E" w:rsidRDefault="008C7654" w:rsidP="008C7654">
            <w:pPr>
              <w:spacing w:before="40" w:after="40"/>
              <w:jc w:val="center"/>
              <w:rPr>
                <w:sz w:val="20"/>
                <w:szCs w:val="20"/>
              </w:rPr>
            </w:pPr>
            <w:r w:rsidRPr="009E54DE">
              <w:rPr>
                <w:szCs w:val="20"/>
              </w:rPr>
              <w:t>1.31</w:t>
            </w:r>
          </w:p>
        </w:tc>
        <w:tc>
          <w:tcPr>
            <w:tcW w:w="894" w:type="dxa"/>
            <w:tcBorders>
              <w:top w:val="double" w:sz="4" w:space="0" w:color="auto"/>
            </w:tcBorders>
            <w:shd w:val="clear" w:color="auto" w:fill="DEEAF6" w:themeFill="accent5" w:themeFillTint="33"/>
          </w:tcPr>
          <w:p w14:paraId="24050261" w14:textId="2F8E7C80" w:rsidR="008C7654" w:rsidRPr="00337C3E" w:rsidRDefault="008C7654" w:rsidP="008C7654">
            <w:pPr>
              <w:spacing w:before="40" w:after="40"/>
              <w:jc w:val="center"/>
              <w:rPr>
                <w:sz w:val="20"/>
                <w:szCs w:val="20"/>
              </w:rPr>
            </w:pPr>
            <w:r w:rsidRPr="009E54DE">
              <w:rPr>
                <w:szCs w:val="20"/>
              </w:rPr>
              <w:t>1.33</w:t>
            </w:r>
          </w:p>
        </w:tc>
        <w:tc>
          <w:tcPr>
            <w:tcW w:w="894" w:type="dxa"/>
            <w:tcBorders>
              <w:top w:val="double" w:sz="4" w:space="0" w:color="auto"/>
            </w:tcBorders>
            <w:shd w:val="clear" w:color="auto" w:fill="DEEAF6" w:themeFill="accent5" w:themeFillTint="33"/>
          </w:tcPr>
          <w:p w14:paraId="6F38FF1A" w14:textId="084B16F7" w:rsidR="008C7654" w:rsidRPr="00337C3E" w:rsidRDefault="008C7654" w:rsidP="008C7654">
            <w:pPr>
              <w:spacing w:before="40" w:after="40"/>
              <w:jc w:val="center"/>
              <w:rPr>
                <w:sz w:val="20"/>
                <w:szCs w:val="20"/>
              </w:rPr>
            </w:pPr>
            <w:r w:rsidRPr="009E54DE">
              <w:rPr>
                <w:szCs w:val="20"/>
              </w:rPr>
              <w:t>1.31</w:t>
            </w:r>
          </w:p>
        </w:tc>
        <w:tc>
          <w:tcPr>
            <w:tcW w:w="894" w:type="dxa"/>
            <w:tcBorders>
              <w:top w:val="double" w:sz="4" w:space="0" w:color="auto"/>
            </w:tcBorders>
            <w:shd w:val="clear" w:color="auto" w:fill="DEEAF6" w:themeFill="accent5" w:themeFillTint="33"/>
          </w:tcPr>
          <w:p w14:paraId="789F8DAA" w14:textId="43BCBAC0" w:rsidR="008C7654" w:rsidRPr="00337C3E" w:rsidRDefault="008C7654" w:rsidP="008C7654">
            <w:pPr>
              <w:spacing w:before="40" w:after="40"/>
              <w:jc w:val="center"/>
              <w:rPr>
                <w:sz w:val="20"/>
                <w:szCs w:val="20"/>
              </w:rPr>
            </w:pPr>
            <w:r w:rsidRPr="009E54DE">
              <w:rPr>
                <w:szCs w:val="20"/>
              </w:rPr>
              <w:t>1.31</w:t>
            </w:r>
          </w:p>
        </w:tc>
        <w:tc>
          <w:tcPr>
            <w:tcW w:w="894" w:type="dxa"/>
            <w:tcBorders>
              <w:top w:val="double" w:sz="4" w:space="0" w:color="auto"/>
            </w:tcBorders>
            <w:shd w:val="clear" w:color="auto" w:fill="DEEAF6" w:themeFill="accent5" w:themeFillTint="33"/>
          </w:tcPr>
          <w:p w14:paraId="1C0AB177" w14:textId="3A553A5B" w:rsidR="008C7654" w:rsidRPr="00337C3E" w:rsidRDefault="008C7654" w:rsidP="008C7654">
            <w:pPr>
              <w:spacing w:before="40" w:after="40"/>
              <w:jc w:val="center"/>
              <w:rPr>
                <w:sz w:val="20"/>
                <w:szCs w:val="20"/>
              </w:rPr>
            </w:pPr>
            <w:r w:rsidRPr="009E54DE">
              <w:rPr>
                <w:szCs w:val="20"/>
              </w:rPr>
              <w:t>1.35</w:t>
            </w:r>
          </w:p>
        </w:tc>
        <w:tc>
          <w:tcPr>
            <w:tcW w:w="894" w:type="dxa"/>
            <w:tcBorders>
              <w:top w:val="double" w:sz="4" w:space="0" w:color="auto"/>
            </w:tcBorders>
            <w:shd w:val="clear" w:color="auto" w:fill="DEEAF6" w:themeFill="accent5" w:themeFillTint="33"/>
          </w:tcPr>
          <w:p w14:paraId="6146DBB3" w14:textId="72AC9065" w:rsidR="008C7654" w:rsidRPr="00337C3E" w:rsidRDefault="008C7654" w:rsidP="008C7654">
            <w:pPr>
              <w:spacing w:before="40" w:after="40"/>
              <w:jc w:val="center"/>
              <w:rPr>
                <w:sz w:val="20"/>
                <w:szCs w:val="20"/>
              </w:rPr>
            </w:pPr>
            <w:r w:rsidRPr="009E54DE">
              <w:rPr>
                <w:szCs w:val="20"/>
              </w:rPr>
              <w:t>1.30</w:t>
            </w:r>
          </w:p>
        </w:tc>
      </w:tr>
      <w:tr w:rsidR="00C87D4C" w:rsidRPr="00416C2F" w14:paraId="55DFDBA8" w14:textId="77777777" w:rsidTr="00B03641">
        <w:tc>
          <w:tcPr>
            <w:tcW w:w="615" w:type="dxa"/>
            <w:vMerge/>
            <w:vAlign w:val="center"/>
          </w:tcPr>
          <w:p w14:paraId="7345103D" w14:textId="77777777" w:rsidR="008C7654" w:rsidRPr="00416C2F" w:rsidRDefault="008C7654" w:rsidP="008C7654">
            <w:pPr>
              <w:spacing w:before="40" w:after="40"/>
              <w:jc w:val="center"/>
              <w:rPr>
                <w:rFonts w:cs="Arial"/>
                <w:color w:val="000000"/>
                <w:sz w:val="20"/>
                <w:szCs w:val="20"/>
              </w:rPr>
            </w:pPr>
          </w:p>
        </w:tc>
        <w:tc>
          <w:tcPr>
            <w:tcW w:w="615" w:type="dxa"/>
            <w:vMerge/>
            <w:vAlign w:val="center"/>
          </w:tcPr>
          <w:p w14:paraId="3B8CE06F"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268AC7EF"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3524EBD9" w14:textId="77777777" w:rsidR="008C7654" w:rsidRPr="00416C2F" w:rsidRDefault="008C7654" w:rsidP="008C7654">
            <w:pPr>
              <w:spacing w:before="40" w:after="40"/>
              <w:jc w:val="center"/>
              <w:rPr>
                <w:rFonts w:cs="Arial"/>
                <w:color w:val="000000"/>
                <w:sz w:val="20"/>
                <w:szCs w:val="20"/>
              </w:rPr>
            </w:pPr>
          </w:p>
        </w:tc>
        <w:tc>
          <w:tcPr>
            <w:tcW w:w="995" w:type="dxa"/>
            <w:tcBorders>
              <w:left w:val="double" w:sz="4" w:space="0" w:color="auto"/>
            </w:tcBorders>
            <w:shd w:val="clear" w:color="auto" w:fill="DEEAF6" w:themeFill="accent5" w:themeFillTint="33"/>
          </w:tcPr>
          <w:p w14:paraId="6478BD5F" w14:textId="612C5CA3" w:rsidR="008C7654" w:rsidRPr="00337C3E" w:rsidRDefault="008C7654" w:rsidP="008C7654">
            <w:pPr>
              <w:spacing w:before="40" w:after="40"/>
              <w:jc w:val="center"/>
              <w:rPr>
                <w:sz w:val="20"/>
                <w:szCs w:val="20"/>
              </w:rPr>
            </w:pPr>
            <w:r w:rsidRPr="009E54DE">
              <w:rPr>
                <w:szCs w:val="20"/>
              </w:rPr>
              <w:t>1.45</w:t>
            </w:r>
          </w:p>
        </w:tc>
        <w:tc>
          <w:tcPr>
            <w:tcW w:w="894" w:type="dxa"/>
            <w:shd w:val="clear" w:color="auto" w:fill="DEEAF6" w:themeFill="accent5" w:themeFillTint="33"/>
          </w:tcPr>
          <w:p w14:paraId="0705C1AD" w14:textId="7DEAD36B" w:rsidR="008C7654" w:rsidRPr="00337C3E" w:rsidRDefault="008C7654" w:rsidP="008C7654">
            <w:pPr>
              <w:spacing w:before="40" w:after="40"/>
              <w:jc w:val="center"/>
              <w:rPr>
                <w:sz w:val="20"/>
                <w:szCs w:val="20"/>
              </w:rPr>
            </w:pPr>
            <w:r w:rsidRPr="009E54DE">
              <w:rPr>
                <w:szCs w:val="20"/>
              </w:rPr>
              <w:t>1.44</w:t>
            </w:r>
          </w:p>
        </w:tc>
        <w:tc>
          <w:tcPr>
            <w:tcW w:w="894" w:type="dxa"/>
            <w:shd w:val="clear" w:color="auto" w:fill="DEEAF6" w:themeFill="accent5" w:themeFillTint="33"/>
          </w:tcPr>
          <w:p w14:paraId="02E3CD5D" w14:textId="34BDB9E4" w:rsidR="008C7654" w:rsidRPr="00337C3E" w:rsidRDefault="008C7654" w:rsidP="008C7654">
            <w:pPr>
              <w:spacing w:before="40" w:after="40"/>
              <w:jc w:val="center"/>
              <w:rPr>
                <w:sz w:val="20"/>
                <w:szCs w:val="20"/>
              </w:rPr>
            </w:pPr>
            <w:r w:rsidRPr="009E54DE">
              <w:rPr>
                <w:szCs w:val="20"/>
              </w:rPr>
              <w:t>1.46</w:t>
            </w:r>
          </w:p>
        </w:tc>
        <w:tc>
          <w:tcPr>
            <w:tcW w:w="894" w:type="dxa"/>
            <w:shd w:val="clear" w:color="auto" w:fill="DEEAF6" w:themeFill="accent5" w:themeFillTint="33"/>
          </w:tcPr>
          <w:p w14:paraId="784A0F25" w14:textId="6D9129C8" w:rsidR="008C7654" w:rsidRPr="00337C3E" w:rsidRDefault="008C7654" w:rsidP="008C7654">
            <w:pPr>
              <w:spacing w:before="40" w:after="40"/>
              <w:jc w:val="center"/>
              <w:rPr>
                <w:sz w:val="20"/>
                <w:szCs w:val="20"/>
              </w:rPr>
            </w:pPr>
            <w:r w:rsidRPr="009E54DE">
              <w:rPr>
                <w:szCs w:val="20"/>
              </w:rPr>
              <w:t>1.49</w:t>
            </w:r>
          </w:p>
        </w:tc>
        <w:tc>
          <w:tcPr>
            <w:tcW w:w="894" w:type="dxa"/>
            <w:shd w:val="clear" w:color="auto" w:fill="DEEAF6" w:themeFill="accent5" w:themeFillTint="33"/>
          </w:tcPr>
          <w:p w14:paraId="4C33FEA5" w14:textId="74FCC235" w:rsidR="008C7654" w:rsidRPr="00337C3E" w:rsidRDefault="008C7654" w:rsidP="008C7654">
            <w:pPr>
              <w:spacing w:before="40" w:after="40"/>
              <w:jc w:val="center"/>
              <w:rPr>
                <w:sz w:val="20"/>
                <w:szCs w:val="20"/>
              </w:rPr>
            </w:pPr>
            <w:r w:rsidRPr="009E54DE">
              <w:rPr>
                <w:szCs w:val="20"/>
              </w:rPr>
              <w:t>1.47</w:t>
            </w:r>
          </w:p>
        </w:tc>
        <w:tc>
          <w:tcPr>
            <w:tcW w:w="894" w:type="dxa"/>
            <w:shd w:val="clear" w:color="auto" w:fill="DEEAF6" w:themeFill="accent5" w:themeFillTint="33"/>
          </w:tcPr>
          <w:p w14:paraId="01BCE89F" w14:textId="1FB36278" w:rsidR="008C7654" w:rsidRPr="00337C3E" w:rsidRDefault="008C7654" w:rsidP="008C7654">
            <w:pPr>
              <w:spacing w:before="40" w:after="40"/>
              <w:jc w:val="center"/>
              <w:rPr>
                <w:sz w:val="20"/>
                <w:szCs w:val="20"/>
              </w:rPr>
            </w:pPr>
            <w:r w:rsidRPr="009E54DE">
              <w:rPr>
                <w:szCs w:val="20"/>
              </w:rPr>
              <w:t>1.47</w:t>
            </w:r>
          </w:p>
        </w:tc>
        <w:tc>
          <w:tcPr>
            <w:tcW w:w="894" w:type="dxa"/>
            <w:shd w:val="clear" w:color="auto" w:fill="DEEAF6" w:themeFill="accent5" w:themeFillTint="33"/>
          </w:tcPr>
          <w:p w14:paraId="4734C5B9" w14:textId="3FD548C5" w:rsidR="008C7654" w:rsidRPr="00337C3E" w:rsidRDefault="008C7654" w:rsidP="008C7654">
            <w:pPr>
              <w:spacing w:before="40" w:after="40"/>
              <w:jc w:val="center"/>
              <w:rPr>
                <w:sz w:val="20"/>
                <w:szCs w:val="20"/>
              </w:rPr>
            </w:pPr>
            <w:r w:rsidRPr="009E54DE">
              <w:rPr>
                <w:szCs w:val="20"/>
              </w:rPr>
              <w:t>1.43</w:t>
            </w:r>
          </w:p>
        </w:tc>
        <w:tc>
          <w:tcPr>
            <w:tcW w:w="894" w:type="dxa"/>
            <w:shd w:val="clear" w:color="auto" w:fill="DEEAF6" w:themeFill="accent5" w:themeFillTint="33"/>
          </w:tcPr>
          <w:p w14:paraId="4E921942" w14:textId="745589BA" w:rsidR="008C7654" w:rsidRPr="00337C3E" w:rsidRDefault="008C7654" w:rsidP="008C7654">
            <w:pPr>
              <w:spacing w:before="40" w:after="40"/>
              <w:jc w:val="center"/>
              <w:rPr>
                <w:sz w:val="20"/>
                <w:szCs w:val="20"/>
              </w:rPr>
            </w:pPr>
            <w:r w:rsidRPr="009E54DE">
              <w:rPr>
                <w:szCs w:val="20"/>
              </w:rPr>
              <w:t>1.42</w:t>
            </w:r>
          </w:p>
        </w:tc>
      </w:tr>
      <w:tr w:rsidR="00DA21BC" w:rsidRPr="00416C2F" w14:paraId="4A7ABCD1" w14:textId="77777777" w:rsidTr="00B03641">
        <w:tc>
          <w:tcPr>
            <w:tcW w:w="615" w:type="dxa"/>
            <w:vMerge/>
            <w:tcBorders>
              <w:bottom w:val="double" w:sz="4" w:space="0" w:color="auto"/>
            </w:tcBorders>
            <w:vAlign w:val="center"/>
          </w:tcPr>
          <w:p w14:paraId="07FA9E57" w14:textId="77777777" w:rsidR="008C7654" w:rsidRPr="00416C2F" w:rsidRDefault="008C7654" w:rsidP="008C7654">
            <w:pPr>
              <w:spacing w:before="40" w:after="40"/>
              <w:jc w:val="center"/>
              <w:rPr>
                <w:rFonts w:cs="Arial"/>
                <w:color w:val="000000"/>
                <w:sz w:val="20"/>
                <w:szCs w:val="20"/>
              </w:rPr>
            </w:pPr>
          </w:p>
        </w:tc>
        <w:tc>
          <w:tcPr>
            <w:tcW w:w="615" w:type="dxa"/>
            <w:vMerge/>
            <w:tcBorders>
              <w:bottom w:val="double" w:sz="4" w:space="0" w:color="auto"/>
            </w:tcBorders>
            <w:vAlign w:val="center"/>
          </w:tcPr>
          <w:p w14:paraId="34992F12" w14:textId="77777777" w:rsidR="008C7654" w:rsidRPr="00FA2A84" w:rsidRDefault="008C7654" w:rsidP="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73AF999B" w14:textId="77777777" w:rsidR="008C7654" w:rsidRPr="00416C2F"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2A4C7DF" w14:textId="77777777" w:rsidR="008C7654" w:rsidRPr="00416C2F" w:rsidRDefault="008C7654" w:rsidP="008C7654">
            <w:pPr>
              <w:spacing w:before="40" w:after="40"/>
              <w:jc w:val="center"/>
              <w:rPr>
                <w:rFonts w:cs="Arial"/>
                <w:color w:val="000000"/>
                <w:sz w:val="20"/>
                <w:szCs w:val="20"/>
              </w:rPr>
            </w:pPr>
          </w:p>
        </w:tc>
        <w:tc>
          <w:tcPr>
            <w:tcW w:w="995" w:type="dxa"/>
            <w:tcBorders>
              <w:left w:val="double" w:sz="4" w:space="0" w:color="auto"/>
              <w:bottom w:val="double" w:sz="4" w:space="0" w:color="auto"/>
            </w:tcBorders>
            <w:shd w:val="clear" w:color="auto" w:fill="DEEAF6" w:themeFill="accent5" w:themeFillTint="33"/>
          </w:tcPr>
          <w:p w14:paraId="76947386" w14:textId="10918E72" w:rsidR="008C7654" w:rsidRPr="00337C3E" w:rsidRDefault="008C7654" w:rsidP="008C7654">
            <w:pPr>
              <w:spacing w:before="40" w:after="40"/>
              <w:jc w:val="center"/>
              <w:rPr>
                <w:sz w:val="20"/>
                <w:szCs w:val="20"/>
              </w:rPr>
            </w:pPr>
            <w:r w:rsidRPr="009E54DE">
              <w:rPr>
                <w:szCs w:val="20"/>
              </w:rPr>
              <w:t>1.71</w:t>
            </w:r>
          </w:p>
        </w:tc>
        <w:tc>
          <w:tcPr>
            <w:tcW w:w="894" w:type="dxa"/>
            <w:tcBorders>
              <w:bottom w:val="double" w:sz="4" w:space="0" w:color="auto"/>
            </w:tcBorders>
            <w:shd w:val="clear" w:color="auto" w:fill="DEEAF6" w:themeFill="accent5" w:themeFillTint="33"/>
          </w:tcPr>
          <w:p w14:paraId="3820E0C1" w14:textId="3B127837" w:rsidR="008C7654" w:rsidRPr="00337C3E" w:rsidRDefault="008C7654" w:rsidP="008C7654">
            <w:pPr>
              <w:spacing w:before="40" w:after="40"/>
              <w:jc w:val="center"/>
              <w:rPr>
                <w:sz w:val="20"/>
                <w:szCs w:val="20"/>
              </w:rPr>
            </w:pPr>
            <w:r w:rsidRPr="009E54DE">
              <w:rPr>
                <w:szCs w:val="20"/>
              </w:rPr>
              <w:t>1.73</w:t>
            </w:r>
          </w:p>
        </w:tc>
        <w:tc>
          <w:tcPr>
            <w:tcW w:w="894" w:type="dxa"/>
            <w:tcBorders>
              <w:bottom w:val="double" w:sz="4" w:space="0" w:color="auto"/>
            </w:tcBorders>
            <w:shd w:val="clear" w:color="auto" w:fill="DEEAF6" w:themeFill="accent5" w:themeFillTint="33"/>
          </w:tcPr>
          <w:p w14:paraId="605B165E" w14:textId="4E9AB6CA" w:rsidR="008C7654" w:rsidRPr="00337C3E" w:rsidRDefault="008C7654" w:rsidP="008C7654">
            <w:pPr>
              <w:spacing w:before="40" w:after="40"/>
              <w:jc w:val="center"/>
              <w:rPr>
                <w:sz w:val="20"/>
                <w:szCs w:val="20"/>
              </w:rPr>
            </w:pPr>
            <w:r w:rsidRPr="009E54DE">
              <w:rPr>
                <w:szCs w:val="20"/>
              </w:rPr>
              <w:t>1.77</w:t>
            </w:r>
          </w:p>
        </w:tc>
        <w:tc>
          <w:tcPr>
            <w:tcW w:w="894" w:type="dxa"/>
            <w:tcBorders>
              <w:bottom w:val="double" w:sz="4" w:space="0" w:color="auto"/>
            </w:tcBorders>
            <w:shd w:val="clear" w:color="auto" w:fill="DEEAF6" w:themeFill="accent5" w:themeFillTint="33"/>
          </w:tcPr>
          <w:p w14:paraId="2175EE37" w14:textId="206330F0" w:rsidR="008C7654" w:rsidRPr="00337C3E" w:rsidRDefault="008C7654" w:rsidP="008C7654">
            <w:pPr>
              <w:spacing w:before="40" w:after="40"/>
              <w:jc w:val="center"/>
              <w:rPr>
                <w:sz w:val="20"/>
                <w:szCs w:val="20"/>
              </w:rPr>
            </w:pPr>
            <w:r w:rsidRPr="009E54DE">
              <w:rPr>
                <w:szCs w:val="20"/>
              </w:rPr>
              <w:t>1.73</w:t>
            </w:r>
          </w:p>
        </w:tc>
        <w:tc>
          <w:tcPr>
            <w:tcW w:w="894" w:type="dxa"/>
            <w:tcBorders>
              <w:bottom w:val="double" w:sz="4" w:space="0" w:color="auto"/>
            </w:tcBorders>
            <w:shd w:val="clear" w:color="auto" w:fill="DEEAF6" w:themeFill="accent5" w:themeFillTint="33"/>
          </w:tcPr>
          <w:p w14:paraId="44407432" w14:textId="18591A97" w:rsidR="008C7654" w:rsidRPr="00337C3E" w:rsidRDefault="008C7654" w:rsidP="008C7654">
            <w:pPr>
              <w:spacing w:before="40" w:after="40"/>
              <w:jc w:val="center"/>
              <w:rPr>
                <w:sz w:val="20"/>
                <w:szCs w:val="20"/>
              </w:rPr>
            </w:pPr>
            <w:r w:rsidRPr="009E54DE">
              <w:rPr>
                <w:szCs w:val="20"/>
              </w:rPr>
              <w:t>1.73</w:t>
            </w:r>
          </w:p>
        </w:tc>
        <w:tc>
          <w:tcPr>
            <w:tcW w:w="894" w:type="dxa"/>
            <w:tcBorders>
              <w:bottom w:val="double" w:sz="4" w:space="0" w:color="auto"/>
            </w:tcBorders>
            <w:shd w:val="clear" w:color="auto" w:fill="DEEAF6" w:themeFill="accent5" w:themeFillTint="33"/>
          </w:tcPr>
          <w:p w14:paraId="77B66F30" w14:textId="2D5DDD8F" w:rsidR="008C7654" w:rsidRPr="00337C3E" w:rsidRDefault="008C7654" w:rsidP="008C7654">
            <w:pPr>
              <w:spacing w:before="40" w:after="40"/>
              <w:jc w:val="center"/>
              <w:rPr>
                <w:sz w:val="20"/>
                <w:szCs w:val="20"/>
              </w:rPr>
            </w:pPr>
            <w:r w:rsidRPr="009E54DE">
              <w:rPr>
                <w:szCs w:val="20"/>
              </w:rPr>
              <w:t>1.72</w:t>
            </w:r>
          </w:p>
        </w:tc>
        <w:tc>
          <w:tcPr>
            <w:tcW w:w="894" w:type="dxa"/>
            <w:tcBorders>
              <w:bottom w:val="double" w:sz="4" w:space="0" w:color="auto"/>
            </w:tcBorders>
            <w:shd w:val="clear" w:color="auto" w:fill="DEEAF6" w:themeFill="accent5" w:themeFillTint="33"/>
          </w:tcPr>
          <w:p w14:paraId="2CD47A27" w14:textId="05099477" w:rsidR="008C7654" w:rsidRPr="00337C3E" w:rsidRDefault="008C7654" w:rsidP="008C7654">
            <w:pPr>
              <w:spacing w:before="40" w:after="40"/>
              <w:jc w:val="center"/>
              <w:rPr>
                <w:sz w:val="20"/>
                <w:szCs w:val="20"/>
              </w:rPr>
            </w:pPr>
            <w:r w:rsidRPr="009E54DE">
              <w:rPr>
                <w:szCs w:val="20"/>
              </w:rPr>
              <w:t>1.64</w:t>
            </w:r>
          </w:p>
        </w:tc>
        <w:tc>
          <w:tcPr>
            <w:tcW w:w="894" w:type="dxa"/>
            <w:tcBorders>
              <w:bottom w:val="double" w:sz="4" w:space="0" w:color="auto"/>
            </w:tcBorders>
            <w:shd w:val="clear" w:color="auto" w:fill="DEEAF6" w:themeFill="accent5" w:themeFillTint="33"/>
          </w:tcPr>
          <w:p w14:paraId="6E5EEB6E" w14:textId="5B9140B7" w:rsidR="008C7654" w:rsidRPr="00337C3E" w:rsidRDefault="008C7654" w:rsidP="008C7654">
            <w:pPr>
              <w:spacing w:before="40" w:after="40"/>
              <w:jc w:val="center"/>
              <w:rPr>
                <w:sz w:val="20"/>
                <w:szCs w:val="20"/>
              </w:rPr>
            </w:pPr>
            <w:r w:rsidRPr="009E54DE">
              <w:rPr>
                <w:szCs w:val="20"/>
              </w:rPr>
              <w:t>1.66</w:t>
            </w:r>
          </w:p>
        </w:tc>
      </w:tr>
      <w:tr w:rsidR="00DA21BC" w:rsidRPr="00416C2F" w14:paraId="05B064D2" w14:textId="77777777" w:rsidTr="00B03641">
        <w:tc>
          <w:tcPr>
            <w:tcW w:w="615" w:type="dxa"/>
            <w:vMerge w:val="restart"/>
            <w:tcBorders>
              <w:top w:val="double" w:sz="4" w:space="0" w:color="auto"/>
            </w:tcBorders>
            <w:vAlign w:val="center"/>
          </w:tcPr>
          <w:p w14:paraId="61AA8074"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650EDCDF"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063C4516"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513309F3" w14:textId="6E6CA21E" w:rsidR="008C7654" w:rsidRPr="00416C2F" w:rsidRDefault="008C7654" w:rsidP="008C7654">
            <w:pPr>
              <w:spacing w:before="40" w:after="40"/>
              <w:jc w:val="center"/>
              <w:rPr>
                <w:rFonts w:cs="Arial"/>
                <w:color w:val="000000"/>
                <w:sz w:val="20"/>
                <w:szCs w:val="20"/>
              </w:rPr>
            </w:pPr>
            <w:r w:rsidRPr="00FA2A84">
              <w:rPr>
                <w:sz w:val="20"/>
                <w:szCs w:val="20"/>
              </w:rPr>
              <w:t>1.36</w:t>
            </w:r>
          </w:p>
        </w:tc>
        <w:tc>
          <w:tcPr>
            <w:tcW w:w="995" w:type="dxa"/>
            <w:tcBorders>
              <w:top w:val="double" w:sz="4" w:space="0" w:color="auto"/>
              <w:left w:val="double" w:sz="4" w:space="0" w:color="auto"/>
            </w:tcBorders>
            <w:shd w:val="clear" w:color="auto" w:fill="DEEAF6" w:themeFill="accent5" w:themeFillTint="33"/>
          </w:tcPr>
          <w:p w14:paraId="2E118885" w14:textId="5894397B" w:rsidR="008C7654" w:rsidRPr="00337C3E" w:rsidRDefault="008C7654" w:rsidP="008C7654">
            <w:pPr>
              <w:spacing w:before="40" w:after="40"/>
              <w:jc w:val="center"/>
              <w:rPr>
                <w:sz w:val="20"/>
                <w:szCs w:val="20"/>
              </w:rPr>
            </w:pPr>
            <w:r w:rsidRPr="009E54DE">
              <w:rPr>
                <w:szCs w:val="20"/>
              </w:rPr>
              <w:t>1.47</w:t>
            </w:r>
          </w:p>
        </w:tc>
        <w:tc>
          <w:tcPr>
            <w:tcW w:w="894" w:type="dxa"/>
            <w:tcBorders>
              <w:top w:val="double" w:sz="4" w:space="0" w:color="auto"/>
            </w:tcBorders>
            <w:shd w:val="clear" w:color="auto" w:fill="DEEAF6" w:themeFill="accent5" w:themeFillTint="33"/>
          </w:tcPr>
          <w:p w14:paraId="71AF169A" w14:textId="496E02C4" w:rsidR="008C7654" w:rsidRPr="00337C3E" w:rsidRDefault="008C7654" w:rsidP="008C7654">
            <w:pPr>
              <w:spacing w:before="40" w:after="40"/>
              <w:jc w:val="center"/>
              <w:rPr>
                <w:sz w:val="20"/>
                <w:szCs w:val="20"/>
              </w:rPr>
            </w:pPr>
            <w:r w:rsidRPr="009E54DE">
              <w:rPr>
                <w:szCs w:val="20"/>
              </w:rPr>
              <w:t>1.50</w:t>
            </w:r>
          </w:p>
        </w:tc>
        <w:tc>
          <w:tcPr>
            <w:tcW w:w="894" w:type="dxa"/>
            <w:tcBorders>
              <w:top w:val="double" w:sz="4" w:space="0" w:color="auto"/>
            </w:tcBorders>
            <w:shd w:val="clear" w:color="auto" w:fill="DEEAF6" w:themeFill="accent5" w:themeFillTint="33"/>
          </w:tcPr>
          <w:p w14:paraId="65030C4D" w14:textId="1C6D064D" w:rsidR="008C7654" w:rsidRPr="00337C3E" w:rsidRDefault="008C7654" w:rsidP="008C7654">
            <w:pPr>
              <w:spacing w:before="40" w:after="40"/>
              <w:jc w:val="center"/>
              <w:rPr>
                <w:sz w:val="20"/>
                <w:szCs w:val="20"/>
              </w:rPr>
            </w:pPr>
            <w:r w:rsidRPr="009E54DE">
              <w:rPr>
                <w:szCs w:val="20"/>
              </w:rPr>
              <w:t>1.48</w:t>
            </w:r>
          </w:p>
        </w:tc>
        <w:tc>
          <w:tcPr>
            <w:tcW w:w="894" w:type="dxa"/>
            <w:tcBorders>
              <w:top w:val="double" w:sz="4" w:space="0" w:color="auto"/>
            </w:tcBorders>
            <w:shd w:val="clear" w:color="auto" w:fill="DEEAF6" w:themeFill="accent5" w:themeFillTint="33"/>
          </w:tcPr>
          <w:p w14:paraId="40FBD7A4" w14:textId="1D977D6F" w:rsidR="008C7654" w:rsidRPr="00337C3E" w:rsidRDefault="008C7654" w:rsidP="008C7654">
            <w:pPr>
              <w:spacing w:before="40" w:after="40"/>
              <w:jc w:val="center"/>
              <w:rPr>
                <w:sz w:val="20"/>
                <w:szCs w:val="20"/>
              </w:rPr>
            </w:pPr>
            <w:r w:rsidRPr="009E54DE">
              <w:rPr>
                <w:szCs w:val="20"/>
              </w:rPr>
              <w:t>1.47</w:t>
            </w:r>
          </w:p>
        </w:tc>
        <w:tc>
          <w:tcPr>
            <w:tcW w:w="894" w:type="dxa"/>
            <w:tcBorders>
              <w:top w:val="double" w:sz="4" w:space="0" w:color="auto"/>
            </w:tcBorders>
            <w:shd w:val="clear" w:color="auto" w:fill="DEEAF6" w:themeFill="accent5" w:themeFillTint="33"/>
          </w:tcPr>
          <w:p w14:paraId="188C771D" w14:textId="57B3CD69" w:rsidR="008C7654" w:rsidRPr="00337C3E" w:rsidRDefault="008C7654" w:rsidP="008C7654">
            <w:pPr>
              <w:spacing w:before="40" w:after="40"/>
              <w:jc w:val="center"/>
              <w:rPr>
                <w:sz w:val="20"/>
                <w:szCs w:val="20"/>
              </w:rPr>
            </w:pPr>
            <w:r w:rsidRPr="009E54DE">
              <w:rPr>
                <w:szCs w:val="20"/>
              </w:rPr>
              <w:t>1.46</w:t>
            </w:r>
          </w:p>
        </w:tc>
        <w:tc>
          <w:tcPr>
            <w:tcW w:w="894" w:type="dxa"/>
            <w:tcBorders>
              <w:top w:val="double" w:sz="4" w:space="0" w:color="auto"/>
            </w:tcBorders>
            <w:shd w:val="clear" w:color="auto" w:fill="DEEAF6" w:themeFill="accent5" w:themeFillTint="33"/>
          </w:tcPr>
          <w:p w14:paraId="5FC2406A" w14:textId="27DC16EE" w:rsidR="008C7654" w:rsidRPr="00337C3E" w:rsidRDefault="008C7654" w:rsidP="008C7654">
            <w:pPr>
              <w:spacing w:before="40" w:after="40"/>
              <w:jc w:val="center"/>
              <w:rPr>
                <w:sz w:val="20"/>
                <w:szCs w:val="20"/>
              </w:rPr>
            </w:pPr>
            <w:r w:rsidRPr="009E54DE">
              <w:rPr>
                <w:szCs w:val="20"/>
              </w:rPr>
              <w:t>1.43</w:t>
            </w:r>
          </w:p>
        </w:tc>
        <w:tc>
          <w:tcPr>
            <w:tcW w:w="894" w:type="dxa"/>
            <w:tcBorders>
              <w:top w:val="double" w:sz="4" w:space="0" w:color="auto"/>
            </w:tcBorders>
            <w:shd w:val="clear" w:color="auto" w:fill="DEEAF6" w:themeFill="accent5" w:themeFillTint="33"/>
          </w:tcPr>
          <w:p w14:paraId="3A2E1B25" w14:textId="41685D83" w:rsidR="008C7654" w:rsidRPr="00337C3E" w:rsidRDefault="008C7654" w:rsidP="008C7654">
            <w:pPr>
              <w:spacing w:before="40" w:after="40"/>
              <w:jc w:val="center"/>
              <w:rPr>
                <w:sz w:val="20"/>
                <w:szCs w:val="20"/>
              </w:rPr>
            </w:pPr>
            <w:r w:rsidRPr="009E54DE">
              <w:rPr>
                <w:szCs w:val="20"/>
              </w:rPr>
              <w:t>1.47</w:t>
            </w:r>
          </w:p>
        </w:tc>
        <w:tc>
          <w:tcPr>
            <w:tcW w:w="894" w:type="dxa"/>
            <w:tcBorders>
              <w:top w:val="double" w:sz="4" w:space="0" w:color="auto"/>
            </w:tcBorders>
            <w:shd w:val="clear" w:color="auto" w:fill="DEEAF6" w:themeFill="accent5" w:themeFillTint="33"/>
          </w:tcPr>
          <w:p w14:paraId="15D41EDB" w14:textId="5BD83524" w:rsidR="008C7654" w:rsidRPr="00337C3E" w:rsidRDefault="008C7654" w:rsidP="008C7654">
            <w:pPr>
              <w:spacing w:before="40" w:after="40"/>
              <w:jc w:val="center"/>
              <w:rPr>
                <w:sz w:val="20"/>
                <w:szCs w:val="20"/>
              </w:rPr>
            </w:pPr>
            <w:r w:rsidRPr="009E54DE">
              <w:rPr>
                <w:szCs w:val="20"/>
              </w:rPr>
              <w:t>1.48</w:t>
            </w:r>
          </w:p>
        </w:tc>
      </w:tr>
      <w:tr w:rsidR="00DA21BC" w:rsidRPr="00416C2F" w14:paraId="2E40AB0A" w14:textId="77777777" w:rsidTr="00B03641">
        <w:tc>
          <w:tcPr>
            <w:tcW w:w="615" w:type="dxa"/>
            <w:vMerge/>
            <w:tcBorders>
              <w:bottom w:val="double" w:sz="4" w:space="0" w:color="auto"/>
            </w:tcBorders>
            <w:vAlign w:val="center"/>
          </w:tcPr>
          <w:p w14:paraId="5B1874AD" w14:textId="77777777" w:rsidR="008C7654" w:rsidRPr="00416C2F" w:rsidRDefault="008C7654" w:rsidP="008C7654">
            <w:pPr>
              <w:spacing w:before="40" w:after="40"/>
              <w:jc w:val="center"/>
              <w:rPr>
                <w:rFonts w:cs="Arial"/>
                <w:color w:val="000000"/>
                <w:sz w:val="20"/>
                <w:szCs w:val="20"/>
              </w:rPr>
            </w:pPr>
          </w:p>
        </w:tc>
        <w:tc>
          <w:tcPr>
            <w:tcW w:w="615" w:type="dxa"/>
            <w:vMerge/>
            <w:tcBorders>
              <w:bottom w:val="double" w:sz="4" w:space="0" w:color="auto"/>
            </w:tcBorders>
            <w:vAlign w:val="center"/>
          </w:tcPr>
          <w:p w14:paraId="5440E704" w14:textId="77777777" w:rsidR="008C7654" w:rsidRPr="00FA2A84" w:rsidRDefault="008C7654" w:rsidP="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8EB59F2" w14:textId="77777777" w:rsidR="008C7654" w:rsidRPr="00416C2F"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57E67C6B" w14:textId="77777777" w:rsidR="008C7654" w:rsidRPr="00416C2F" w:rsidRDefault="008C7654" w:rsidP="008C7654">
            <w:pPr>
              <w:spacing w:before="40" w:after="40"/>
              <w:jc w:val="center"/>
              <w:rPr>
                <w:rFonts w:cs="Arial"/>
                <w:color w:val="000000"/>
                <w:sz w:val="20"/>
                <w:szCs w:val="20"/>
              </w:rPr>
            </w:pPr>
          </w:p>
        </w:tc>
        <w:tc>
          <w:tcPr>
            <w:tcW w:w="995" w:type="dxa"/>
            <w:tcBorders>
              <w:left w:val="double" w:sz="4" w:space="0" w:color="auto"/>
              <w:bottom w:val="double" w:sz="4" w:space="0" w:color="auto"/>
            </w:tcBorders>
            <w:shd w:val="clear" w:color="auto" w:fill="DEEAF6" w:themeFill="accent5" w:themeFillTint="33"/>
          </w:tcPr>
          <w:p w14:paraId="403FF71A" w14:textId="107B9C05" w:rsidR="008C7654" w:rsidRPr="00337C3E" w:rsidRDefault="008C7654" w:rsidP="008C7654">
            <w:pPr>
              <w:spacing w:before="40" w:after="40"/>
              <w:jc w:val="center"/>
              <w:rPr>
                <w:sz w:val="20"/>
                <w:szCs w:val="20"/>
              </w:rPr>
            </w:pPr>
            <w:r w:rsidRPr="009E54DE">
              <w:rPr>
                <w:szCs w:val="20"/>
              </w:rPr>
              <w:t>1.73</w:t>
            </w:r>
          </w:p>
        </w:tc>
        <w:tc>
          <w:tcPr>
            <w:tcW w:w="894" w:type="dxa"/>
            <w:tcBorders>
              <w:bottom w:val="double" w:sz="4" w:space="0" w:color="auto"/>
            </w:tcBorders>
            <w:shd w:val="clear" w:color="auto" w:fill="DEEAF6" w:themeFill="accent5" w:themeFillTint="33"/>
          </w:tcPr>
          <w:p w14:paraId="70F77F4D" w14:textId="711D1B8B" w:rsidR="008C7654" w:rsidRPr="00337C3E" w:rsidRDefault="008C7654" w:rsidP="008C7654">
            <w:pPr>
              <w:spacing w:before="40" w:after="40"/>
              <w:jc w:val="center"/>
              <w:rPr>
                <w:sz w:val="20"/>
                <w:szCs w:val="20"/>
              </w:rPr>
            </w:pPr>
            <w:r w:rsidRPr="009E54DE">
              <w:rPr>
                <w:szCs w:val="20"/>
              </w:rPr>
              <w:t>1.76</w:t>
            </w:r>
          </w:p>
        </w:tc>
        <w:tc>
          <w:tcPr>
            <w:tcW w:w="894" w:type="dxa"/>
            <w:tcBorders>
              <w:bottom w:val="double" w:sz="4" w:space="0" w:color="auto"/>
            </w:tcBorders>
            <w:shd w:val="clear" w:color="auto" w:fill="DEEAF6" w:themeFill="accent5" w:themeFillTint="33"/>
          </w:tcPr>
          <w:p w14:paraId="61DBAB86" w14:textId="04B69863" w:rsidR="008C7654" w:rsidRPr="00337C3E" w:rsidRDefault="008C7654" w:rsidP="008C7654">
            <w:pPr>
              <w:spacing w:before="40" w:after="40"/>
              <w:jc w:val="center"/>
              <w:rPr>
                <w:sz w:val="20"/>
                <w:szCs w:val="20"/>
              </w:rPr>
            </w:pPr>
            <w:r w:rsidRPr="009E54DE">
              <w:rPr>
                <w:szCs w:val="20"/>
              </w:rPr>
              <w:t>1.74</w:t>
            </w:r>
          </w:p>
        </w:tc>
        <w:tc>
          <w:tcPr>
            <w:tcW w:w="894" w:type="dxa"/>
            <w:tcBorders>
              <w:bottom w:val="double" w:sz="4" w:space="0" w:color="auto"/>
            </w:tcBorders>
            <w:shd w:val="clear" w:color="auto" w:fill="DEEAF6" w:themeFill="accent5" w:themeFillTint="33"/>
          </w:tcPr>
          <w:p w14:paraId="43502BF1" w14:textId="6C00CF3A" w:rsidR="008C7654" w:rsidRPr="00337C3E" w:rsidRDefault="008C7654" w:rsidP="008C7654">
            <w:pPr>
              <w:spacing w:before="40" w:after="40"/>
              <w:jc w:val="center"/>
              <w:rPr>
                <w:sz w:val="20"/>
                <w:szCs w:val="20"/>
              </w:rPr>
            </w:pPr>
            <w:r w:rsidRPr="009E54DE">
              <w:rPr>
                <w:szCs w:val="20"/>
              </w:rPr>
              <w:t>1.71</w:t>
            </w:r>
          </w:p>
        </w:tc>
        <w:tc>
          <w:tcPr>
            <w:tcW w:w="894" w:type="dxa"/>
            <w:tcBorders>
              <w:bottom w:val="double" w:sz="4" w:space="0" w:color="auto"/>
            </w:tcBorders>
            <w:shd w:val="clear" w:color="auto" w:fill="DEEAF6" w:themeFill="accent5" w:themeFillTint="33"/>
          </w:tcPr>
          <w:p w14:paraId="75B2847B" w14:textId="761AC5EC" w:rsidR="008C7654" w:rsidRPr="00337C3E" w:rsidRDefault="008C7654" w:rsidP="008C7654">
            <w:pPr>
              <w:spacing w:before="40" w:after="40"/>
              <w:jc w:val="center"/>
              <w:rPr>
                <w:sz w:val="20"/>
                <w:szCs w:val="20"/>
              </w:rPr>
            </w:pPr>
            <w:r w:rsidRPr="009E54DE">
              <w:rPr>
                <w:szCs w:val="20"/>
              </w:rPr>
              <w:t>1.76</w:t>
            </w:r>
          </w:p>
        </w:tc>
        <w:tc>
          <w:tcPr>
            <w:tcW w:w="894" w:type="dxa"/>
            <w:tcBorders>
              <w:bottom w:val="double" w:sz="4" w:space="0" w:color="auto"/>
            </w:tcBorders>
            <w:shd w:val="clear" w:color="auto" w:fill="DEEAF6" w:themeFill="accent5" w:themeFillTint="33"/>
          </w:tcPr>
          <w:p w14:paraId="5C914AE8" w14:textId="7C27F7A0" w:rsidR="008C7654" w:rsidRPr="00337C3E" w:rsidRDefault="008C7654" w:rsidP="008C7654">
            <w:pPr>
              <w:spacing w:before="40" w:after="40"/>
              <w:jc w:val="center"/>
              <w:rPr>
                <w:sz w:val="20"/>
                <w:szCs w:val="20"/>
              </w:rPr>
            </w:pPr>
            <w:r w:rsidRPr="009E54DE">
              <w:rPr>
                <w:szCs w:val="20"/>
              </w:rPr>
              <w:t>1.71</w:t>
            </w:r>
          </w:p>
        </w:tc>
        <w:tc>
          <w:tcPr>
            <w:tcW w:w="894" w:type="dxa"/>
            <w:tcBorders>
              <w:bottom w:val="double" w:sz="4" w:space="0" w:color="auto"/>
            </w:tcBorders>
            <w:shd w:val="clear" w:color="auto" w:fill="DEEAF6" w:themeFill="accent5" w:themeFillTint="33"/>
          </w:tcPr>
          <w:p w14:paraId="4CF39998" w14:textId="2453AFEF" w:rsidR="008C7654" w:rsidRPr="00337C3E" w:rsidRDefault="008C7654" w:rsidP="008C7654">
            <w:pPr>
              <w:spacing w:before="40" w:after="40"/>
              <w:jc w:val="center"/>
              <w:rPr>
                <w:sz w:val="20"/>
                <w:szCs w:val="20"/>
              </w:rPr>
            </w:pPr>
            <w:r w:rsidRPr="009E54DE">
              <w:rPr>
                <w:szCs w:val="20"/>
              </w:rPr>
              <w:t>1.72</w:t>
            </w:r>
          </w:p>
        </w:tc>
        <w:tc>
          <w:tcPr>
            <w:tcW w:w="894" w:type="dxa"/>
            <w:tcBorders>
              <w:bottom w:val="double" w:sz="4" w:space="0" w:color="auto"/>
            </w:tcBorders>
            <w:shd w:val="clear" w:color="auto" w:fill="DEEAF6" w:themeFill="accent5" w:themeFillTint="33"/>
          </w:tcPr>
          <w:p w14:paraId="38584AF7" w14:textId="39913293" w:rsidR="008C7654" w:rsidRPr="00337C3E" w:rsidRDefault="008C7654" w:rsidP="008C7654">
            <w:pPr>
              <w:spacing w:before="40" w:after="40"/>
              <w:jc w:val="center"/>
              <w:rPr>
                <w:sz w:val="20"/>
                <w:szCs w:val="20"/>
              </w:rPr>
            </w:pPr>
            <w:r w:rsidRPr="009E54DE">
              <w:rPr>
                <w:szCs w:val="20"/>
              </w:rPr>
              <w:t>1.71</w:t>
            </w:r>
          </w:p>
        </w:tc>
      </w:tr>
      <w:tr w:rsidR="00DA21BC" w:rsidRPr="00416C2F" w14:paraId="6CC18A3C" w14:textId="77777777" w:rsidTr="00B03641">
        <w:tc>
          <w:tcPr>
            <w:tcW w:w="615" w:type="dxa"/>
            <w:vMerge w:val="restart"/>
            <w:tcBorders>
              <w:top w:val="double" w:sz="4" w:space="0" w:color="auto"/>
            </w:tcBorders>
            <w:vAlign w:val="center"/>
          </w:tcPr>
          <w:p w14:paraId="01EE7926"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34AA6A77" w14:textId="77777777" w:rsidR="008C7654" w:rsidRPr="00FA2A84" w:rsidRDefault="008C7654" w:rsidP="008C7654">
            <w:pPr>
              <w:spacing w:before="40" w:after="40"/>
              <w:jc w:val="center"/>
              <w:rPr>
                <w:rFonts w:cs="Arial"/>
                <w:color w:val="000000"/>
                <w:sz w:val="20"/>
                <w:szCs w:val="20"/>
              </w:rPr>
            </w:pPr>
            <w:r w:rsidRPr="00FA2A84">
              <w:rPr>
                <w:sz w:val="20"/>
                <w:szCs w:val="20"/>
              </w:rPr>
              <w:t>9</w:t>
            </w:r>
          </w:p>
        </w:tc>
        <w:tc>
          <w:tcPr>
            <w:tcW w:w="616" w:type="dxa"/>
            <w:tcBorders>
              <w:top w:val="double" w:sz="4" w:space="0" w:color="auto"/>
              <w:right w:val="double" w:sz="4" w:space="0" w:color="auto"/>
            </w:tcBorders>
            <w:vAlign w:val="center"/>
          </w:tcPr>
          <w:p w14:paraId="08C331E6"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435E06CB" w14:textId="124E0793" w:rsidR="008C7654" w:rsidRPr="00416C2F" w:rsidRDefault="008C7654" w:rsidP="008C7654">
            <w:pPr>
              <w:spacing w:before="40" w:after="40"/>
              <w:jc w:val="center"/>
              <w:rPr>
                <w:rFonts w:cs="Arial"/>
                <w:color w:val="000000"/>
                <w:sz w:val="20"/>
                <w:szCs w:val="20"/>
              </w:rPr>
            </w:pPr>
            <w:r w:rsidRPr="00FA2A84">
              <w:rPr>
                <w:sz w:val="20"/>
                <w:szCs w:val="20"/>
              </w:rPr>
              <w:t>1.65</w:t>
            </w:r>
          </w:p>
        </w:tc>
        <w:tc>
          <w:tcPr>
            <w:tcW w:w="995" w:type="dxa"/>
            <w:tcBorders>
              <w:top w:val="double" w:sz="4" w:space="0" w:color="auto"/>
              <w:left w:val="double" w:sz="4" w:space="0" w:color="auto"/>
            </w:tcBorders>
            <w:shd w:val="clear" w:color="auto" w:fill="DEEAF6" w:themeFill="accent5" w:themeFillTint="33"/>
          </w:tcPr>
          <w:p w14:paraId="0937631B" w14:textId="56854188" w:rsidR="008C7654" w:rsidRPr="00337C3E" w:rsidRDefault="008C7654" w:rsidP="008C7654">
            <w:pPr>
              <w:spacing w:before="40" w:after="40"/>
              <w:jc w:val="center"/>
              <w:rPr>
                <w:sz w:val="20"/>
                <w:szCs w:val="20"/>
              </w:rPr>
            </w:pPr>
            <w:r w:rsidRPr="009E54DE">
              <w:rPr>
                <w:szCs w:val="20"/>
              </w:rPr>
              <w:t>1.63</w:t>
            </w:r>
          </w:p>
        </w:tc>
        <w:tc>
          <w:tcPr>
            <w:tcW w:w="894" w:type="dxa"/>
            <w:tcBorders>
              <w:top w:val="double" w:sz="4" w:space="0" w:color="auto"/>
            </w:tcBorders>
            <w:shd w:val="clear" w:color="auto" w:fill="DEEAF6" w:themeFill="accent5" w:themeFillTint="33"/>
          </w:tcPr>
          <w:p w14:paraId="2CE1AF9E" w14:textId="512FE1E9" w:rsidR="008C7654" w:rsidRPr="00337C3E" w:rsidRDefault="008C7654" w:rsidP="008C7654">
            <w:pPr>
              <w:spacing w:before="40" w:after="40"/>
              <w:jc w:val="center"/>
              <w:rPr>
                <w:sz w:val="20"/>
                <w:szCs w:val="20"/>
              </w:rPr>
            </w:pPr>
            <w:r w:rsidRPr="009E54DE">
              <w:rPr>
                <w:szCs w:val="20"/>
              </w:rPr>
              <w:t>1.62</w:t>
            </w:r>
          </w:p>
        </w:tc>
        <w:tc>
          <w:tcPr>
            <w:tcW w:w="894" w:type="dxa"/>
            <w:tcBorders>
              <w:top w:val="double" w:sz="4" w:space="0" w:color="auto"/>
            </w:tcBorders>
            <w:shd w:val="clear" w:color="auto" w:fill="DEEAF6" w:themeFill="accent5" w:themeFillTint="33"/>
          </w:tcPr>
          <w:p w14:paraId="691B0BB3" w14:textId="34FA89E0" w:rsidR="008C7654" w:rsidRPr="00337C3E" w:rsidRDefault="008C7654" w:rsidP="008C7654">
            <w:pPr>
              <w:spacing w:before="40" w:after="40"/>
              <w:jc w:val="center"/>
              <w:rPr>
                <w:sz w:val="20"/>
                <w:szCs w:val="20"/>
              </w:rPr>
            </w:pPr>
            <w:r w:rsidRPr="009E54DE">
              <w:rPr>
                <w:szCs w:val="20"/>
              </w:rPr>
              <w:t>1.64</w:t>
            </w:r>
          </w:p>
        </w:tc>
        <w:tc>
          <w:tcPr>
            <w:tcW w:w="894" w:type="dxa"/>
            <w:tcBorders>
              <w:top w:val="double" w:sz="4" w:space="0" w:color="auto"/>
            </w:tcBorders>
            <w:shd w:val="clear" w:color="auto" w:fill="DEEAF6" w:themeFill="accent5" w:themeFillTint="33"/>
          </w:tcPr>
          <w:p w14:paraId="4D9CC0EC" w14:textId="0A88353D" w:rsidR="008C7654" w:rsidRPr="00337C3E" w:rsidRDefault="008C7654" w:rsidP="008C7654">
            <w:pPr>
              <w:spacing w:before="40" w:after="40"/>
              <w:jc w:val="center"/>
              <w:rPr>
                <w:sz w:val="20"/>
                <w:szCs w:val="20"/>
              </w:rPr>
            </w:pPr>
            <w:r w:rsidRPr="009E54DE">
              <w:rPr>
                <w:szCs w:val="20"/>
              </w:rPr>
              <w:t>1.63</w:t>
            </w:r>
          </w:p>
        </w:tc>
        <w:tc>
          <w:tcPr>
            <w:tcW w:w="894" w:type="dxa"/>
            <w:tcBorders>
              <w:top w:val="double" w:sz="4" w:space="0" w:color="auto"/>
            </w:tcBorders>
            <w:shd w:val="clear" w:color="auto" w:fill="DEEAF6" w:themeFill="accent5" w:themeFillTint="33"/>
          </w:tcPr>
          <w:p w14:paraId="11A1F0FC" w14:textId="266F16FD" w:rsidR="008C7654" w:rsidRPr="00337C3E" w:rsidRDefault="008C7654" w:rsidP="008C7654">
            <w:pPr>
              <w:spacing w:before="40" w:after="40"/>
              <w:jc w:val="center"/>
              <w:rPr>
                <w:sz w:val="20"/>
                <w:szCs w:val="20"/>
              </w:rPr>
            </w:pPr>
            <w:r w:rsidRPr="009E54DE">
              <w:rPr>
                <w:szCs w:val="20"/>
              </w:rPr>
              <w:t>1.65</w:t>
            </w:r>
          </w:p>
        </w:tc>
        <w:tc>
          <w:tcPr>
            <w:tcW w:w="894" w:type="dxa"/>
            <w:tcBorders>
              <w:top w:val="double" w:sz="4" w:space="0" w:color="auto"/>
            </w:tcBorders>
            <w:shd w:val="clear" w:color="auto" w:fill="DEEAF6" w:themeFill="accent5" w:themeFillTint="33"/>
          </w:tcPr>
          <w:p w14:paraId="0CA69F75" w14:textId="0ED1B9BC" w:rsidR="008C7654" w:rsidRPr="00337C3E" w:rsidRDefault="008C7654" w:rsidP="008C7654">
            <w:pPr>
              <w:spacing w:before="40" w:after="40"/>
              <w:jc w:val="center"/>
              <w:rPr>
                <w:sz w:val="20"/>
                <w:szCs w:val="20"/>
              </w:rPr>
            </w:pPr>
            <w:r w:rsidRPr="009E54DE">
              <w:rPr>
                <w:szCs w:val="20"/>
              </w:rPr>
              <w:t>1.64</w:t>
            </w:r>
          </w:p>
        </w:tc>
        <w:tc>
          <w:tcPr>
            <w:tcW w:w="894" w:type="dxa"/>
            <w:tcBorders>
              <w:top w:val="double" w:sz="4" w:space="0" w:color="auto"/>
            </w:tcBorders>
            <w:shd w:val="clear" w:color="auto" w:fill="DEEAF6" w:themeFill="accent5" w:themeFillTint="33"/>
          </w:tcPr>
          <w:p w14:paraId="6F400FE9" w14:textId="1ECF2243" w:rsidR="008C7654" w:rsidRPr="00337C3E" w:rsidRDefault="008C7654" w:rsidP="008C7654">
            <w:pPr>
              <w:spacing w:before="40" w:after="40"/>
              <w:jc w:val="center"/>
              <w:rPr>
                <w:sz w:val="20"/>
                <w:szCs w:val="20"/>
              </w:rPr>
            </w:pPr>
            <w:r w:rsidRPr="009E54DE">
              <w:rPr>
                <w:szCs w:val="20"/>
              </w:rPr>
              <w:t>1.63</w:t>
            </w:r>
          </w:p>
        </w:tc>
        <w:tc>
          <w:tcPr>
            <w:tcW w:w="894" w:type="dxa"/>
            <w:tcBorders>
              <w:top w:val="double" w:sz="4" w:space="0" w:color="auto"/>
            </w:tcBorders>
            <w:shd w:val="clear" w:color="auto" w:fill="DEEAF6" w:themeFill="accent5" w:themeFillTint="33"/>
          </w:tcPr>
          <w:p w14:paraId="07AF57A2" w14:textId="0B622A54" w:rsidR="008C7654" w:rsidRPr="00337C3E" w:rsidRDefault="008C7654" w:rsidP="008C7654">
            <w:pPr>
              <w:spacing w:before="40" w:after="40"/>
              <w:jc w:val="center"/>
              <w:rPr>
                <w:sz w:val="20"/>
                <w:szCs w:val="20"/>
              </w:rPr>
            </w:pPr>
            <w:r w:rsidRPr="009E54DE">
              <w:rPr>
                <w:szCs w:val="20"/>
              </w:rPr>
              <w:t>1.65</w:t>
            </w:r>
          </w:p>
        </w:tc>
      </w:tr>
      <w:tr w:rsidR="00C87D4C" w:rsidRPr="00416C2F" w14:paraId="05144CC4" w14:textId="77777777" w:rsidTr="00B03641">
        <w:tc>
          <w:tcPr>
            <w:tcW w:w="615" w:type="dxa"/>
            <w:vMerge/>
            <w:vAlign w:val="center"/>
          </w:tcPr>
          <w:p w14:paraId="57E11C54" w14:textId="77777777" w:rsidR="008C7654" w:rsidRPr="00FA2A84" w:rsidRDefault="008C7654" w:rsidP="008C7654">
            <w:pPr>
              <w:spacing w:before="40" w:after="40"/>
              <w:jc w:val="center"/>
              <w:rPr>
                <w:rFonts w:cs="Arial"/>
                <w:color w:val="000000"/>
                <w:sz w:val="20"/>
                <w:szCs w:val="20"/>
              </w:rPr>
            </w:pPr>
          </w:p>
        </w:tc>
        <w:tc>
          <w:tcPr>
            <w:tcW w:w="615" w:type="dxa"/>
            <w:vMerge/>
            <w:vAlign w:val="center"/>
          </w:tcPr>
          <w:p w14:paraId="72089828"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4EC227F9"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09845599" w14:textId="77777777" w:rsidR="008C7654" w:rsidRPr="00FA2A84" w:rsidDel="00F86573" w:rsidRDefault="008C7654" w:rsidP="008C7654">
            <w:pPr>
              <w:spacing w:before="40" w:after="40"/>
              <w:jc w:val="center"/>
              <w:rPr>
                <w:sz w:val="20"/>
                <w:szCs w:val="20"/>
              </w:rPr>
            </w:pPr>
          </w:p>
        </w:tc>
        <w:tc>
          <w:tcPr>
            <w:tcW w:w="995" w:type="dxa"/>
            <w:tcBorders>
              <w:left w:val="double" w:sz="4" w:space="0" w:color="auto"/>
            </w:tcBorders>
            <w:shd w:val="clear" w:color="auto" w:fill="DEEAF6" w:themeFill="accent5" w:themeFillTint="33"/>
          </w:tcPr>
          <w:p w14:paraId="34D495C4" w14:textId="4FFE7EA7" w:rsidR="008C7654" w:rsidRPr="00337C3E" w:rsidDel="00F86573" w:rsidRDefault="008C7654" w:rsidP="008C7654">
            <w:pPr>
              <w:spacing w:before="40" w:after="40"/>
              <w:jc w:val="center"/>
              <w:rPr>
                <w:sz w:val="20"/>
                <w:szCs w:val="20"/>
              </w:rPr>
            </w:pPr>
            <w:r w:rsidRPr="009E54DE">
              <w:rPr>
                <w:szCs w:val="20"/>
              </w:rPr>
              <w:t>1.81</w:t>
            </w:r>
          </w:p>
        </w:tc>
        <w:tc>
          <w:tcPr>
            <w:tcW w:w="894" w:type="dxa"/>
            <w:shd w:val="clear" w:color="auto" w:fill="DEEAF6" w:themeFill="accent5" w:themeFillTint="33"/>
          </w:tcPr>
          <w:p w14:paraId="5A82491B" w14:textId="714DB7F6" w:rsidR="008C7654" w:rsidRPr="00FA2A84" w:rsidDel="00F86573" w:rsidRDefault="008C7654" w:rsidP="008C7654">
            <w:pPr>
              <w:spacing w:before="40" w:after="40"/>
              <w:jc w:val="center"/>
              <w:rPr>
                <w:sz w:val="20"/>
                <w:szCs w:val="20"/>
              </w:rPr>
            </w:pPr>
            <w:r w:rsidRPr="009E54DE">
              <w:rPr>
                <w:szCs w:val="20"/>
              </w:rPr>
              <w:t>1.80</w:t>
            </w:r>
          </w:p>
        </w:tc>
        <w:tc>
          <w:tcPr>
            <w:tcW w:w="894" w:type="dxa"/>
            <w:shd w:val="clear" w:color="auto" w:fill="DEEAF6" w:themeFill="accent5" w:themeFillTint="33"/>
          </w:tcPr>
          <w:p w14:paraId="533B86E5" w14:textId="4D975CC4" w:rsidR="008C7654" w:rsidRPr="00FA2A84" w:rsidDel="00F86573" w:rsidRDefault="008C7654" w:rsidP="008C7654">
            <w:pPr>
              <w:spacing w:before="40" w:after="40"/>
              <w:jc w:val="center"/>
              <w:rPr>
                <w:sz w:val="20"/>
                <w:szCs w:val="20"/>
              </w:rPr>
            </w:pPr>
            <w:r w:rsidRPr="009E54DE">
              <w:rPr>
                <w:szCs w:val="20"/>
              </w:rPr>
              <w:t>1.90</w:t>
            </w:r>
          </w:p>
        </w:tc>
        <w:tc>
          <w:tcPr>
            <w:tcW w:w="894" w:type="dxa"/>
            <w:shd w:val="clear" w:color="auto" w:fill="DEEAF6" w:themeFill="accent5" w:themeFillTint="33"/>
          </w:tcPr>
          <w:p w14:paraId="2DB2E339" w14:textId="42CEA38B" w:rsidR="008C7654" w:rsidRPr="00FA2A84" w:rsidDel="00F86573" w:rsidRDefault="008C7654" w:rsidP="008C7654">
            <w:pPr>
              <w:spacing w:before="40" w:after="40"/>
              <w:jc w:val="center"/>
              <w:rPr>
                <w:sz w:val="20"/>
                <w:szCs w:val="20"/>
              </w:rPr>
            </w:pPr>
            <w:r w:rsidRPr="009E54DE">
              <w:rPr>
                <w:szCs w:val="20"/>
              </w:rPr>
              <w:t>1.84</w:t>
            </w:r>
          </w:p>
        </w:tc>
        <w:tc>
          <w:tcPr>
            <w:tcW w:w="894" w:type="dxa"/>
            <w:shd w:val="clear" w:color="auto" w:fill="DEEAF6" w:themeFill="accent5" w:themeFillTint="33"/>
          </w:tcPr>
          <w:p w14:paraId="42C3C7FD" w14:textId="0C64EB42" w:rsidR="008C7654" w:rsidRPr="00FA2A84" w:rsidDel="00F86573" w:rsidRDefault="008C7654" w:rsidP="008C7654">
            <w:pPr>
              <w:spacing w:before="40" w:after="40"/>
              <w:jc w:val="center"/>
              <w:rPr>
                <w:sz w:val="20"/>
                <w:szCs w:val="20"/>
              </w:rPr>
            </w:pPr>
            <w:r w:rsidRPr="009E54DE">
              <w:rPr>
                <w:szCs w:val="20"/>
              </w:rPr>
              <w:t>1.79</w:t>
            </w:r>
          </w:p>
        </w:tc>
        <w:tc>
          <w:tcPr>
            <w:tcW w:w="894" w:type="dxa"/>
            <w:shd w:val="clear" w:color="auto" w:fill="DEEAF6" w:themeFill="accent5" w:themeFillTint="33"/>
          </w:tcPr>
          <w:p w14:paraId="6BDC1D48" w14:textId="16A1FBB3" w:rsidR="008C7654" w:rsidRPr="00FA2A84" w:rsidDel="00F86573" w:rsidRDefault="008C7654" w:rsidP="008C7654">
            <w:pPr>
              <w:spacing w:before="40" w:after="40"/>
              <w:jc w:val="center"/>
              <w:rPr>
                <w:sz w:val="20"/>
                <w:szCs w:val="20"/>
              </w:rPr>
            </w:pPr>
            <w:r w:rsidRPr="009E54DE">
              <w:rPr>
                <w:szCs w:val="20"/>
              </w:rPr>
              <w:t>1.78</w:t>
            </w:r>
          </w:p>
        </w:tc>
        <w:tc>
          <w:tcPr>
            <w:tcW w:w="894" w:type="dxa"/>
            <w:shd w:val="clear" w:color="auto" w:fill="DEEAF6" w:themeFill="accent5" w:themeFillTint="33"/>
          </w:tcPr>
          <w:p w14:paraId="765C5454" w14:textId="5F41C8C2" w:rsidR="008C7654" w:rsidRPr="00FA2A84" w:rsidDel="00F86573" w:rsidRDefault="008C7654" w:rsidP="008C7654">
            <w:pPr>
              <w:spacing w:before="40" w:after="40"/>
              <w:jc w:val="center"/>
              <w:rPr>
                <w:sz w:val="20"/>
                <w:szCs w:val="20"/>
              </w:rPr>
            </w:pPr>
            <w:r w:rsidRPr="009E54DE">
              <w:rPr>
                <w:szCs w:val="20"/>
              </w:rPr>
              <w:t>1.80</w:t>
            </w:r>
          </w:p>
        </w:tc>
        <w:tc>
          <w:tcPr>
            <w:tcW w:w="894" w:type="dxa"/>
            <w:shd w:val="clear" w:color="auto" w:fill="DEEAF6" w:themeFill="accent5" w:themeFillTint="33"/>
          </w:tcPr>
          <w:p w14:paraId="4F1C2069" w14:textId="79BFA64C" w:rsidR="008C7654" w:rsidRPr="00FA2A84" w:rsidDel="00F86573" w:rsidRDefault="008C7654" w:rsidP="008C7654">
            <w:pPr>
              <w:spacing w:before="40" w:after="40"/>
              <w:jc w:val="center"/>
              <w:rPr>
                <w:sz w:val="20"/>
                <w:szCs w:val="20"/>
              </w:rPr>
            </w:pPr>
            <w:r w:rsidRPr="009E54DE">
              <w:rPr>
                <w:szCs w:val="20"/>
              </w:rPr>
              <w:t>1.79</w:t>
            </w:r>
          </w:p>
        </w:tc>
      </w:tr>
      <w:tr w:rsidR="00C87D4C" w:rsidRPr="00416C2F" w14:paraId="1584CBC1" w14:textId="77777777" w:rsidTr="00B03641">
        <w:tc>
          <w:tcPr>
            <w:tcW w:w="615" w:type="dxa"/>
            <w:vMerge/>
            <w:vAlign w:val="center"/>
          </w:tcPr>
          <w:p w14:paraId="76D1AEE7" w14:textId="77777777" w:rsidR="008C7654" w:rsidRPr="00FA2A84" w:rsidRDefault="008C7654" w:rsidP="008C7654">
            <w:pPr>
              <w:spacing w:before="40" w:after="40"/>
              <w:jc w:val="center"/>
              <w:rPr>
                <w:rFonts w:cs="Arial"/>
                <w:color w:val="000000"/>
                <w:sz w:val="20"/>
                <w:szCs w:val="20"/>
              </w:rPr>
            </w:pPr>
          </w:p>
        </w:tc>
        <w:tc>
          <w:tcPr>
            <w:tcW w:w="615" w:type="dxa"/>
            <w:vMerge/>
            <w:vAlign w:val="center"/>
          </w:tcPr>
          <w:p w14:paraId="652FBA7E"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7312673C" w14:textId="77777777" w:rsidR="008C7654" w:rsidRPr="00FA2A84" w:rsidRDefault="008C7654" w:rsidP="008C7654">
            <w:pPr>
              <w:spacing w:before="40" w:after="40"/>
              <w:jc w:val="center"/>
              <w:rPr>
                <w:rFonts w:cs="Arial"/>
                <w:color w:val="000000"/>
                <w:sz w:val="20"/>
                <w:szCs w:val="20"/>
              </w:rPr>
            </w:pPr>
            <w:r w:rsidRPr="00FA2A84">
              <w:rPr>
                <w:sz w:val="20"/>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240F657B" w14:textId="77777777" w:rsidR="008C7654" w:rsidRPr="00FA2A84" w:rsidDel="00F86573" w:rsidRDefault="008C7654" w:rsidP="008C7654">
            <w:pPr>
              <w:spacing w:before="40" w:after="40"/>
              <w:jc w:val="center"/>
              <w:rPr>
                <w:sz w:val="20"/>
                <w:szCs w:val="20"/>
              </w:rPr>
            </w:pPr>
          </w:p>
        </w:tc>
        <w:tc>
          <w:tcPr>
            <w:tcW w:w="995" w:type="dxa"/>
            <w:tcBorders>
              <w:left w:val="double" w:sz="4" w:space="0" w:color="auto"/>
            </w:tcBorders>
            <w:shd w:val="clear" w:color="auto" w:fill="DEEAF6" w:themeFill="accent5" w:themeFillTint="33"/>
          </w:tcPr>
          <w:p w14:paraId="7DB4DCBF" w14:textId="485B9A0F" w:rsidR="008C7654" w:rsidRPr="00337C3E" w:rsidDel="00F86573" w:rsidRDefault="008C7654" w:rsidP="008C7654">
            <w:pPr>
              <w:spacing w:before="40" w:after="40"/>
              <w:jc w:val="center"/>
              <w:rPr>
                <w:sz w:val="20"/>
                <w:szCs w:val="20"/>
              </w:rPr>
            </w:pPr>
            <w:r w:rsidRPr="009E54DE">
              <w:rPr>
                <w:szCs w:val="20"/>
              </w:rPr>
              <w:t>1.94</w:t>
            </w:r>
          </w:p>
        </w:tc>
        <w:tc>
          <w:tcPr>
            <w:tcW w:w="894" w:type="dxa"/>
            <w:shd w:val="clear" w:color="auto" w:fill="DEEAF6" w:themeFill="accent5" w:themeFillTint="33"/>
          </w:tcPr>
          <w:p w14:paraId="1E858D04" w14:textId="7D321361" w:rsidR="008C7654" w:rsidRPr="00FA2A84" w:rsidDel="00F86573" w:rsidRDefault="008C7654" w:rsidP="008C7654">
            <w:pPr>
              <w:spacing w:before="40" w:after="40"/>
              <w:jc w:val="center"/>
              <w:rPr>
                <w:sz w:val="20"/>
                <w:szCs w:val="20"/>
              </w:rPr>
            </w:pPr>
            <w:r w:rsidRPr="009E54DE">
              <w:rPr>
                <w:szCs w:val="20"/>
              </w:rPr>
              <w:t>2.01</w:t>
            </w:r>
          </w:p>
        </w:tc>
        <w:tc>
          <w:tcPr>
            <w:tcW w:w="894" w:type="dxa"/>
            <w:shd w:val="clear" w:color="auto" w:fill="DEEAF6" w:themeFill="accent5" w:themeFillTint="33"/>
          </w:tcPr>
          <w:p w14:paraId="047F8F39" w14:textId="051E5997" w:rsidR="008C7654" w:rsidRPr="00FA2A84" w:rsidDel="00F86573" w:rsidRDefault="008C7654" w:rsidP="008C7654">
            <w:pPr>
              <w:spacing w:before="40" w:after="40"/>
              <w:jc w:val="center"/>
              <w:rPr>
                <w:sz w:val="20"/>
                <w:szCs w:val="20"/>
              </w:rPr>
            </w:pPr>
            <w:r w:rsidRPr="009E54DE">
              <w:rPr>
                <w:szCs w:val="20"/>
              </w:rPr>
              <w:t>1.99</w:t>
            </w:r>
          </w:p>
        </w:tc>
        <w:tc>
          <w:tcPr>
            <w:tcW w:w="894" w:type="dxa"/>
            <w:shd w:val="clear" w:color="auto" w:fill="DEEAF6" w:themeFill="accent5" w:themeFillTint="33"/>
          </w:tcPr>
          <w:p w14:paraId="2CA63D19" w14:textId="785FB850" w:rsidR="008C7654" w:rsidRPr="00FA2A84" w:rsidDel="00F86573" w:rsidRDefault="008C7654" w:rsidP="008C7654">
            <w:pPr>
              <w:spacing w:before="40" w:after="40"/>
              <w:jc w:val="center"/>
              <w:rPr>
                <w:sz w:val="20"/>
                <w:szCs w:val="20"/>
              </w:rPr>
            </w:pPr>
            <w:r w:rsidRPr="009E54DE">
              <w:rPr>
                <w:szCs w:val="20"/>
              </w:rPr>
              <w:t>1.96</w:t>
            </w:r>
          </w:p>
        </w:tc>
        <w:tc>
          <w:tcPr>
            <w:tcW w:w="894" w:type="dxa"/>
            <w:shd w:val="clear" w:color="auto" w:fill="DEEAF6" w:themeFill="accent5" w:themeFillTint="33"/>
          </w:tcPr>
          <w:p w14:paraId="0082B530" w14:textId="0B2ED9B0" w:rsidR="008C7654" w:rsidRPr="00FA2A84" w:rsidDel="00F86573" w:rsidRDefault="008C7654" w:rsidP="008C7654">
            <w:pPr>
              <w:spacing w:before="40" w:after="40"/>
              <w:jc w:val="center"/>
              <w:rPr>
                <w:sz w:val="20"/>
                <w:szCs w:val="20"/>
              </w:rPr>
            </w:pPr>
            <w:r w:rsidRPr="009E54DE">
              <w:rPr>
                <w:szCs w:val="20"/>
              </w:rPr>
              <w:t>1.96</w:t>
            </w:r>
          </w:p>
        </w:tc>
        <w:tc>
          <w:tcPr>
            <w:tcW w:w="894" w:type="dxa"/>
            <w:shd w:val="clear" w:color="auto" w:fill="DEEAF6" w:themeFill="accent5" w:themeFillTint="33"/>
          </w:tcPr>
          <w:p w14:paraId="316DA265" w14:textId="1F61FBE6" w:rsidR="008C7654" w:rsidRPr="00FA2A84" w:rsidDel="00F86573" w:rsidRDefault="008C7654" w:rsidP="008C7654">
            <w:pPr>
              <w:spacing w:before="40" w:after="40"/>
              <w:jc w:val="center"/>
              <w:rPr>
                <w:sz w:val="20"/>
                <w:szCs w:val="20"/>
              </w:rPr>
            </w:pPr>
            <w:r w:rsidRPr="009E54DE">
              <w:rPr>
                <w:szCs w:val="20"/>
              </w:rPr>
              <w:t>1.84</w:t>
            </w:r>
          </w:p>
        </w:tc>
        <w:tc>
          <w:tcPr>
            <w:tcW w:w="894" w:type="dxa"/>
            <w:shd w:val="clear" w:color="auto" w:fill="DEEAF6" w:themeFill="accent5" w:themeFillTint="33"/>
          </w:tcPr>
          <w:p w14:paraId="55FBB9C2" w14:textId="0D095A8F" w:rsidR="008C7654" w:rsidRPr="00FA2A84" w:rsidDel="00F86573" w:rsidRDefault="008C7654" w:rsidP="008C7654">
            <w:pPr>
              <w:spacing w:before="40" w:after="40"/>
              <w:jc w:val="center"/>
              <w:rPr>
                <w:sz w:val="20"/>
                <w:szCs w:val="20"/>
              </w:rPr>
            </w:pPr>
            <w:r w:rsidRPr="009E54DE">
              <w:rPr>
                <w:szCs w:val="20"/>
              </w:rPr>
              <w:t>1.91</w:t>
            </w:r>
          </w:p>
        </w:tc>
        <w:tc>
          <w:tcPr>
            <w:tcW w:w="894" w:type="dxa"/>
            <w:shd w:val="clear" w:color="auto" w:fill="DEEAF6" w:themeFill="accent5" w:themeFillTint="33"/>
          </w:tcPr>
          <w:p w14:paraId="35122E3E" w14:textId="3AE3D5AC" w:rsidR="008C7654" w:rsidRPr="00FA2A84" w:rsidDel="00F86573" w:rsidRDefault="008C7654" w:rsidP="008C7654">
            <w:pPr>
              <w:spacing w:before="40" w:after="40"/>
              <w:jc w:val="center"/>
              <w:rPr>
                <w:sz w:val="20"/>
                <w:szCs w:val="20"/>
              </w:rPr>
            </w:pPr>
            <w:r w:rsidRPr="009E54DE">
              <w:rPr>
                <w:szCs w:val="20"/>
              </w:rPr>
              <w:t>1.91</w:t>
            </w:r>
          </w:p>
        </w:tc>
      </w:tr>
    </w:tbl>
    <w:p w14:paraId="2B67369E" w14:textId="77777777" w:rsidR="002C4E72" w:rsidRDefault="002C4E72" w:rsidP="006724F4"/>
    <w:p w14:paraId="320717E7" w14:textId="64A91295" w:rsidR="00C2099B" w:rsidRDefault="00E03E9D" w:rsidP="00C2099B">
      <w:pPr>
        <w:pStyle w:val="Caption"/>
      </w:pPr>
      <w:bookmarkStart w:id="226" w:name="_Ref178590237"/>
      <w:r>
        <w:lastRenderedPageBreak/>
        <w:t xml:space="preserve">Table </w:t>
      </w:r>
      <w:r w:rsidR="00500110">
        <w:fldChar w:fldCharType="begin"/>
      </w:r>
      <w:r w:rsidR="00500110">
        <w:instrText xml:space="preserve"> SEQ Table \* ARABIC </w:instrText>
      </w:r>
      <w:r w:rsidR="00500110">
        <w:fldChar w:fldCharType="separate"/>
      </w:r>
      <w:r w:rsidR="00850DA1">
        <w:rPr>
          <w:noProof/>
        </w:rPr>
        <w:t>4</w:t>
      </w:r>
      <w:r w:rsidR="00500110">
        <w:rPr>
          <w:noProof/>
        </w:rPr>
        <w:fldChar w:fldCharType="end"/>
      </w:r>
      <w:bookmarkEnd w:id="226"/>
      <w:r>
        <w:t xml:space="preserve"> </w:t>
      </w:r>
      <w:r w:rsidR="00C2099B" w:rsidRPr="00E531A4">
        <w:t xml:space="preserve">90%tile 2D positioning accuracy (meters) of PDP models using direct sample-based reporting or Rel-17 path-based reporting from seven different channel estimation algorithms for the {60%, 6m, 2m} InF-DH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C2099B"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C2099B" w:rsidRPr="00416C2F" w14:paraId="530BED7E" w14:textId="77777777">
        <w:tc>
          <w:tcPr>
            <w:tcW w:w="1846" w:type="dxa"/>
            <w:gridSpan w:val="3"/>
            <w:tcBorders>
              <w:right w:val="double" w:sz="4" w:space="0" w:color="auto"/>
            </w:tcBorders>
            <w:vAlign w:val="center"/>
          </w:tcPr>
          <w:p w14:paraId="552CB9E1" w14:textId="77777777" w:rsidR="00C2099B" w:rsidRPr="00416C2F" w:rsidRDefault="00C2099B">
            <w:pPr>
              <w:spacing w:before="40" w:after="40"/>
              <w:jc w:val="center"/>
              <w:rPr>
                <w:rFonts w:cs="Arial"/>
                <w:color w:val="000000"/>
                <w:sz w:val="20"/>
                <w:szCs w:val="20"/>
              </w:rPr>
            </w:pPr>
            <w:r w:rsidRPr="00416C2F">
              <w:rPr>
                <w:sz w:val="20"/>
                <w:szCs w:val="20"/>
              </w:rPr>
              <w:t>Test cases</w:t>
            </w:r>
          </w:p>
        </w:tc>
        <w:tc>
          <w:tcPr>
            <w:tcW w:w="8116" w:type="dxa"/>
            <w:gridSpan w:val="9"/>
            <w:tcBorders>
              <w:left w:val="double" w:sz="4" w:space="0" w:color="auto"/>
            </w:tcBorders>
            <w:vAlign w:val="center"/>
          </w:tcPr>
          <w:p w14:paraId="2FE3D916" w14:textId="77777777" w:rsidR="00C2099B" w:rsidRPr="00416C2F" w:rsidRDefault="00C2099B">
            <w:pPr>
              <w:spacing w:before="40" w:after="40"/>
              <w:jc w:val="center"/>
              <w:rPr>
                <w:rFonts w:cs="Arial"/>
                <w:color w:val="000000"/>
                <w:sz w:val="20"/>
                <w:szCs w:val="20"/>
              </w:rPr>
            </w:pPr>
            <w:r w:rsidRPr="00416C2F">
              <w:rPr>
                <w:sz w:val="20"/>
                <w:szCs w:val="20"/>
              </w:rPr>
              <w:t>90%tile 2D positioning errors [m] based on 100 MHz RS bandwidth</w:t>
            </w:r>
          </w:p>
        </w:tc>
      </w:tr>
      <w:tr w:rsidR="00C2099B" w:rsidRPr="00416C2F" w14:paraId="7C06FB8D" w14:textId="77777777" w:rsidTr="00ED1FA9">
        <w:tc>
          <w:tcPr>
            <w:tcW w:w="615" w:type="dxa"/>
            <w:vMerge w:val="restart"/>
            <w:vAlign w:val="center"/>
          </w:tcPr>
          <w:p w14:paraId="0BA2E613" w14:textId="77777777" w:rsidR="00C2099B"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M</m:t>
                    </m:r>
                  </m:e>
                  <m:sub>
                    <m:r>
                      <w:rPr>
                        <w:rFonts w:ascii="Cambria Math" w:hAnsi="Cambria Math"/>
                        <w:sz w:val="20"/>
                        <w:szCs w:val="20"/>
                      </w:rPr>
                      <m:t>t</m:t>
                    </m:r>
                  </m:sub>
                </m:sSub>
              </m:oMath>
            </m:oMathPara>
          </w:p>
        </w:tc>
        <w:tc>
          <w:tcPr>
            <w:tcW w:w="615" w:type="dxa"/>
            <w:vMerge w:val="restart"/>
            <w:vAlign w:val="center"/>
          </w:tcPr>
          <w:p w14:paraId="03611E94" w14:textId="77777777" w:rsidR="00C2099B" w:rsidRPr="00FA2A84" w:rsidRDefault="009C13C0">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6" w:type="dxa"/>
            <w:vMerge w:val="restart"/>
            <w:tcBorders>
              <w:right w:val="double" w:sz="4" w:space="0" w:color="auto"/>
            </w:tcBorders>
            <w:vAlign w:val="center"/>
          </w:tcPr>
          <w:p w14:paraId="3FDEC5AB" w14:textId="77777777" w:rsidR="00C2099B"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605209E9" w14:textId="77777777" w:rsidR="00C2099B" w:rsidRPr="00F3565C" w:rsidRDefault="00C2099B">
            <w:pPr>
              <w:spacing w:before="40" w:after="40"/>
              <w:jc w:val="center"/>
              <w:rPr>
                <w:rFonts w:cs="Arial"/>
                <w:color w:val="000000"/>
                <w:sz w:val="18"/>
                <w:szCs w:val="18"/>
              </w:rPr>
            </w:pPr>
            <w:r w:rsidRPr="00F3565C">
              <w:rPr>
                <w:rFonts w:cs="Arial"/>
                <w:color w:val="000000"/>
                <w:sz w:val="18"/>
                <w:szCs w:val="18"/>
              </w:rPr>
              <w:t>Sample based signaling</w:t>
            </w:r>
          </w:p>
        </w:tc>
        <w:tc>
          <w:tcPr>
            <w:tcW w:w="7253" w:type="dxa"/>
            <w:gridSpan w:val="8"/>
            <w:tcBorders>
              <w:left w:val="double" w:sz="4" w:space="0" w:color="auto"/>
            </w:tcBorders>
            <w:vAlign w:val="center"/>
          </w:tcPr>
          <w:p w14:paraId="465312D9" w14:textId="78457DAC" w:rsidR="00C2099B" w:rsidRPr="00416C2F" w:rsidRDefault="00C2099B">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 w:val="20"/>
                  <w:szCs w:val="20"/>
                  <w:highlight w:val="yellow"/>
                </w:rPr>
                <m:t>δ=3</m:t>
              </m:r>
            </m:oMath>
          </w:p>
        </w:tc>
      </w:tr>
      <w:tr w:rsidR="006139CD" w:rsidRPr="00416C2F" w14:paraId="6D105DA1" w14:textId="77777777" w:rsidTr="00ED1FA9">
        <w:tc>
          <w:tcPr>
            <w:tcW w:w="615" w:type="dxa"/>
            <w:vMerge/>
            <w:vAlign w:val="center"/>
          </w:tcPr>
          <w:p w14:paraId="32ED3F91" w14:textId="77777777" w:rsidR="00C2099B" w:rsidRPr="00416C2F" w:rsidRDefault="00C2099B">
            <w:pPr>
              <w:spacing w:before="40" w:after="40"/>
              <w:jc w:val="center"/>
              <w:rPr>
                <w:rFonts w:cs="Arial"/>
                <w:color w:val="000000"/>
                <w:sz w:val="20"/>
                <w:szCs w:val="20"/>
              </w:rPr>
            </w:pPr>
          </w:p>
        </w:tc>
        <w:tc>
          <w:tcPr>
            <w:tcW w:w="615" w:type="dxa"/>
            <w:vMerge/>
            <w:vAlign w:val="center"/>
          </w:tcPr>
          <w:p w14:paraId="52AC7484" w14:textId="77777777" w:rsidR="00C2099B" w:rsidRPr="00FA2A84" w:rsidRDefault="00C2099B">
            <w:pPr>
              <w:spacing w:before="40" w:after="40"/>
              <w:jc w:val="center"/>
              <w:rPr>
                <w:rFonts w:cs="Arial"/>
                <w:color w:val="000000"/>
                <w:sz w:val="20"/>
                <w:szCs w:val="20"/>
              </w:rPr>
            </w:pPr>
          </w:p>
        </w:tc>
        <w:tc>
          <w:tcPr>
            <w:tcW w:w="616" w:type="dxa"/>
            <w:vMerge/>
            <w:tcBorders>
              <w:right w:val="double" w:sz="4" w:space="0" w:color="auto"/>
            </w:tcBorders>
            <w:vAlign w:val="center"/>
          </w:tcPr>
          <w:p w14:paraId="3CFED9CC" w14:textId="77777777" w:rsidR="00C2099B" w:rsidRPr="00416C2F" w:rsidRDefault="00C2099B">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17F64BE4" w14:textId="77777777" w:rsidR="00C2099B" w:rsidRPr="00416C2F" w:rsidRDefault="00C2099B">
            <w:pPr>
              <w:spacing w:before="40" w:after="40"/>
              <w:jc w:val="center"/>
              <w:rPr>
                <w:rFonts w:cs="Arial"/>
                <w:color w:val="000000"/>
                <w:sz w:val="20"/>
                <w:szCs w:val="20"/>
              </w:rPr>
            </w:pPr>
          </w:p>
        </w:tc>
        <w:tc>
          <w:tcPr>
            <w:tcW w:w="995" w:type="dxa"/>
            <w:vMerge w:val="restart"/>
            <w:tcBorders>
              <w:left w:val="double" w:sz="4" w:space="0" w:color="auto"/>
            </w:tcBorders>
            <w:vAlign w:val="center"/>
          </w:tcPr>
          <w:p w14:paraId="5ECA2911" w14:textId="77777777" w:rsidR="00C2099B" w:rsidRPr="00F3565C" w:rsidRDefault="00C2099B">
            <w:pPr>
              <w:spacing w:before="40" w:after="40"/>
              <w:jc w:val="center"/>
              <w:rPr>
                <w:rFonts w:cs="Arial"/>
                <w:color w:val="000000"/>
                <w:sz w:val="18"/>
                <w:szCs w:val="18"/>
              </w:rPr>
            </w:pPr>
            <w:r w:rsidRPr="00F3565C">
              <w:rPr>
                <w:sz w:val="18"/>
                <w:szCs w:val="18"/>
              </w:rPr>
              <w:t>Average across estimators</w:t>
            </w:r>
          </w:p>
        </w:tc>
        <w:tc>
          <w:tcPr>
            <w:tcW w:w="6258" w:type="dxa"/>
            <w:gridSpan w:val="7"/>
            <w:vAlign w:val="center"/>
          </w:tcPr>
          <w:p w14:paraId="0C9656B5" w14:textId="580F7150" w:rsidR="00C2099B" w:rsidRPr="00416C2F" w:rsidRDefault="00C2099B">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τ</m:t>
                      </m:r>
                    </m:e>
                  </m:acc>
                </m:e>
                <m:sub>
                  <m:r>
                    <w:rPr>
                      <w:rFonts w:ascii="Cambria Math" w:hAnsi="Cambria Math"/>
                      <w:sz w:val="20"/>
                      <w:szCs w:val="20"/>
                    </w:rPr>
                    <m:t>1</m:t>
                  </m:r>
                </m:sub>
              </m:sSub>
            </m:oMath>
          </w:p>
        </w:tc>
      </w:tr>
      <w:tr w:rsidR="00C2099B" w:rsidRPr="00416C2F" w14:paraId="73C2A3AA" w14:textId="77777777" w:rsidTr="00ED1FA9">
        <w:tc>
          <w:tcPr>
            <w:tcW w:w="615" w:type="dxa"/>
            <w:vMerge/>
            <w:tcBorders>
              <w:bottom w:val="double" w:sz="4" w:space="0" w:color="auto"/>
            </w:tcBorders>
            <w:vAlign w:val="center"/>
          </w:tcPr>
          <w:p w14:paraId="6C1BEDF5" w14:textId="77777777" w:rsidR="00C2099B" w:rsidRPr="00416C2F" w:rsidRDefault="00C2099B">
            <w:pPr>
              <w:spacing w:before="40" w:after="40"/>
              <w:jc w:val="center"/>
              <w:rPr>
                <w:rFonts w:cs="Arial"/>
                <w:color w:val="000000"/>
                <w:sz w:val="20"/>
                <w:szCs w:val="20"/>
              </w:rPr>
            </w:pPr>
          </w:p>
        </w:tc>
        <w:tc>
          <w:tcPr>
            <w:tcW w:w="615" w:type="dxa"/>
            <w:vMerge/>
            <w:tcBorders>
              <w:bottom w:val="double" w:sz="4" w:space="0" w:color="auto"/>
            </w:tcBorders>
            <w:vAlign w:val="center"/>
          </w:tcPr>
          <w:p w14:paraId="0684B263" w14:textId="77777777" w:rsidR="00C2099B" w:rsidRPr="00FA2A84" w:rsidRDefault="00C2099B">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2BBC4679" w14:textId="77777777" w:rsidR="00C2099B" w:rsidRPr="00416C2F" w:rsidRDefault="00C2099B">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70E866DF" w14:textId="77777777" w:rsidR="00C2099B" w:rsidRPr="00416C2F" w:rsidRDefault="00C2099B">
            <w:pPr>
              <w:spacing w:before="40" w:after="40"/>
              <w:jc w:val="center"/>
              <w:rPr>
                <w:rFonts w:cs="Arial"/>
                <w:color w:val="000000"/>
                <w:sz w:val="20"/>
                <w:szCs w:val="20"/>
              </w:rPr>
            </w:pPr>
          </w:p>
        </w:tc>
        <w:tc>
          <w:tcPr>
            <w:tcW w:w="995" w:type="dxa"/>
            <w:vMerge/>
            <w:tcBorders>
              <w:left w:val="double" w:sz="4" w:space="0" w:color="auto"/>
              <w:bottom w:val="double" w:sz="4" w:space="0" w:color="auto"/>
            </w:tcBorders>
            <w:vAlign w:val="center"/>
          </w:tcPr>
          <w:p w14:paraId="1EBF6DD4" w14:textId="77777777" w:rsidR="00C2099B" w:rsidRPr="00416C2F" w:rsidRDefault="00C2099B">
            <w:pPr>
              <w:spacing w:before="40" w:after="40"/>
              <w:jc w:val="center"/>
              <w:rPr>
                <w:rFonts w:cs="Arial"/>
                <w:color w:val="000000"/>
                <w:sz w:val="20"/>
                <w:szCs w:val="20"/>
              </w:rPr>
            </w:pPr>
          </w:p>
        </w:tc>
        <w:tc>
          <w:tcPr>
            <w:tcW w:w="894" w:type="dxa"/>
            <w:tcBorders>
              <w:bottom w:val="double" w:sz="4" w:space="0" w:color="auto"/>
            </w:tcBorders>
            <w:vAlign w:val="center"/>
          </w:tcPr>
          <w:p w14:paraId="30E51863" w14:textId="77777777" w:rsidR="00C2099B" w:rsidRPr="00416C2F" w:rsidRDefault="00C2099B">
            <w:pPr>
              <w:spacing w:before="40" w:after="40"/>
              <w:jc w:val="center"/>
              <w:rPr>
                <w:rFonts w:cs="Arial"/>
                <w:color w:val="000000"/>
                <w:sz w:val="20"/>
                <w:szCs w:val="20"/>
              </w:rPr>
            </w:pPr>
            <w:r w:rsidRPr="00FA2A84">
              <w:rPr>
                <w:sz w:val="20"/>
                <w:szCs w:val="20"/>
              </w:rPr>
              <w:t>G</w:t>
            </w:r>
          </w:p>
        </w:tc>
        <w:tc>
          <w:tcPr>
            <w:tcW w:w="894" w:type="dxa"/>
            <w:tcBorders>
              <w:bottom w:val="double" w:sz="4" w:space="0" w:color="auto"/>
            </w:tcBorders>
            <w:vAlign w:val="center"/>
          </w:tcPr>
          <w:p w14:paraId="5FE5548C" w14:textId="77777777" w:rsidR="00C2099B" w:rsidRPr="00416C2F" w:rsidRDefault="00C2099B">
            <w:pPr>
              <w:spacing w:before="40" w:after="40"/>
              <w:jc w:val="center"/>
              <w:rPr>
                <w:rFonts w:cs="Arial"/>
                <w:color w:val="000000"/>
                <w:sz w:val="20"/>
                <w:szCs w:val="20"/>
              </w:rPr>
            </w:pPr>
            <w:r w:rsidRPr="00FA2A84">
              <w:rPr>
                <w:sz w:val="20"/>
                <w:szCs w:val="20"/>
              </w:rPr>
              <w:t>F</w:t>
            </w:r>
          </w:p>
        </w:tc>
        <w:tc>
          <w:tcPr>
            <w:tcW w:w="894" w:type="dxa"/>
            <w:tcBorders>
              <w:bottom w:val="double" w:sz="4" w:space="0" w:color="auto"/>
            </w:tcBorders>
            <w:vAlign w:val="center"/>
          </w:tcPr>
          <w:p w14:paraId="7BE95CBE" w14:textId="77777777" w:rsidR="00C2099B" w:rsidRPr="00416C2F" w:rsidRDefault="00C2099B">
            <w:pPr>
              <w:spacing w:before="40" w:after="40"/>
              <w:jc w:val="center"/>
              <w:rPr>
                <w:rFonts w:cs="Arial"/>
                <w:color w:val="000000"/>
                <w:sz w:val="20"/>
                <w:szCs w:val="20"/>
              </w:rPr>
            </w:pPr>
            <w:r w:rsidRPr="00FA2A84">
              <w:rPr>
                <w:sz w:val="20"/>
                <w:szCs w:val="20"/>
              </w:rPr>
              <w:t>E</w:t>
            </w:r>
          </w:p>
        </w:tc>
        <w:tc>
          <w:tcPr>
            <w:tcW w:w="894" w:type="dxa"/>
            <w:tcBorders>
              <w:bottom w:val="double" w:sz="4" w:space="0" w:color="auto"/>
            </w:tcBorders>
            <w:vAlign w:val="center"/>
          </w:tcPr>
          <w:p w14:paraId="4297D5B7" w14:textId="77777777" w:rsidR="00C2099B" w:rsidRPr="00416C2F" w:rsidRDefault="00C2099B">
            <w:pPr>
              <w:spacing w:before="40" w:after="40"/>
              <w:jc w:val="center"/>
              <w:rPr>
                <w:rFonts w:cs="Arial"/>
                <w:color w:val="000000"/>
                <w:sz w:val="20"/>
                <w:szCs w:val="20"/>
              </w:rPr>
            </w:pPr>
            <w:r w:rsidRPr="00FA2A84">
              <w:rPr>
                <w:sz w:val="20"/>
                <w:szCs w:val="20"/>
              </w:rPr>
              <w:t>D</w:t>
            </w:r>
          </w:p>
        </w:tc>
        <w:tc>
          <w:tcPr>
            <w:tcW w:w="894" w:type="dxa"/>
            <w:tcBorders>
              <w:bottom w:val="double" w:sz="4" w:space="0" w:color="auto"/>
            </w:tcBorders>
            <w:vAlign w:val="center"/>
          </w:tcPr>
          <w:p w14:paraId="55EEAE83" w14:textId="77777777" w:rsidR="00C2099B" w:rsidRPr="00416C2F" w:rsidRDefault="00C2099B">
            <w:pPr>
              <w:spacing w:before="40" w:after="40"/>
              <w:jc w:val="center"/>
              <w:rPr>
                <w:rFonts w:cs="Arial"/>
                <w:color w:val="000000"/>
                <w:sz w:val="20"/>
                <w:szCs w:val="20"/>
              </w:rPr>
            </w:pPr>
            <w:r w:rsidRPr="00FA2A84">
              <w:rPr>
                <w:sz w:val="20"/>
                <w:szCs w:val="20"/>
              </w:rPr>
              <w:t>C</w:t>
            </w:r>
          </w:p>
        </w:tc>
        <w:tc>
          <w:tcPr>
            <w:tcW w:w="894" w:type="dxa"/>
            <w:tcBorders>
              <w:bottom w:val="double" w:sz="4" w:space="0" w:color="auto"/>
            </w:tcBorders>
            <w:vAlign w:val="center"/>
          </w:tcPr>
          <w:p w14:paraId="40A9BA0C" w14:textId="77777777" w:rsidR="00C2099B" w:rsidRPr="00416C2F" w:rsidRDefault="00C2099B">
            <w:pPr>
              <w:spacing w:before="40" w:after="40"/>
              <w:jc w:val="center"/>
              <w:rPr>
                <w:rFonts w:cs="Arial"/>
                <w:color w:val="000000"/>
                <w:sz w:val="20"/>
                <w:szCs w:val="20"/>
              </w:rPr>
            </w:pPr>
            <w:r w:rsidRPr="00FA2A84">
              <w:rPr>
                <w:sz w:val="20"/>
                <w:szCs w:val="20"/>
              </w:rPr>
              <w:t>B</w:t>
            </w:r>
          </w:p>
        </w:tc>
        <w:tc>
          <w:tcPr>
            <w:tcW w:w="894" w:type="dxa"/>
            <w:tcBorders>
              <w:bottom w:val="double" w:sz="4" w:space="0" w:color="auto"/>
            </w:tcBorders>
            <w:vAlign w:val="center"/>
          </w:tcPr>
          <w:p w14:paraId="4A532BC3" w14:textId="77777777" w:rsidR="00C2099B" w:rsidRPr="00416C2F" w:rsidRDefault="00C2099B">
            <w:pPr>
              <w:spacing w:before="40" w:after="40"/>
              <w:jc w:val="center"/>
              <w:rPr>
                <w:rFonts w:cs="Arial"/>
                <w:color w:val="000000"/>
                <w:sz w:val="20"/>
                <w:szCs w:val="20"/>
              </w:rPr>
            </w:pPr>
            <w:r w:rsidRPr="00FA2A84">
              <w:rPr>
                <w:sz w:val="20"/>
                <w:szCs w:val="20"/>
              </w:rPr>
              <w:t>A</w:t>
            </w:r>
          </w:p>
        </w:tc>
      </w:tr>
      <w:tr w:rsidR="00DA21BC" w:rsidRPr="00416C2F" w14:paraId="1CEF1C5D" w14:textId="77777777" w:rsidTr="00ED1FA9">
        <w:tc>
          <w:tcPr>
            <w:tcW w:w="615" w:type="dxa"/>
            <w:vMerge w:val="restart"/>
            <w:tcBorders>
              <w:top w:val="double" w:sz="4" w:space="0" w:color="auto"/>
            </w:tcBorders>
            <w:vAlign w:val="center"/>
          </w:tcPr>
          <w:p w14:paraId="0D0DAA12" w14:textId="77777777" w:rsidR="008C7654" w:rsidRPr="00416C2F" w:rsidRDefault="008C7654" w:rsidP="008C7654">
            <w:pPr>
              <w:spacing w:before="40" w:after="40"/>
              <w:jc w:val="center"/>
              <w:rPr>
                <w:rFonts w:cs="Arial"/>
                <w:color w:val="000000"/>
                <w:sz w:val="20"/>
                <w:szCs w:val="20"/>
              </w:rPr>
            </w:pPr>
            <w:r w:rsidRPr="00FA2A84">
              <w:rPr>
                <w:sz w:val="20"/>
                <w:szCs w:val="20"/>
              </w:rPr>
              <w:t>128</w:t>
            </w:r>
          </w:p>
        </w:tc>
        <w:tc>
          <w:tcPr>
            <w:tcW w:w="615" w:type="dxa"/>
            <w:vMerge w:val="restart"/>
            <w:tcBorders>
              <w:top w:val="double" w:sz="4" w:space="0" w:color="auto"/>
            </w:tcBorders>
            <w:vAlign w:val="center"/>
          </w:tcPr>
          <w:p w14:paraId="60422B03"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6578EDF3"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6B4D77A3" w14:textId="1E7E72C0" w:rsidR="008C7654" w:rsidRPr="00337C3E" w:rsidRDefault="008C7654" w:rsidP="008C7654">
            <w:pPr>
              <w:spacing w:before="40" w:after="40"/>
              <w:jc w:val="center"/>
              <w:rPr>
                <w:sz w:val="20"/>
                <w:szCs w:val="20"/>
              </w:rPr>
            </w:pPr>
            <w:r w:rsidRPr="00534573">
              <w:rPr>
                <w:szCs w:val="20"/>
              </w:rPr>
              <w:t>1.38</w:t>
            </w:r>
          </w:p>
        </w:tc>
        <w:tc>
          <w:tcPr>
            <w:tcW w:w="995" w:type="dxa"/>
            <w:tcBorders>
              <w:top w:val="double" w:sz="4" w:space="0" w:color="auto"/>
              <w:left w:val="double" w:sz="4" w:space="0" w:color="auto"/>
            </w:tcBorders>
            <w:vAlign w:val="center"/>
          </w:tcPr>
          <w:p w14:paraId="15F3ABCB" w14:textId="71C6D384" w:rsidR="008C7654" w:rsidRPr="00337C3E" w:rsidRDefault="008C7654" w:rsidP="008C7654">
            <w:pPr>
              <w:spacing w:before="40" w:after="40"/>
              <w:jc w:val="center"/>
              <w:rPr>
                <w:sz w:val="20"/>
                <w:szCs w:val="20"/>
              </w:rPr>
            </w:pPr>
            <w:r w:rsidRPr="00534573">
              <w:rPr>
                <w:szCs w:val="20"/>
              </w:rPr>
              <w:t>1.33</w:t>
            </w:r>
          </w:p>
        </w:tc>
        <w:tc>
          <w:tcPr>
            <w:tcW w:w="894" w:type="dxa"/>
            <w:tcBorders>
              <w:top w:val="double" w:sz="4" w:space="0" w:color="auto"/>
            </w:tcBorders>
            <w:vAlign w:val="center"/>
          </w:tcPr>
          <w:p w14:paraId="40123CB9" w14:textId="73AD6988" w:rsidR="008C7654" w:rsidRPr="00337C3E" w:rsidRDefault="008C7654" w:rsidP="008C7654">
            <w:pPr>
              <w:spacing w:before="40" w:after="40"/>
              <w:jc w:val="center"/>
              <w:rPr>
                <w:sz w:val="20"/>
                <w:szCs w:val="20"/>
              </w:rPr>
            </w:pPr>
            <w:r w:rsidRPr="00534573">
              <w:rPr>
                <w:szCs w:val="20"/>
              </w:rPr>
              <w:t>1.35</w:t>
            </w:r>
          </w:p>
        </w:tc>
        <w:tc>
          <w:tcPr>
            <w:tcW w:w="894" w:type="dxa"/>
            <w:tcBorders>
              <w:top w:val="double" w:sz="4" w:space="0" w:color="auto"/>
            </w:tcBorders>
            <w:vAlign w:val="center"/>
          </w:tcPr>
          <w:p w14:paraId="16B064F8" w14:textId="5EB68CE7" w:rsidR="008C7654" w:rsidRPr="00337C3E" w:rsidRDefault="008C7654" w:rsidP="008C7654">
            <w:pPr>
              <w:spacing w:before="40" w:after="40"/>
              <w:jc w:val="center"/>
              <w:rPr>
                <w:sz w:val="20"/>
                <w:szCs w:val="20"/>
              </w:rPr>
            </w:pPr>
            <w:r w:rsidRPr="00534573">
              <w:rPr>
                <w:szCs w:val="20"/>
              </w:rPr>
              <w:t>1.32</w:t>
            </w:r>
          </w:p>
        </w:tc>
        <w:tc>
          <w:tcPr>
            <w:tcW w:w="894" w:type="dxa"/>
            <w:tcBorders>
              <w:top w:val="double" w:sz="4" w:space="0" w:color="auto"/>
            </w:tcBorders>
            <w:vAlign w:val="center"/>
          </w:tcPr>
          <w:p w14:paraId="081E36D1" w14:textId="1C48558F" w:rsidR="008C7654" w:rsidRPr="00337C3E" w:rsidRDefault="008C7654" w:rsidP="008C7654">
            <w:pPr>
              <w:spacing w:before="40" w:after="40"/>
              <w:jc w:val="center"/>
              <w:rPr>
                <w:sz w:val="20"/>
                <w:szCs w:val="20"/>
              </w:rPr>
            </w:pPr>
            <w:r w:rsidRPr="00534573">
              <w:rPr>
                <w:szCs w:val="20"/>
              </w:rPr>
              <w:t>1.31</w:t>
            </w:r>
          </w:p>
        </w:tc>
        <w:tc>
          <w:tcPr>
            <w:tcW w:w="894" w:type="dxa"/>
            <w:tcBorders>
              <w:top w:val="double" w:sz="4" w:space="0" w:color="auto"/>
            </w:tcBorders>
            <w:vAlign w:val="center"/>
          </w:tcPr>
          <w:p w14:paraId="0A29B6A9" w14:textId="1E07080C" w:rsidR="008C7654" w:rsidRPr="00337C3E" w:rsidRDefault="008C7654" w:rsidP="008C7654">
            <w:pPr>
              <w:spacing w:before="40" w:after="40"/>
              <w:jc w:val="center"/>
              <w:rPr>
                <w:sz w:val="20"/>
                <w:szCs w:val="20"/>
              </w:rPr>
            </w:pPr>
            <w:r w:rsidRPr="00534573">
              <w:rPr>
                <w:szCs w:val="20"/>
              </w:rPr>
              <w:t>1.36</w:t>
            </w:r>
          </w:p>
        </w:tc>
        <w:tc>
          <w:tcPr>
            <w:tcW w:w="894" w:type="dxa"/>
            <w:tcBorders>
              <w:top w:val="double" w:sz="4" w:space="0" w:color="auto"/>
            </w:tcBorders>
            <w:vAlign w:val="center"/>
          </w:tcPr>
          <w:p w14:paraId="7D5136DA" w14:textId="0ECC7793" w:rsidR="008C7654" w:rsidRPr="00337C3E" w:rsidRDefault="008C7654" w:rsidP="008C7654">
            <w:pPr>
              <w:spacing w:before="40" w:after="40"/>
              <w:jc w:val="center"/>
              <w:rPr>
                <w:sz w:val="20"/>
                <w:szCs w:val="20"/>
              </w:rPr>
            </w:pPr>
            <w:r w:rsidRPr="00534573">
              <w:rPr>
                <w:szCs w:val="20"/>
              </w:rPr>
              <w:t>1.31</w:t>
            </w:r>
          </w:p>
        </w:tc>
        <w:tc>
          <w:tcPr>
            <w:tcW w:w="894" w:type="dxa"/>
            <w:tcBorders>
              <w:top w:val="double" w:sz="4" w:space="0" w:color="auto"/>
            </w:tcBorders>
            <w:vAlign w:val="center"/>
          </w:tcPr>
          <w:p w14:paraId="2FB231A6" w14:textId="5513F341" w:rsidR="008C7654" w:rsidRPr="00337C3E" w:rsidRDefault="008C7654" w:rsidP="008C7654">
            <w:pPr>
              <w:spacing w:before="40" w:after="40"/>
              <w:jc w:val="center"/>
              <w:rPr>
                <w:sz w:val="20"/>
                <w:szCs w:val="20"/>
              </w:rPr>
            </w:pPr>
            <w:r w:rsidRPr="00534573">
              <w:rPr>
                <w:szCs w:val="20"/>
              </w:rPr>
              <w:t>1.34</w:t>
            </w:r>
          </w:p>
        </w:tc>
        <w:tc>
          <w:tcPr>
            <w:tcW w:w="894" w:type="dxa"/>
            <w:tcBorders>
              <w:top w:val="double" w:sz="4" w:space="0" w:color="auto"/>
            </w:tcBorders>
            <w:vAlign w:val="center"/>
          </w:tcPr>
          <w:p w14:paraId="622768DF" w14:textId="7967EEEF" w:rsidR="008C7654" w:rsidRPr="00337C3E" w:rsidRDefault="008C7654" w:rsidP="008C7654">
            <w:pPr>
              <w:spacing w:before="40" w:after="40"/>
              <w:jc w:val="center"/>
              <w:rPr>
                <w:sz w:val="20"/>
                <w:szCs w:val="20"/>
              </w:rPr>
            </w:pPr>
            <w:r w:rsidRPr="00534573">
              <w:rPr>
                <w:szCs w:val="20"/>
              </w:rPr>
              <w:t>1.35</w:t>
            </w:r>
          </w:p>
        </w:tc>
      </w:tr>
      <w:tr w:rsidR="00C87D4C" w:rsidRPr="00416C2F" w14:paraId="7565982A" w14:textId="77777777" w:rsidTr="00ED1FA9">
        <w:tc>
          <w:tcPr>
            <w:tcW w:w="615" w:type="dxa"/>
            <w:vMerge/>
            <w:vAlign w:val="center"/>
          </w:tcPr>
          <w:p w14:paraId="1C1FDE19" w14:textId="77777777" w:rsidR="008C7654" w:rsidRPr="00416C2F" w:rsidRDefault="008C7654" w:rsidP="008C7654">
            <w:pPr>
              <w:spacing w:before="40" w:after="40"/>
              <w:jc w:val="center"/>
              <w:rPr>
                <w:rFonts w:cs="Arial"/>
                <w:color w:val="000000"/>
                <w:sz w:val="20"/>
                <w:szCs w:val="20"/>
              </w:rPr>
            </w:pPr>
          </w:p>
        </w:tc>
        <w:tc>
          <w:tcPr>
            <w:tcW w:w="615" w:type="dxa"/>
            <w:vMerge/>
            <w:vAlign w:val="center"/>
          </w:tcPr>
          <w:p w14:paraId="0D983569"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2345A5D5"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41F7A80F" w14:textId="77777777" w:rsidR="008C7654" w:rsidRPr="00337C3E" w:rsidRDefault="008C7654" w:rsidP="008C7654">
            <w:pPr>
              <w:spacing w:before="40" w:after="40"/>
              <w:jc w:val="center"/>
              <w:rPr>
                <w:sz w:val="20"/>
                <w:szCs w:val="20"/>
              </w:rPr>
            </w:pPr>
          </w:p>
        </w:tc>
        <w:tc>
          <w:tcPr>
            <w:tcW w:w="995" w:type="dxa"/>
            <w:tcBorders>
              <w:left w:val="double" w:sz="4" w:space="0" w:color="auto"/>
            </w:tcBorders>
            <w:vAlign w:val="center"/>
          </w:tcPr>
          <w:p w14:paraId="54F70C75" w14:textId="23463D5D" w:rsidR="008C7654" w:rsidRPr="00337C3E" w:rsidRDefault="008C7654" w:rsidP="008C7654">
            <w:pPr>
              <w:spacing w:before="40" w:after="40"/>
              <w:jc w:val="center"/>
              <w:rPr>
                <w:sz w:val="20"/>
                <w:szCs w:val="20"/>
              </w:rPr>
            </w:pPr>
            <w:r w:rsidRPr="00534573">
              <w:rPr>
                <w:szCs w:val="20"/>
              </w:rPr>
              <w:t>1.47</w:t>
            </w:r>
          </w:p>
        </w:tc>
        <w:tc>
          <w:tcPr>
            <w:tcW w:w="894" w:type="dxa"/>
            <w:vAlign w:val="center"/>
          </w:tcPr>
          <w:p w14:paraId="24A5C982" w14:textId="58ACDA0C" w:rsidR="008C7654" w:rsidRPr="00337C3E" w:rsidRDefault="008C7654" w:rsidP="008C7654">
            <w:pPr>
              <w:spacing w:before="40" w:after="40"/>
              <w:jc w:val="center"/>
              <w:rPr>
                <w:sz w:val="20"/>
                <w:szCs w:val="20"/>
              </w:rPr>
            </w:pPr>
            <w:r w:rsidRPr="00534573">
              <w:rPr>
                <w:szCs w:val="20"/>
              </w:rPr>
              <w:t>1.48</w:t>
            </w:r>
          </w:p>
        </w:tc>
        <w:tc>
          <w:tcPr>
            <w:tcW w:w="894" w:type="dxa"/>
            <w:vAlign w:val="center"/>
          </w:tcPr>
          <w:p w14:paraId="07305460" w14:textId="7A35E036" w:rsidR="008C7654" w:rsidRPr="00337C3E" w:rsidRDefault="008C7654" w:rsidP="008C7654">
            <w:pPr>
              <w:spacing w:before="40" w:after="40"/>
              <w:jc w:val="center"/>
              <w:rPr>
                <w:sz w:val="20"/>
                <w:szCs w:val="20"/>
              </w:rPr>
            </w:pPr>
            <w:r w:rsidRPr="00534573">
              <w:rPr>
                <w:szCs w:val="20"/>
              </w:rPr>
              <w:t>1.46</w:t>
            </w:r>
          </w:p>
        </w:tc>
        <w:tc>
          <w:tcPr>
            <w:tcW w:w="894" w:type="dxa"/>
            <w:vAlign w:val="center"/>
          </w:tcPr>
          <w:p w14:paraId="642199AD" w14:textId="7FE7805C" w:rsidR="008C7654" w:rsidRPr="00337C3E" w:rsidRDefault="008C7654" w:rsidP="008C7654">
            <w:pPr>
              <w:spacing w:before="40" w:after="40"/>
              <w:jc w:val="center"/>
              <w:rPr>
                <w:sz w:val="20"/>
                <w:szCs w:val="20"/>
              </w:rPr>
            </w:pPr>
            <w:r w:rsidRPr="00534573">
              <w:rPr>
                <w:szCs w:val="20"/>
              </w:rPr>
              <w:t>1.46</w:t>
            </w:r>
          </w:p>
        </w:tc>
        <w:tc>
          <w:tcPr>
            <w:tcW w:w="894" w:type="dxa"/>
            <w:vAlign w:val="center"/>
          </w:tcPr>
          <w:p w14:paraId="78116187" w14:textId="6F34364A" w:rsidR="008C7654" w:rsidRPr="00337C3E" w:rsidRDefault="008C7654" w:rsidP="008C7654">
            <w:pPr>
              <w:spacing w:before="40" w:after="40"/>
              <w:jc w:val="center"/>
              <w:rPr>
                <w:sz w:val="20"/>
                <w:szCs w:val="20"/>
              </w:rPr>
            </w:pPr>
            <w:r w:rsidRPr="00534573">
              <w:rPr>
                <w:szCs w:val="20"/>
              </w:rPr>
              <w:t>1.47</w:t>
            </w:r>
          </w:p>
        </w:tc>
        <w:tc>
          <w:tcPr>
            <w:tcW w:w="894" w:type="dxa"/>
            <w:vAlign w:val="center"/>
          </w:tcPr>
          <w:p w14:paraId="4DD77685" w14:textId="4113B23D" w:rsidR="008C7654" w:rsidRPr="00337C3E" w:rsidRDefault="008C7654" w:rsidP="008C7654">
            <w:pPr>
              <w:spacing w:before="40" w:after="40"/>
              <w:jc w:val="center"/>
              <w:rPr>
                <w:sz w:val="20"/>
                <w:szCs w:val="20"/>
              </w:rPr>
            </w:pPr>
            <w:r w:rsidRPr="00534573">
              <w:rPr>
                <w:szCs w:val="20"/>
              </w:rPr>
              <w:t>1.45</w:t>
            </w:r>
          </w:p>
        </w:tc>
        <w:tc>
          <w:tcPr>
            <w:tcW w:w="894" w:type="dxa"/>
            <w:vAlign w:val="center"/>
          </w:tcPr>
          <w:p w14:paraId="5DEABD88" w14:textId="2BA9A3A8" w:rsidR="008C7654" w:rsidRPr="00337C3E" w:rsidRDefault="008C7654" w:rsidP="008C7654">
            <w:pPr>
              <w:spacing w:before="40" w:after="40"/>
              <w:jc w:val="center"/>
              <w:rPr>
                <w:sz w:val="20"/>
                <w:szCs w:val="20"/>
              </w:rPr>
            </w:pPr>
            <w:r w:rsidRPr="00534573">
              <w:rPr>
                <w:szCs w:val="20"/>
              </w:rPr>
              <w:t>1.49</w:t>
            </w:r>
          </w:p>
        </w:tc>
        <w:tc>
          <w:tcPr>
            <w:tcW w:w="894" w:type="dxa"/>
            <w:vAlign w:val="center"/>
          </w:tcPr>
          <w:p w14:paraId="1175F5DB" w14:textId="25F8212D" w:rsidR="008C7654" w:rsidRPr="00337C3E" w:rsidRDefault="008C7654" w:rsidP="008C7654">
            <w:pPr>
              <w:spacing w:before="40" w:after="40"/>
              <w:jc w:val="center"/>
              <w:rPr>
                <w:sz w:val="20"/>
                <w:szCs w:val="20"/>
              </w:rPr>
            </w:pPr>
            <w:r w:rsidRPr="00534573">
              <w:rPr>
                <w:szCs w:val="20"/>
              </w:rPr>
              <w:t>1.50</w:t>
            </w:r>
          </w:p>
        </w:tc>
      </w:tr>
      <w:tr w:rsidR="00DA21BC" w:rsidRPr="00416C2F" w14:paraId="09BD90CA" w14:textId="77777777" w:rsidTr="00ED1FA9">
        <w:tc>
          <w:tcPr>
            <w:tcW w:w="615" w:type="dxa"/>
            <w:vMerge/>
            <w:tcBorders>
              <w:bottom w:val="double" w:sz="4" w:space="0" w:color="auto"/>
            </w:tcBorders>
            <w:vAlign w:val="center"/>
          </w:tcPr>
          <w:p w14:paraId="558B79A5" w14:textId="77777777" w:rsidR="008C7654" w:rsidRPr="00416C2F" w:rsidRDefault="008C7654" w:rsidP="008C7654">
            <w:pPr>
              <w:spacing w:before="40" w:after="40"/>
              <w:jc w:val="center"/>
              <w:rPr>
                <w:rFonts w:cs="Arial"/>
                <w:color w:val="000000"/>
                <w:sz w:val="20"/>
                <w:szCs w:val="20"/>
              </w:rPr>
            </w:pPr>
          </w:p>
        </w:tc>
        <w:tc>
          <w:tcPr>
            <w:tcW w:w="615" w:type="dxa"/>
            <w:vMerge/>
            <w:tcBorders>
              <w:bottom w:val="double" w:sz="4" w:space="0" w:color="auto"/>
            </w:tcBorders>
            <w:vAlign w:val="center"/>
          </w:tcPr>
          <w:p w14:paraId="62C6887B" w14:textId="77777777" w:rsidR="008C7654" w:rsidRPr="00FA2A84" w:rsidRDefault="008C7654" w:rsidP="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756EB2D8" w14:textId="77777777" w:rsidR="008C7654" w:rsidRPr="00416C2F"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2CFF258" w14:textId="77777777" w:rsidR="008C7654" w:rsidRPr="00337C3E" w:rsidRDefault="008C7654" w:rsidP="008C7654">
            <w:pPr>
              <w:spacing w:before="40" w:after="40"/>
              <w:jc w:val="center"/>
              <w:rPr>
                <w:sz w:val="20"/>
                <w:szCs w:val="20"/>
              </w:rPr>
            </w:pPr>
          </w:p>
        </w:tc>
        <w:tc>
          <w:tcPr>
            <w:tcW w:w="995" w:type="dxa"/>
            <w:tcBorders>
              <w:left w:val="double" w:sz="4" w:space="0" w:color="auto"/>
              <w:bottom w:val="double" w:sz="4" w:space="0" w:color="auto"/>
            </w:tcBorders>
            <w:vAlign w:val="center"/>
          </w:tcPr>
          <w:p w14:paraId="6E90E6C5" w14:textId="3B1D7737" w:rsidR="008C7654" w:rsidRPr="00337C3E" w:rsidRDefault="008C7654" w:rsidP="008C7654">
            <w:pPr>
              <w:spacing w:before="40" w:after="40"/>
              <w:jc w:val="center"/>
              <w:rPr>
                <w:sz w:val="20"/>
                <w:szCs w:val="20"/>
              </w:rPr>
            </w:pPr>
            <w:r w:rsidRPr="00534573">
              <w:rPr>
                <w:szCs w:val="20"/>
              </w:rPr>
              <w:t>1.72</w:t>
            </w:r>
          </w:p>
        </w:tc>
        <w:tc>
          <w:tcPr>
            <w:tcW w:w="894" w:type="dxa"/>
            <w:tcBorders>
              <w:bottom w:val="double" w:sz="4" w:space="0" w:color="auto"/>
            </w:tcBorders>
            <w:vAlign w:val="center"/>
          </w:tcPr>
          <w:p w14:paraId="47F1F460" w14:textId="747357D6" w:rsidR="008C7654" w:rsidRPr="00337C3E" w:rsidRDefault="008C7654" w:rsidP="008C7654">
            <w:pPr>
              <w:spacing w:before="40" w:after="40"/>
              <w:jc w:val="center"/>
              <w:rPr>
                <w:sz w:val="20"/>
                <w:szCs w:val="20"/>
              </w:rPr>
            </w:pPr>
            <w:r w:rsidRPr="00534573">
              <w:rPr>
                <w:szCs w:val="20"/>
              </w:rPr>
              <w:t>1.76</w:t>
            </w:r>
          </w:p>
        </w:tc>
        <w:tc>
          <w:tcPr>
            <w:tcW w:w="894" w:type="dxa"/>
            <w:tcBorders>
              <w:bottom w:val="double" w:sz="4" w:space="0" w:color="auto"/>
            </w:tcBorders>
            <w:vAlign w:val="center"/>
          </w:tcPr>
          <w:p w14:paraId="2838D46D" w14:textId="07FDAB4D" w:rsidR="008C7654" w:rsidRPr="00337C3E" w:rsidRDefault="008C7654" w:rsidP="008C7654">
            <w:pPr>
              <w:spacing w:before="40" w:after="40"/>
              <w:jc w:val="center"/>
              <w:rPr>
                <w:sz w:val="20"/>
                <w:szCs w:val="20"/>
              </w:rPr>
            </w:pPr>
            <w:r w:rsidRPr="00534573">
              <w:rPr>
                <w:szCs w:val="20"/>
              </w:rPr>
              <w:t>1.73</w:t>
            </w:r>
          </w:p>
        </w:tc>
        <w:tc>
          <w:tcPr>
            <w:tcW w:w="894" w:type="dxa"/>
            <w:tcBorders>
              <w:bottom w:val="double" w:sz="4" w:space="0" w:color="auto"/>
            </w:tcBorders>
            <w:vAlign w:val="center"/>
          </w:tcPr>
          <w:p w14:paraId="273A335D" w14:textId="29A15482" w:rsidR="008C7654" w:rsidRPr="00337C3E" w:rsidRDefault="008C7654" w:rsidP="008C7654">
            <w:pPr>
              <w:spacing w:before="40" w:after="40"/>
              <w:jc w:val="center"/>
              <w:rPr>
                <w:sz w:val="20"/>
                <w:szCs w:val="20"/>
              </w:rPr>
            </w:pPr>
            <w:r w:rsidRPr="00534573">
              <w:rPr>
                <w:szCs w:val="20"/>
              </w:rPr>
              <w:t>1.72</w:t>
            </w:r>
          </w:p>
        </w:tc>
        <w:tc>
          <w:tcPr>
            <w:tcW w:w="894" w:type="dxa"/>
            <w:tcBorders>
              <w:bottom w:val="double" w:sz="4" w:space="0" w:color="auto"/>
            </w:tcBorders>
            <w:vAlign w:val="center"/>
          </w:tcPr>
          <w:p w14:paraId="7ED1417C" w14:textId="2D33C729" w:rsidR="008C7654" w:rsidRPr="00337C3E" w:rsidRDefault="008C7654" w:rsidP="008C7654">
            <w:pPr>
              <w:spacing w:before="40" w:after="40"/>
              <w:jc w:val="center"/>
              <w:rPr>
                <w:sz w:val="20"/>
                <w:szCs w:val="20"/>
              </w:rPr>
            </w:pPr>
            <w:r w:rsidRPr="00534573">
              <w:rPr>
                <w:szCs w:val="20"/>
              </w:rPr>
              <w:t>1.72</w:t>
            </w:r>
          </w:p>
        </w:tc>
        <w:tc>
          <w:tcPr>
            <w:tcW w:w="894" w:type="dxa"/>
            <w:tcBorders>
              <w:bottom w:val="double" w:sz="4" w:space="0" w:color="auto"/>
            </w:tcBorders>
            <w:vAlign w:val="center"/>
          </w:tcPr>
          <w:p w14:paraId="3CCA35EC" w14:textId="366C31C2" w:rsidR="008C7654" w:rsidRPr="00337C3E" w:rsidRDefault="008C7654" w:rsidP="008C7654">
            <w:pPr>
              <w:spacing w:before="40" w:after="40"/>
              <w:jc w:val="center"/>
              <w:rPr>
                <w:sz w:val="20"/>
                <w:szCs w:val="20"/>
              </w:rPr>
            </w:pPr>
            <w:r w:rsidRPr="00534573">
              <w:rPr>
                <w:szCs w:val="20"/>
              </w:rPr>
              <w:t>1.71</w:t>
            </w:r>
          </w:p>
        </w:tc>
        <w:tc>
          <w:tcPr>
            <w:tcW w:w="894" w:type="dxa"/>
            <w:tcBorders>
              <w:bottom w:val="double" w:sz="4" w:space="0" w:color="auto"/>
            </w:tcBorders>
            <w:vAlign w:val="center"/>
          </w:tcPr>
          <w:p w14:paraId="34836C96" w14:textId="6FBDAC5A" w:rsidR="008C7654" w:rsidRPr="00337C3E" w:rsidRDefault="008C7654" w:rsidP="008C7654">
            <w:pPr>
              <w:spacing w:before="40" w:after="40"/>
              <w:jc w:val="center"/>
              <w:rPr>
                <w:sz w:val="20"/>
                <w:szCs w:val="20"/>
              </w:rPr>
            </w:pPr>
            <w:r w:rsidRPr="00534573">
              <w:rPr>
                <w:szCs w:val="20"/>
              </w:rPr>
              <w:t>1.71</w:t>
            </w:r>
          </w:p>
        </w:tc>
        <w:tc>
          <w:tcPr>
            <w:tcW w:w="894" w:type="dxa"/>
            <w:tcBorders>
              <w:bottom w:val="double" w:sz="4" w:space="0" w:color="auto"/>
            </w:tcBorders>
            <w:vAlign w:val="center"/>
          </w:tcPr>
          <w:p w14:paraId="30E985C4" w14:textId="5A89E078" w:rsidR="008C7654" w:rsidRPr="00337C3E" w:rsidRDefault="008C7654" w:rsidP="008C7654">
            <w:pPr>
              <w:spacing w:before="40" w:after="40"/>
              <w:jc w:val="center"/>
              <w:rPr>
                <w:sz w:val="20"/>
                <w:szCs w:val="20"/>
              </w:rPr>
            </w:pPr>
            <w:r w:rsidRPr="00534573">
              <w:rPr>
                <w:szCs w:val="20"/>
              </w:rPr>
              <w:t>1.72</w:t>
            </w:r>
          </w:p>
        </w:tc>
      </w:tr>
      <w:tr w:rsidR="00DA21BC" w:rsidRPr="00416C2F" w14:paraId="0DF23571" w14:textId="77777777" w:rsidTr="00ED1FA9">
        <w:tc>
          <w:tcPr>
            <w:tcW w:w="615" w:type="dxa"/>
            <w:vMerge w:val="restart"/>
            <w:tcBorders>
              <w:top w:val="double" w:sz="4" w:space="0" w:color="auto"/>
            </w:tcBorders>
            <w:vAlign w:val="center"/>
          </w:tcPr>
          <w:p w14:paraId="48684E07"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648648AB"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0E9EB811"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7A0825E2" w14:textId="7BC78EE3" w:rsidR="008C7654" w:rsidRPr="00337C3E" w:rsidRDefault="008C7654" w:rsidP="008C7654">
            <w:pPr>
              <w:spacing w:before="40" w:after="40"/>
              <w:jc w:val="center"/>
              <w:rPr>
                <w:sz w:val="20"/>
                <w:szCs w:val="20"/>
              </w:rPr>
            </w:pPr>
            <w:r w:rsidRPr="00534573">
              <w:rPr>
                <w:szCs w:val="20"/>
              </w:rPr>
              <w:t>1.36</w:t>
            </w:r>
          </w:p>
        </w:tc>
        <w:tc>
          <w:tcPr>
            <w:tcW w:w="995" w:type="dxa"/>
            <w:tcBorders>
              <w:top w:val="double" w:sz="4" w:space="0" w:color="auto"/>
              <w:left w:val="double" w:sz="4" w:space="0" w:color="auto"/>
            </w:tcBorders>
            <w:vAlign w:val="center"/>
          </w:tcPr>
          <w:p w14:paraId="25A25AC5" w14:textId="76754B75" w:rsidR="008C7654" w:rsidRPr="00337C3E" w:rsidRDefault="008C7654" w:rsidP="008C7654">
            <w:pPr>
              <w:spacing w:before="40" w:after="40"/>
              <w:jc w:val="center"/>
              <w:rPr>
                <w:sz w:val="20"/>
                <w:szCs w:val="20"/>
              </w:rPr>
            </w:pPr>
            <w:r w:rsidRPr="00534573">
              <w:rPr>
                <w:szCs w:val="20"/>
              </w:rPr>
              <w:t>1.46</w:t>
            </w:r>
          </w:p>
        </w:tc>
        <w:tc>
          <w:tcPr>
            <w:tcW w:w="894" w:type="dxa"/>
            <w:tcBorders>
              <w:top w:val="double" w:sz="4" w:space="0" w:color="auto"/>
            </w:tcBorders>
            <w:vAlign w:val="center"/>
          </w:tcPr>
          <w:p w14:paraId="60810138" w14:textId="0CDCCEFA" w:rsidR="008C7654" w:rsidRPr="00337C3E" w:rsidRDefault="008C7654" w:rsidP="008C7654">
            <w:pPr>
              <w:spacing w:before="40" w:after="40"/>
              <w:jc w:val="center"/>
              <w:rPr>
                <w:sz w:val="20"/>
                <w:szCs w:val="20"/>
              </w:rPr>
            </w:pPr>
            <w:r w:rsidRPr="00534573">
              <w:rPr>
                <w:szCs w:val="20"/>
              </w:rPr>
              <w:t>1.47</w:t>
            </w:r>
          </w:p>
        </w:tc>
        <w:tc>
          <w:tcPr>
            <w:tcW w:w="894" w:type="dxa"/>
            <w:tcBorders>
              <w:top w:val="double" w:sz="4" w:space="0" w:color="auto"/>
            </w:tcBorders>
            <w:vAlign w:val="center"/>
          </w:tcPr>
          <w:p w14:paraId="5018B063" w14:textId="0DFD0FE2" w:rsidR="008C7654" w:rsidRPr="00337C3E" w:rsidRDefault="008C7654" w:rsidP="008C7654">
            <w:pPr>
              <w:spacing w:before="40" w:after="40"/>
              <w:jc w:val="center"/>
              <w:rPr>
                <w:sz w:val="20"/>
                <w:szCs w:val="20"/>
              </w:rPr>
            </w:pPr>
            <w:r w:rsidRPr="00534573">
              <w:rPr>
                <w:szCs w:val="20"/>
              </w:rPr>
              <w:t>1.48</w:t>
            </w:r>
          </w:p>
        </w:tc>
        <w:tc>
          <w:tcPr>
            <w:tcW w:w="894" w:type="dxa"/>
            <w:tcBorders>
              <w:top w:val="double" w:sz="4" w:space="0" w:color="auto"/>
            </w:tcBorders>
            <w:vAlign w:val="center"/>
          </w:tcPr>
          <w:p w14:paraId="5E33A725" w14:textId="40571A62" w:rsidR="008C7654" w:rsidRPr="00337C3E" w:rsidRDefault="008C7654" w:rsidP="008C7654">
            <w:pPr>
              <w:spacing w:before="40" w:after="40"/>
              <w:jc w:val="center"/>
              <w:rPr>
                <w:sz w:val="20"/>
                <w:szCs w:val="20"/>
              </w:rPr>
            </w:pPr>
            <w:r w:rsidRPr="00534573">
              <w:rPr>
                <w:szCs w:val="20"/>
              </w:rPr>
              <w:t>1.42</w:t>
            </w:r>
          </w:p>
        </w:tc>
        <w:tc>
          <w:tcPr>
            <w:tcW w:w="894" w:type="dxa"/>
            <w:tcBorders>
              <w:top w:val="double" w:sz="4" w:space="0" w:color="auto"/>
            </w:tcBorders>
            <w:vAlign w:val="center"/>
          </w:tcPr>
          <w:p w14:paraId="7EA026D5" w14:textId="689BEDCD" w:rsidR="008C7654" w:rsidRPr="00337C3E" w:rsidRDefault="008C7654" w:rsidP="008C7654">
            <w:pPr>
              <w:spacing w:before="40" w:after="40"/>
              <w:jc w:val="center"/>
              <w:rPr>
                <w:sz w:val="20"/>
                <w:szCs w:val="20"/>
              </w:rPr>
            </w:pPr>
            <w:r w:rsidRPr="00534573">
              <w:rPr>
                <w:szCs w:val="20"/>
              </w:rPr>
              <w:t>1.51</w:t>
            </w:r>
          </w:p>
        </w:tc>
        <w:tc>
          <w:tcPr>
            <w:tcW w:w="894" w:type="dxa"/>
            <w:tcBorders>
              <w:top w:val="double" w:sz="4" w:space="0" w:color="auto"/>
            </w:tcBorders>
            <w:vAlign w:val="center"/>
          </w:tcPr>
          <w:p w14:paraId="60FEA4E6" w14:textId="40FEC743" w:rsidR="008C7654" w:rsidRPr="00337C3E" w:rsidRDefault="008C7654" w:rsidP="008C7654">
            <w:pPr>
              <w:spacing w:before="40" w:after="40"/>
              <w:jc w:val="center"/>
              <w:rPr>
                <w:sz w:val="20"/>
                <w:szCs w:val="20"/>
              </w:rPr>
            </w:pPr>
            <w:r w:rsidRPr="00534573">
              <w:rPr>
                <w:szCs w:val="20"/>
              </w:rPr>
              <w:t>1.45</w:t>
            </w:r>
          </w:p>
        </w:tc>
        <w:tc>
          <w:tcPr>
            <w:tcW w:w="894" w:type="dxa"/>
            <w:tcBorders>
              <w:top w:val="double" w:sz="4" w:space="0" w:color="auto"/>
            </w:tcBorders>
            <w:vAlign w:val="center"/>
          </w:tcPr>
          <w:p w14:paraId="2408FE92" w14:textId="092F1D80" w:rsidR="008C7654" w:rsidRPr="00337C3E" w:rsidRDefault="008C7654" w:rsidP="008C7654">
            <w:pPr>
              <w:spacing w:before="40" w:after="40"/>
              <w:jc w:val="center"/>
              <w:rPr>
                <w:sz w:val="20"/>
                <w:szCs w:val="20"/>
              </w:rPr>
            </w:pPr>
            <w:r w:rsidRPr="00534573">
              <w:rPr>
                <w:szCs w:val="20"/>
              </w:rPr>
              <w:t>1.46</w:t>
            </w:r>
          </w:p>
        </w:tc>
        <w:tc>
          <w:tcPr>
            <w:tcW w:w="894" w:type="dxa"/>
            <w:tcBorders>
              <w:top w:val="double" w:sz="4" w:space="0" w:color="auto"/>
            </w:tcBorders>
            <w:vAlign w:val="center"/>
          </w:tcPr>
          <w:p w14:paraId="081AF9EA" w14:textId="6F8B67E7" w:rsidR="008C7654" w:rsidRPr="00337C3E" w:rsidRDefault="008C7654" w:rsidP="008C7654">
            <w:pPr>
              <w:spacing w:before="40" w:after="40"/>
              <w:jc w:val="center"/>
              <w:rPr>
                <w:sz w:val="20"/>
                <w:szCs w:val="20"/>
              </w:rPr>
            </w:pPr>
            <w:r w:rsidRPr="00534573">
              <w:rPr>
                <w:szCs w:val="20"/>
              </w:rPr>
              <w:t>1.44</w:t>
            </w:r>
          </w:p>
        </w:tc>
      </w:tr>
      <w:tr w:rsidR="00DA21BC" w:rsidRPr="00416C2F" w14:paraId="26BB6E05" w14:textId="77777777" w:rsidTr="00ED1FA9">
        <w:tc>
          <w:tcPr>
            <w:tcW w:w="615" w:type="dxa"/>
            <w:vMerge/>
            <w:tcBorders>
              <w:bottom w:val="double" w:sz="4" w:space="0" w:color="auto"/>
            </w:tcBorders>
            <w:vAlign w:val="center"/>
          </w:tcPr>
          <w:p w14:paraId="1FF8E2B4" w14:textId="77777777" w:rsidR="008C7654" w:rsidRPr="00416C2F" w:rsidRDefault="008C7654" w:rsidP="008C7654">
            <w:pPr>
              <w:spacing w:before="40" w:after="40"/>
              <w:jc w:val="center"/>
              <w:rPr>
                <w:rFonts w:cs="Arial"/>
                <w:color w:val="000000"/>
                <w:sz w:val="20"/>
                <w:szCs w:val="20"/>
              </w:rPr>
            </w:pPr>
          </w:p>
        </w:tc>
        <w:tc>
          <w:tcPr>
            <w:tcW w:w="615" w:type="dxa"/>
            <w:vMerge/>
            <w:tcBorders>
              <w:bottom w:val="double" w:sz="4" w:space="0" w:color="auto"/>
            </w:tcBorders>
            <w:vAlign w:val="center"/>
          </w:tcPr>
          <w:p w14:paraId="2A1DE524" w14:textId="77777777" w:rsidR="008C7654" w:rsidRPr="00FA2A84" w:rsidRDefault="008C7654" w:rsidP="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7EC5012" w14:textId="77777777" w:rsidR="008C7654" w:rsidRPr="00416C2F"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1FC8B302" w14:textId="77777777" w:rsidR="008C7654" w:rsidRPr="00337C3E" w:rsidRDefault="008C7654" w:rsidP="008C7654">
            <w:pPr>
              <w:spacing w:before="40" w:after="40"/>
              <w:jc w:val="center"/>
              <w:rPr>
                <w:sz w:val="20"/>
                <w:szCs w:val="20"/>
              </w:rPr>
            </w:pPr>
          </w:p>
        </w:tc>
        <w:tc>
          <w:tcPr>
            <w:tcW w:w="995" w:type="dxa"/>
            <w:tcBorders>
              <w:left w:val="double" w:sz="4" w:space="0" w:color="auto"/>
              <w:bottom w:val="double" w:sz="4" w:space="0" w:color="auto"/>
            </w:tcBorders>
            <w:vAlign w:val="center"/>
          </w:tcPr>
          <w:p w14:paraId="71881FDA" w14:textId="521DEFCB" w:rsidR="008C7654" w:rsidRPr="00337C3E" w:rsidRDefault="008C7654" w:rsidP="008C7654">
            <w:pPr>
              <w:spacing w:before="40" w:after="40"/>
              <w:jc w:val="center"/>
              <w:rPr>
                <w:sz w:val="20"/>
                <w:szCs w:val="20"/>
              </w:rPr>
            </w:pPr>
            <w:r w:rsidRPr="00534573">
              <w:rPr>
                <w:szCs w:val="20"/>
              </w:rPr>
              <w:t>1.73</w:t>
            </w:r>
          </w:p>
        </w:tc>
        <w:tc>
          <w:tcPr>
            <w:tcW w:w="894" w:type="dxa"/>
            <w:tcBorders>
              <w:bottom w:val="double" w:sz="4" w:space="0" w:color="auto"/>
            </w:tcBorders>
            <w:vAlign w:val="center"/>
          </w:tcPr>
          <w:p w14:paraId="0E3ADD05" w14:textId="618527B8" w:rsidR="008C7654" w:rsidRPr="00337C3E" w:rsidRDefault="008C7654" w:rsidP="008C7654">
            <w:pPr>
              <w:spacing w:before="40" w:after="40"/>
              <w:jc w:val="center"/>
              <w:rPr>
                <w:sz w:val="20"/>
                <w:szCs w:val="20"/>
              </w:rPr>
            </w:pPr>
            <w:r w:rsidRPr="00534573">
              <w:rPr>
                <w:szCs w:val="20"/>
              </w:rPr>
              <w:t>1.78</w:t>
            </w:r>
          </w:p>
        </w:tc>
        <w:tc>
          <w:tcPr>
            <w:tcW w:w="894" w:type="dxa"/>
            <w:tcBorders>
              <w:bottom w:val="double" w:sz="4" w:space="0" w:color="auto"/>
            </w:tcBorders>
            <w:vAlign w:val="center"/>
          </w:tcPr>
          <w:p w14:paraId="033DAECF" w14:textId="4C51AA0A" w:rsidR="008C7654" w:rsidRPr="00337C3E" w:rsidRDefault="008C7654" w:rsidP="008C7654">
            <w:pPr>
              <w:spacing w:before="40" w:after="40"/>
              <w:jc w:val="center"/>
              <w:rPr>
                <w:sz w:val="20"/>
                <w:szCs w:val="20"/>
              </w:rPr>
            </w:pPr>
            <w:r w:rsidRPr="00534573">
              <w:rPr>
                <w:szCs w:val="20"/>
              </w:rPr>
              <w:t>1.76</w:t>
            </w:r>
          </w:p>
        </w:tc>
        <w:tc>
          <w:tcPr>
            <w:tcW w:w="894" w:type="dxa"/>
            <w:tcBorders>
              <w:bottom w:val="double" w:sz="4" w:space="0" w:color="auto"/>
            </w:tcBorders>
            <w:vAlign w:val="center"/>
          </w:tcPr>
          <w:p w14:paraId="7067F232" w14:textId="73F5268F" w:rsidR="008C7654" w:rsidRPr="00337C3E" w:rsidRDefault="008C7654" w:rsidP="008C7654">
            <w:pPr>
              <w:spacing w:before="40" w:after="40"/>
              <w:jc w:val="center"/>
              <w:rPr>
                <w:sz w:val="20"/>
                <w:szCs w:val="20"/>
              </w:rPr>
            </w:pPr>
            <w:r w:rsidRPr="00534573">
              <w:rPr>
                <w:szCs w:val="20"/>
              </w:rPr>
              <w:t>1.77</w:t>
            </w:r>
          </w:p>
        </w:tc>
        <w:tc>
          <w:tcPr>
            <w:tcW w:w="894" w:type="dxa"/>
            <w:tcBorders>
              <w:bottom w:val="double" w:sz="4" w:space="0" w:color="auto"/>
            </w:tcBorders>
            <w:vAlign w:val="center"/>
          </w:tcPr>
          <w:p w14:paraId="5EC34E71" w14:textId="1ED52F7E" w:rsidR="008C7654" w:rsidRPr="00337C3E" w:rsidRDefault="008C7654" w:rsidP="008C7654">
            <w:pPr>
              <w:spacing w:before="40" w:after="40"/>
              <w:jc w:val="center"/>
              <w:rPr>
                <w:sz w:val="20"/>
                <w:szCs w:val="20"/>
              </w:rPr>
            </w:pPr>
            <w:r w:rsidRPr="00534573">
              <w:rPr>
                <w:szCs w:val="20"/>
              </w:rPr>
              <w:t>1.72</w:t>
            </w:r>
          </w:p>
        </w:tc>
        <w:tc>
          <w:tcPr>
            <w:tcW w:w="894" w:type="dxa"/>
            <w:tcBorders>
              <w:bottom w:val="double" w:sz="4" w:space="0" w:color="auto"/>
            </w:tcBorders>
            <w:vAlign w:val="center"/>
          </w:tcPr>
          <w:p w14:paraId="05A53393" w14:textId="738BABD8" w:rsidR="008C7654" w:rsidRPr="00337C3E" w:rsidRDefault="008C7654" w:rsidP="008C7654">
            <w:pPr>
              <w:spacing w:before="40" w:after="40"/>
              <w:jc w:val="center"/>
              <w:rPr>
                <w:sz w:val="20"/>
                <w:szCs w:val="20"/>
              </w:rPr>
            </w:pPr>
            <w:r w:rsidRPr="00534573">
              <w:rPr>
                <w:szCs w:val="20"/>
              </w:rPr>
              <w:t>1.75</w:t>
            </w:r>
          </w:p>
        </w:tc>
        <w:tc>
          <w:tcPr>
            <w:tcW w:w="894" w:type="dxa"/>
            <w:tcBorders>
              <w:bottom w:val="double" w:sz="4" w:space="0" w:color="auto"/>
            </w:tcBorders>
            <w:vAlign w:val="center"/>
          </w:tcPr>
          <w:p w14:paraId="2DB83ECF" w14:textId="504C6AB7" w:rsidR="008C7654" w:rsidRPr="00337C3E" w:rsidRDefault="008C7654" w:rsidP="008C7654">
            <w:pPr>
              <w:spacing w:before="40" w:after="40"/>
              <w:jc w:val="center"/>
              <w:rPr>
                <w:sz w:val="20"/>
                <w:szCs w:val="20"/>
              </w:rPr>
            </w:pPr>
            <w:r w:rsidRPr="00534573">
              <w:rPr>
                <w:szCs w:val="20"/>
              </w:rPr>
              <w:t>1.68</w:t>
            </w:r>
          </w:p>
        </w:tc>
        <w:tc>
          <w:tcPr>
            <w:tcW w:w="894" w:type="dxa"/>
            <w:tcBorders>
              <w:bottom w:val="double" w:sz="4" w:space="0" w:color="auto"/>
            </w:tcBorders>
            <w:vAlign w:val="center"/>
          </w:tcPr>
          <w:p w14:paraId="104E4BB7" w14:textId="1EA6C207" w:rsidR="008C7654" w:rsidRPr="00337C3E" w:rsidRDefault="008C7654" w:rsidP="008C7654">
            <w:pPr>
              <w:spacing w:before="40" w:after="40"/>
              <w:jc w:val="center"/>
              <w:rPr>
                <w:sz w:val="20"/>
                <w:szCs w:val="20"/>
              </w:rPr>
            </w:pPr>
            <w:r w:rsidRPr="00534573">
              <w:rPr>
                <w:szCs w:val="20"/>
              </w:rPr>
              <w:t>1.69</w:t>
            </w:r>
          </w:p>
        </w:tc>
      </w:tr>
      <w:tr w:rsidR="00DA21BC" w:rsidRPr="00416C2F" w14:paraId="01FEA18F" w14:textId="77777777" w:rsidTr="00ED1FA9">
        <w:tc>
          <w:tcPr>
            <w:tcW w:w="615" w:type="dxa"/>
            <w:vMerge w:val="restart"/>
            <w:tcBorders>
              <w:top w:val="double" w:sz="4" w:space="0" w:color="auto"/>
            </w:tcBorders>
            <w:vAlign w:val="center"/>
          </w:tcPr>
          <w:p w14:paraId="7F7874AD"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4B212043" w14:textId="77777777" w:rsidR="008C7654" w:rsidRPr="00FA2A84" w:rsidRDefault="008C7654" w:rsidP="008C7654">
            <w:pPr>
              <w:spacing w:before="40" w:after="40"/>
              <w:jc w:val="center"/>
              <w:rPr>
                <w:rFonts w:cs="Arial"/>
                <w:color w:val="000000"/>
                <w:sz w:val="20"/>
                <w:szCs w:val="20"/>
              </w:rPr>
            </w:pPr>
            <w:r w:rsidRPr="00FA2A84">
              <w:rPr>
                <w:sz w:val="20"/>
                <w:szCs w:val="20"/>
              </w:rPr>
              <w:t>9</w:t>
            </w:r>
          </w:p>
        </w:tc>
        <w:tc>
          <w:tcPr>
            <w:tcW w:w="616" w:type="dxa"/>
            <w:tcBorders>
              <w:top w:val="double" w:sz="4" w:space="0" w:color="auto"/>
              <w:right w:val="double" w:sz="4" w:space="0" w:color="auto"/>
            </w:tcBorders>
            <w:vAlign w:val="center"/>
          </w:tcPr>
          <w:p w14:paraId="50DF774A"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27F040A1" w14:textId="6B5A43A9" w:rsidR="008C7654" w:rsidRPr="00337C3E" w:rsidRDefault="008C7654" w:rsidP="008C7654">
            <w:pPr>
              <w:spacing w:before="40" w:after="40"/>
              <w:jc w:val="center"/>
              <w:rPr>
                <w:sz w:val="20"/>
                <w:szCs w:val="20"/>
              </w:rPr>
            </w:pPr>
            <w:r w:rsidRPr="00534573">
              <w:rPr>
                <w:szCs w:val="20"/>
              </w:rPr>
              <w:t>1.65</w:t>
            </w:r>
          </w:p>
        </w:tc>
        <w:tc>
          <w:tcPr>
            <w:tcW w:w="995" w:type="dxa"/>
            <w:tcBorders>
              <w:top w:val="double" w:sz="4" w:space="0" w:color="auto"/>
              <w:left w:val="double" w:sz="4" w:space="0" w:color="auto"/>
            </w:tcBorders>
            <w:vAlign w:val="center"/>
          </w:tcPr>
          <w:p w14:paraId="46EC25CC" w14:textId="7E6E4E52" w:rsidR="008C7654" w:rsidRPr="00337C3E" w:rsidRDefault="008C7654" w:rsidP="008C7654">
            <w:pPr>
              <w:spacing w:before="40" w:after="40"/>
              <w:jc w:val="center"/>
              <w:rPr>
                <w:sz w:val="20"/>
                <w:szCs w:val="20"/>
              </w:rPr>
            </w:pPr>
            <w:r w:rsidRPr="00534573">
              <w:rPr>
                <w:szCs w:val="20"/>
              </w:rPr>
              <w:t>1.66</w:t>
            </w:r>
          </w:p>
        </w:tc>
        <w:tc>
          <w:tcPr>
            <w:tcW w:w="894" w:type="dxa"/>
            <w:tcBorders>
              <w:top w:val="double" w:sz="4" w:space="0" w:color="auto"/>
            </w:tcBorders>
            <w:vAlign w:val="center"/>
          </w:tcPr>
          <w:p w14:paraId="6C72DD9F" w14:textId="68BFA070" w:rsidR="008C7654" w:rsidRPr="00337C3E" w:rsidRDefault="008C7654" w:rsidP="008C7654">
            <w:pPr>
              <w:spacing w:before="40" w:after="40"/>
              <w:jc w:val="center"/>
              <w:rPr>
                <w:sz w:val="20"/>
                <w:szCs w:val="20"/>
              </w:rPr>
            </w:pPr>
            <w:r w:rsidRPr="00534573">
              <w:rPr>
                <w:szCs w:val="20"/>
              </w:rPr>
              <w:t>1.68</w:t>
            </w:r>
          </w:p>
        </w:tc>
        <w:tc>
          <w:tcPr>
            <w:tcW w:w="894" w:type="dxa"/>
            <w:tcBorders>
              <w:top w:val="double" w:sz="4" w:space="0" w:color="auto"/>
            </w:tcBorders>
            <w:vAlign w:val="center"/>
          </w:tcPr>
          <w:p w14:paraId="0DAD06CA" w14:textId="1A7AE43F" w:rsidR="008C7654" w:rsidRPr="00337C3E" w:rsidRDefault="008C7654" w:rsidP="008C7654">
            <w:pPr>
              <w:spacing w:before="40" w:after="40"/>
              <w:jc w:val="center"/>
              <w:rPr>
                <w:sz w:val="20"/>
                <w:szCs w:val="20"/>
              </w:rPr>
            </w:pPr>
            <w:r w:rsidRPr="00534573">
              <w:rPr>
                <w:szCs w:val="20"/>
              </w:rPr>
              <w:t>1.67</w:t>
            </w:r>
          </w:p>
        </w:tc>
        <w:tc>
          <w:tcPr>
            <w:tcW w:w="894" w:type="dxa"/>
            <w:tcBorders>
              <w:top w:val="double" w:sz="4" w:space="0" w:color="auto"/>
            </w:tcBorders>
            <w:vAlign w:val="center"/>
          </w:tcPr>
          <w:p w14:paraId="41EA27C2" w14:textId="77930C84" w:rsidR="008C7654" w:rsidRPr="00337C3E" w:rsidRDefault="008C7654" w:rsidP="008C7654">
            <w:pPr>
              <w:spacing w:before="40" w:after="40"/>
              <w:jc w:val="center"/>
              <w:rPr>
                <w:sz w:val="20"/>
                <w:szCs w:val="20"/>
              </w:rPr>
            </w:pPr>
            <w:r w:rsidRPr="00534573">
              <w:rPr>
                <w:szCs w:val="20"/>
              </w:rPr>
              <w:t>1.68</w:t>
            </w:r>
          </w:p>
        </w:tc>
        <w:tc>
          <w:tcPr>
            <w:tcW w:w="894" w:type="dxa"/>
            <w:tcBorders>
              <w:top w:val="double" w:sz="4" w:space="0" w:color="auto"/>
            </w:tcBorders>
            <w:vAlign w:val="center"/>
          </w:tcPr>
          <w:p w14:paraId="4F04160B" w14:textId="5F5416AB" w:rsidR="008C7654" w:rsidRPr="00337C3E" w:rsidRDefault="008C7654" w:rsidP="008C7654">
            <w:pPr>
              <w:spacing w:before="40" w:after="40"/>
              <w:jc w:val="center"/>
              <w:rPr>
                <w:sz w:val="20"/>
                <w:szCs w:val="20"/>
              </w:rPr>
            </w:pPr>
            <w:r w:rsidRPr="00534573">
              <w:rPr>
                <w:szCs w:val="20"/>
              </w:rPr>
              <w:t>1.59</w:t>
            </w:r>
          </w:p>
        </w:tc>
        <w:tc>
          <w:tcPr>
            <w:tcW w:w="894" w:type="dxa"/>
            <w:tcBorders>
              <w:top w:val="double" w:sz="4" w:space="0" w:color="auto"/>
            </w:tcBorders>
            <w:vAlign w:val="center"/>
          </w:tcPr>
          <w:p w14:paraId="6ACE724B" w14:textId="37F67B8F" w:rsidR="008C7654" w:rsidRPr="00337C3E" w:rsidRDefault="008C7654" w:rsidP="008C7654">
            <w:pPr>
              <w:spacing w:before="40" w:after="40"/>
              <w:jc w:val="center"/>
              <w:rPr>
                <w:sz w:val="20"/>
                <w:szCs w:val="20"/>
              </w:rPr>
            </w:pPr>
            <w:r w:rsidRPr="00534573">
              <w:rPr>
                <w:szCs w:val="20"/>
              </w:rPr>
              <w:t>1.65</w:t>
            </w:r>
          </w:p>
        </w:tc>
        <w:tc>
          <w:tcPr>
            <w:tcW w:w="894" w:type="dxa"/>
            <w:tcBorders>
              <w:top w:val="double" w:sz="4" w:space="0" w:color="auto"/>
            </w:tcBorders>
            <w:vAlign w:val="center"/>
          </w:tcPr>
          <w:p w14:paraId="0D03A055" w14:textId="05EEE3D6" w:rsidR="008C7654" w:rsidRPr="00337C3E" w:rsidRDefault="008C7654" w:rsidP="008C7654">
            <w:pPr>
              <w:spacing w:before="40" w:after="40"/>
              <w:jc w:val="center"/>
              <w:rPr>
                <w:sz w:val="20"/>
                <w:szCs w:val="20"/>
              </w:rPr>
            </w:pPr>
            <w:r w:rsidRPr="00534573">
              <w:rPr>
                <w:szCs w:val="20"/>
              </w:rPr>
              <w:t>1.70</w:t>
            </w:r>
          </w:p>
        </w:tc>
        <w:tc>
          <w:tcPr>
            <w:tcW w:w="894" w:type="dxa"/>
            <w:tcBorders>
              <w:top w:val="double" w:sz="4" w:space="0" w:color="auto"/>
            </w:tcBorders>
            <w:vAlign w:val="center"/>
          </w:tcPr>
          <w:p w14:paraId="5F2AA4BC" w14:textId="38A735C6" w:rsidR="008C7654" w:rsidRPr="00337C3E" w:rsidRDefault="008C7654" w:rsidP="008C7654">
            <w:pPr>
              <w:spacing w:before="40" w:after="40"/>
              <w:jc w:val="center"/>
              <w:rPr>
                <w:sz w:val="20"/>
                <w:szCs w:val="20"/>
              </w:rPr>
            </w:pPr>
            <w:r w:rsidRPr="00534573">
              <w:rPr>
                <w:szCs w:val="20"/>
              </w:rPr>
              <w:t>1.69</w:t>
            </w:r>
          </w:p>
        </w:tc>
      </w:tr>
      <w:tr w:rsidR="00C87D4C" w:rsidRPr="00416C2F" w14:paraId="5B59A081" w14:textId="77777777" w:rsidTr="00ED1FA9">
        <w:tc>
          <w:tcPr>
            <w:tcW w:w="615" w:type="dxa"/>
            <w:vMerge/>
            <w:vAlign w:val="center"/>
          </w:tcPr>
          <w:p w14:paraId="20889596" w14:textId="77777777" w:rsidR="008C7654" w:rsidRPr="00FA2A84" w:rsidRDefault="008C7654" w:rsidP="008C7654">
            <w:pPr>
              <w:spacing w:before="40" w:after="40"/>
              <w:jc w:val="center"/>
              <w:rPr>
                <w:rFonts w:cs="Arial"/>
                <w:color w:val="000000"/>
                <w:sz w:val="20"/>
                <w:szCs w:val="20"/>
              </w:rPr>
            </w:pPr>
          </w:p>
        </w:tc>
        <w:tc>
          <w:tcPr>
            <w:tcW w:w="615" w:type="dxa"/>
            <w:vMerge/>
            <w:vAlign w:val="center"/>
          </w:tcPr>
          <w:p w14:paraId="32DF5C89"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3DEDB15C"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62B9FC19" w14:textId="77777777" w:rsidR="008C7654" w:rsidRPr="00FA2A84" w:rsidDel="00F86573" w:rsidRDefault="008C7654" w:rsidP="008C7654">
            <w:pPr>
              <w:spacing w:before="40" w:after="40"/>
              <w:jc w:val="center"/>
              <w:rPr>
                <w:sz w:val="20"/>
                <w:szCs w:val="20"/>
              </w:rPr>
            </w:pPr>
          </w:p>
        </w:tc>
        <w:tc>
          <w:tcPr>
            <w:tcW w:w="995" w:type="dxa"/>
            <w:tcBorders>
              <w:left w:val="double" w:sz="4" w:space="0" w:color="auto"/>
            </w:tcBorders>
            <w:vAlign w:val="center"/>
          </w:tcPr>
          <w:p w14:paraId="14093795" w14:textId="01C6CD24" w:rsidR="008C7654" w:rsidRPr="00337C3E" w:rsidDel="00F86573" w:rsidRDefault="008C7654" w:rsidP="008C7654">
            <w:pPr>
              <w:spacing w:before="40" w:after="40"/>
              <w:jc w:val="center"/>
              <w:rPr>
                <w:sz w:val="20"/>
                <w:szCs w:val="20"/>
              </w:rPr>
            </w:pPr>
            <w:r w:rsidRPr="00534573">
              <w:rPr>
                <w:szCs w:val="20"/>
              </w:rPr>
              <w:t>1.80</w:t>
            </w:r>
          </w:p>
        </w:tc>
        <w:tc>
          <w:tcPr>
            <w:tcW w:w="894" w:type="dxa"/>
            <w:vAlign w:val="center"/>
          </w:tcPr>
          <w:p w14:paraId="40A60334" w14:textId="42B89A3F" w:rsidR="008C7654" w:rsidRPr="00FA2A84" w:rsidDel="00F86573" w:rsidRDefault="008C7654" w:rsidP="008C7654">
            <w:pPr>
              <w:spacing w:before="40" w:after="40"/>
              <w:jc w:val="center"/>
              <w:rPr>
                <w:sz w:val="20"/>
                <w:szCs w:val="20"/>
              </w:rPr>
            </w:pPr>
            <w:r w:rsidRPr="00534573">
              <w:rPr>
                <w:szCs w:val="20"/>
              </w:rPr>
              <w:t>1.82</w:t>
            </w:r>
          </w:p>
        </w:tc>
        <w:tc>
          <w:tcPr>
            <w:tcW w:w="894" w:type="dxa"/>
            <w:vAlign w:val="center"/>
          </w:tcPr>
          <w:p w14:paraId="3BD5C4F2" w14:textId="3F023742" w:rsidR="008C7654" w:rsidRPr="00FA2A84" w:rsidDel="00F86573" w:rsidRDefault="008C7654" w:rsidP="008C7654">
            <w:pPr>
              <w:spacing w:before="40" w:after="40"/>
              <w:jc w:val="center"/>
              <w:rPr>
                <w:sz w:val="20"/>
                <w:szCs w:val="20"/>
              </w:rPr>
            </w:pPr>
            <w:r w:rsidRPr="00534573">
              <w:rPr>
                <w:szCs w:val="20"/>
              </w:rPr>
              <w:t>1.84</w:t>
            </w:r>
          </w:p>
        </w:tc>
        <w:tc>
          <w:tcPr>
            <w:tcW w:w="894" w:type="dxa"/>
            <w:vAlign w:val="center"/>
          </w:tcPr>
          <w:p w14:paraId="12F156B4" w14:textId="530EBDAF" w:rsidR="008C7654" w:rsidRPr="00FA2A84" w:rsidDel="00F86573" w:rsidRDefault="008C7654" w:rsidP="008C7654">
            <w:pPr>
              <w:spacing w:before="40" w:after="40"/>
              <w:jc w:val="center"/>
              <w:rPr>
                <w:sz w:val="20"/>
                <w:szCs w:val="20"/>
              </w:rPr>
            </w:pPr>
            <w:r w:rsidRPr="00534573">
              <w:rPr>
                <w:szCs w:val="20"/>
              </w:rPr>
              <w:t>1.82</w:t>
            </w:r>
          </w:p>
        </w:tc>
        <w:tc>
          <w:tcPr>
            <w:tcW w:w="894" w:type="dxa"/>
            <w:vAlign w:val="center"/>
          </w:tcPr>
          <w:p w14:paraId="4F97E240" w14:textId="778FD330" w:rsidR="008C7654" w:rsidRPr="00FA2A84" w:rsidDel="00F86573" w:rsidRDefault="008C7654" w:rsidP="008C7654">
            <w:pPr>
              <w:spacing w:before="40" w:after="40"/>
              <w:jc w:val="center"/>
              <w:rPr>
                <w:sz w:val="20"/>
                <w:szCs w:val="20"/>
              </w:rPr>
            </w:pPr>
            <w:r w:rsidRPr="00534573">
              <w:rPr>
                <w:szCs w:val="20"/>
              </w:rPr>
              <w:t>1.78</w:t>
            </w:r>
          </w:p>
        </w:tc>
        <w:tc>
          <w:tcPr>
            <w:tcW w:w="894" w:type="dxa"/>
            <w:vAlign w:val="center"/>
          </w:tcPr>
          <w:p w14:paraId="10CF8732" w14:textId="63A5D8DD" w:rsidR="008C7654" w:rsidRPr="00FA2A84" w:rsidDel="00F86573" w:rsidRDefault="008C7654" w:rsidP="008C7654">
            <w:pPr>
              <w:spacing w:before="40" w:after="40"/>
              <w:jc w:val="center"/>
              <w:rPr>
                <w:sz w:val="20"/>
                <w:szCs w:val="20"/>
              </w:rPr>
            </w:pPr>
            <w:r w:rsidRPr="00534573">
              <w:rPr>
                <w:szCs w:val="20"/>
              </w:rPr>
              <w:t>1.80</w:t>
            </w:r>
          </w:p>
        </w:tc>
        <w:tc>
          <w:tcPr>
            <w:tcW w:w="894" w:type="dxa"/>
            <w:vAlign w:val="center"/>
          </w:tcPr>
          <w:p w14:paraId="048249C2" w14:textId="6C7D7D02" w:rsidR="008C7654" w:rsidRPr="00FA2A84" w:rsidDel="00F86573" w:rsidRDefault="008C7654" w:rsidP="008C7654">
            <w:pPr>
              <w:spacing w:before="40" w:after="40"/>
              <w:jc w:val="center"/>
              <w:rPr>
                <w:sz w:val="20"/>
                <w:szCs w:val="20"/>
              </w:rPr>
            </w:pPr>
            <w:r w:rsidRPr="00534573">
              <w:rPr>
                <w:szCs w:val="20"/>
              </w:rPr>
              <w:t>1.78</w:t>
            </w:r>
          </w:p>
        </w:tc>
        <w:tc>
          <w:tcPr>
            <w:tcW w:w="894" w:type="dxa"/>
            <w:vAlign w:val="center"/>
          </w:tcPr>
          <w:p w14:paraId="15543A9F" w14:textId="2531B70E" w:rsidR="008C7654" w:rsidRPr="00FA2A84" w:rsidDel="00F86573" w:rsidRDefault="008C7654" w:rsidP="008C7654">
            <w:pPr>
              <w:spacing w:before="40" w:after="40"/>
              <w:jc w:val="center"/>
              <w:rPr>
                <w:sz w:val="20"/>
                <w:szCs w:val="20"/>
              </w:rPr>
            </w:pPr>
            <w:r w:rsidRPr="00534573">
              <w:rPr>
                <w:szCs w:val="20"/>
              </w:rPr>
              <w:t>1.80</w:t>
            </w:r>
          </w:p>
        </w:tc>
      </w:tr>
      <w:tr w:rsidR="00C87D4C" w:rsidRPr="00416C2F" w14:paraId="5BC2D3F9" w14:textId="77777777" w:rsidTr="00ED1FA9">
        <w:tc>
          <w:tcPr>
            <w:tcW w:w="615" w:type="dxa"/>
            <w:vMerge/>
            <w:vAlign w:val="center"/>
          </w:tcPr>
          <w:p w14:paraId="186F5E4A" w14:textId="77777777" w:rsidR="008C7654" w:rsidRPr="00FA2A84" w:rsidRDefault="008C7654" w:rsidP="008C7654">
            <w:pPr>
              <w:spacing w:before="40" w:after="40"/>
              <w:jc w:val="center"/>
              <w:rPr>
                <w:rFonts w:cs="Arial"/>
                <w:color w:val="000000"/>
                <w:sz w:val="20"/>
                <w:szCs w:val="20"/>
              </w:rPr>
            </w:pPr>
          </w:p>
        </w:tc>
        <w:tc>
          <w:tcPr>
            <w:tcW w:w="615" w:type="dxa"/>
            <w:vMerge/>
            <w:vAlign w:val="center"/>
          </w:tcPr>
          <w:p w14:paraId="0381062B"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07D64577" w14:textId="77777777" w:rsidR="008C7654" w:rsidRPr="00FA2A84" w:rsidRDefault="008C7654" w:rsidP="008C7654">
            <w:pPr>
              <w:spacing w:before="40" w:after="40"/>
              <w:jc w:val="center"/>
              <w:rPr>
                <w:rFonts w:cs="Arial"/>
                <w:color w:val="000000"/>
                <w:sz w:val="20"/>
                <w:szCs w:val="20"/>
              </w:rPr>
            </w:pPr>
            <w:r w:rsidRPr="00FA2A84">
              <w:rPr>
                <w:sz w:val="20"/>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42338F4B" w14:textId="77777777" w:rsidR="008C7654" w:rsidRPr="00FA2A84" w:rsidDel="00F86573" w:rsidRDefault="008C7654" w:rsidP="008C7654">
            <w:pPr>
              <w:spacing w:before="40" w:after="40"/>
              <w:jc w:val="center"/>
              <w:rPr>
                <w:sz w:val="20"/>
                <w:szCs w:val="20"/>
              </w:rPr>
            </w:pPr>
          </w:p>
        </w:tc>
        <w:tc>
          <w:tcPr>
            <w:tcW w:w="995" w:type="dxa"/>
            <w:tcBorders>
              <w:left w:val="double" w:sz="4" w:space="0" w:color="auto"/>
            </w:tcBorders>
            <w:vAlign w:val="center"/>
          </w:tcPr>
          <w:p w14:paraId="4F0CF867" w14:textId="7F485B57" w:rsidR="008C7654" w:rsidRPr="00337C3E" w:rsidDel="00F86573" w:rsidRDefault="008C7654" w:rsidP="008C7654">
            <w:pPr>
              <w:spacing w:before="40" w:after="40"/>
              <w:jc w:val="center"/>
              <w:rPr>
                <w:sz w:val="20"/>
                <w:szCs w:val="20"/>
              </w:rPr>
            </w:pPr>
            <w:r w:rsidRPr="00534573">
              <w:rPr>
                <w:szCs w:val="20"/>
              </w:rPr>
              <w:t>2.07</w:t>
            </w:r>
          </w:p>
        </w:tc>
        <w:tc>
          <w:tcPr>
            <w:tcW w:w="894" w:type="dxa"/>
            <w:vAlign w:val="center"/>
          </w:tcPr>
          <w:p w14:paraId="3FA25E2F" w14:textId="15E50ED8" w:rsidR="008C7654" w:rsidRPr="00FA2A84" w:rsidDel="00F86573" w:rsidRDefault="008C7654" w:rsidP="008C7654">
            <w:pPr>
              <w:spacing w:before="40" w:after="40"/>
              <w:jc w:val="center"/>
              <w:rPr>
                <w:sz w:val="20"/>
                <w:szCs w:val="20"/>
              </w:rPr>
            </w:pPr>
            <w:r w:rsidRPr="00534573">
              <w:rPr>
                <w:szCs w:val="20"/>
              </w:rPr>
              <w:t>2.09</w:t>
            </w:r>
          </w:p>
        </w:tc>
        <w:tc>
          <w:tcPr>
            <w:tcW w:w="894" w:type="dxa"/>
            <w:vAlign w:val="center"/>
          </w:tcPr>
          <w:p w14:paraId="530417F3" w14:textId="0F774039" w:rsidR="008C7654" w:rsidRPr="00FA2A84" w:rsidDel="00F86573" w:rsidRDefault="008C7654" w:rsidP="008C7654">
            <w:pPr>
              <w:spacing w:before="40" w:after="40"/>
              <w:jc w:val="center"/>
              <w:rPr>
                <w:sz w:val="20"/>
                <w:szCs w:val="20"/>
              </w:rPr>
            </w:pPr>
            <w:r w:rsidRPr="00534573">
              <w:rPr>
                <w:szCs w:val="20"/>
              </w:rPr>
              <w:t>2.09</w:t>
            </w:r>
          </w:p>
        </w:tc>
        <w:tc>
          <w:tcPr>
            <w:tcW w:w="894" w:type="dxa"/>
            <w:vAlign w:val="center"/>
          </w:tcPr>
          <w:p w14:paraId="5F17AE2D" w14:textId="6CE796AF" w:rsidR="008C7654" w:rsidRPr="00FA2A84" w:rsidDel="00F86573" w:rsidRDefault="008C7654" w:rsidP="008C7654">
            <w:pPr>
              <w:spacing w:before="40" w:after="40"/>
              <w:jc w:val="center"/>
              <w:rPr>
                <w:sz w:val="20"/>
                <w:szCs w:val="20"/>
              </w:rPr>
            </w:pPr>
            <w:r w:rsidRPr="00534573">
              <w:rPr>
                <w:szCs w:val="20"/>
              </w:rPr>
              <w:t>2.07</w:t>
            </w:r>
          </w:p>
        </w:tc>
        <w:tc>
          <w:tcPr>
            <w:tcW w:w="894" w:type="dxa"/>
            <w:vAlign w:val="center"/>
          </w:tcPr>
          <w:p w14:paraId="2A81D994" w14:textId="0B8C9876" w:rsidR="008C7654" w:rsidRPr="00FA2A84" w:rsidDel="00F86573" w:rsidRDefault="008C7654" w:rsidP="008C7654">
            <w:pPr>
              <w:spacing w:before="40" w:after="40"/>
              <w:jc w:val="center"/>
              <w:rPr>
                <w:sz w:val="20"/>
                <w:szCs w:val="20"/>
              </w:rPr>
            </w:pPr>
            <w:r w:rsidRPr="00534573">
              <w:rPr>
                <w:szCs w:val="20"/>
              </w:rPr>
              <w:t>2.05</w:t>
            </w:r>
          </w:p>
        </w:tc>
        <w:tc>
          <w:tcPr>
            <w:tcW w:w="894" w:type="dxa"/>
            <w:vAlign w:val="center"/>
          </w:tcPr>
          <w:p w14:paraId="5284C573" w14:textId="2BC19519" w:rsidR="008C7654" w:rsidRPr="00FA2A84" w:rsidDel="00F86573" w:rsidRDefault="008C7654" w:rsidP="008C7654">
            <w:pPr>
              <w:spacing w:before="40" w:after="40"/>
              <w:jc w:val="center"/>
              <w:rPr>
                <w:sz w:val="20"/>
                <w:szCs w:val="20"/>
              </w:rPr>
            </w:pPr>
            <w:r w:rsidRPr="00534573">
              <w:rPr>
                <w:szCs w:val="20"/>
              </w:rPr>
              <w:t>2.13</w:t>
            </w:r>
          </w:p>
        </w:tc>
        <w:tc>
          <w:tcPr>
            <w:tcW w:w="894" w:type="dxa"/>
            <w:vAlign w:val="center"/>
          </w:tcPr>
          <w:p w14:paraId="4A97BFF1" w14:textId="3C81BCB2" w:rsidR="008C7654" w:rsidRPr="00FA2A84" w:rsidDel="00F86573" w:rsidRDefault="008C7654" w:rsidP="008C7654">
            <w:pPr>
              <w:spacing w:before="40" w:after="40"/>
              <w:jc w:val="center"/>
              <w:rPr>
                <w:sz w:val="20"/>
                <w:szCs w:val="20"/>
              </w:rPr>
            </w:pPr>
            <w:r w:rsidRPr="00534573">
              <w:rPr>
                <w:szCs w:val="20"/>
              </w:rPr>
              <w:t>2.05</w:t>
            </w:r>
          </w:p>
        </w:tc>
        <w:tc>
          <w:tcPr>
            <w:tcW w:w="894" w:type="dxa"/>
            <w:vAlign w:val="center"/>
          </w:tcPr>
          <w:p w14:paraId="3AAB615C" w14:textId="5830BF9F" w:rsidR="008C7654" w:rsidRPr="00FA2A84" w:rsidDel="00F86573" w:rsidRDefault="008C7654" w:rsidP="008C7654">
            <w:pPr>
              <w:spacing w:before="40" w:after="40"/>
              <w:jc w:val="center"/>
              <w:rPr>
                <w:sz w:val="20"/>
                <w:szCs w:val="20"/>
              </w:rPr>
            </w:pPr>
            <w:r w:rsidRPr="00534573">
              <w:rPr>
                <w:szCs w:val="20"/>
              </w:rPr>
              <w:t>2.03</w:t>
            </w:r>
          </w:p>
        </w:tc>
      </w:tr>
    </w:tbl>
    <w:p w14:paraId="6F621E0A" w14:textId="77777777" w:rsidR="00C2099B" w:rsidRDefault="00C2099B" w:rsidP="006724F4"/>
    <w:p w14:paraId="749163BA" w14:textId="77777777" w:rsidR="002C4E72" w:rsidRDefault="002C4E72" w:rsidP="006724F4"/>
    <w:p w14:paraId="520301FC" w14:textId="050E3A45" w:rsidR="00A01F01" w:rsidRDefault="00A01F01" w:rsidP="00643098">
      <w:pPr>
        <w:pStyle w:val="Heading6"/>
      </w:pPr>
      <w:r>
        <w:t>4</w:t>
      </w:r>
      <w:r w:rsidRPr="00C40D72">
        <w:t xml:space="preserve"> TRP</w:t>
      </w:r>
      <w:r w:rsidR="00E2787B">
        <w:t>s</w:t>
      </w:r>
    </w:p>
    <w:p w14:paraId="5AB09299" w14:textId="1E608260" w:rsidR="008C7654" w:rsidRDefault="00E54B5E" w:rsidP="008C7654">
      <w:r>
        <w:fldChar w:fldCharType="begin"/>
      </w:r>
      <w:r>
        <w:instrText xml:space="preserve"> REF _Ref178590266 \h </w:instrText>
      </w:r>
      <w:r>
        <w:fldChar w:fldCharType="separate"/>
      </w:r>
      <w:r w:rsidR="00850DA1">
        <w:t xml:space="preserve">Table </w:t>
      </w:r>
      <w:r w:rsidR="00850DA1">
        <w:rPr>
          <w:noProof/>
        </w:rPr>
        <w:t>5</w:t>
      </w:r>
      <w:r>
        <w:fldChar w:fldCharType="end"/>
      </w:r>
      <w:r>
        <w:t xml:space="preserve"> and </w:t>
      </w:r>
      <w:r>
        <w:fldChar w:fldCharType="begin"/>
      </w:r>
      <w:r>
        <w:instrText xml:space="preserve"> REF _Ref178590268 \h </w:instrText>
      </w:r>
      <w:r>
        <w:fldChar w:fldCharType="separate"/>
      </w:r>
      <w:r w:rsidR="00850DA1">
        <w:t xml:space="preserve">Table </w:t>
      </w:r>
      <w:r w:rsidR="00850DA1">
        <w:rPr>
          <w:noProof/>
        </w:rPr>
        <w:t>6</w:t>
      </w:r>
      <w:r>
        <w:fldChar w:fldCharType="end"/>
      </w:r>
      <w:r>
        <w:t xml:space="preserve"> </w:t>
      </w:r>
      <w:r w:rsidRPr="00F06FE8">
        <w:t>resent the evaluation results for measurement report window placement with</w:t>
      </w:r>
      <w:r>
        <w:t xml:space="preserve">  </w:t>
      </w:r>
      <m:oMath>
        <m:r>
          <w:rPr>
            <w:rFonts w:ascii="Cambria Math" w:hAnsi="Cambria Math"/>
          </w:rPr>
          <m:t>δ=0</m:t>
        </m:r>
      </m:oMath>
      <w:r>
        <w:t xml:space="preserve"> and </w:t>
      </w:r>
      <m:oMath>
        <m:r>
          <w:rPr>
            <w:rFonts w:ascii="Cambria Math" w:hAnsi="Cambria Math"/>
          </w:rPr>
          <m:t>δ=3</m:t>
        </m:r>
      </m:oMath>
      <w:r>
        <w:t xml:space="preserve">, </w:t>
      </w:r>
      <w:r w:rsidRPr="00C044C5">
        <w:t xml:space="preserve">respectively. The ML model uses input from the </w:t>
      </w:r>
      <w:r>
        <w:t>4</w:t>
      </w:r>
      <w:r w:rsidRPr="00C044C5">
        <w:t xml:space="preserve"> TRPs with the highest received signal power. The </w:t>
      </w:r>
      <w:r>
        <w:t>“</w:t>
      </w:r>
      <w:r w:rsidRPr="00C044C5">
        <w:t xml:space="preserve">Sample-based </w:t>
      </w:r>
      <w:r>
        <w:t>s</w:t>
      </w:r>
      <w:r w:rsidRPr="00C044C5">
        <w:t>ignaling</w:t>
      </w:r>
      <w:r>
        <w:t>”</w:t>
      </w:r>
      <w:r w:rsidRPr="00C044C5">
        <w:t xml:space="preserve"> column </w:t>
      </w:r>
      <w:r w:rsidR="00042C65">
        <w:t>(green highlighted)</w:t>
      </w:r>
      <w:r w:rsidR="00042C65" w:rsidRPr="00C044C5">
        <w:t xml:space="preserve"> </w:t>
      </w:r>
      <w:r w:rsidRPr="00C044C5">
        <w:t xml:space="preserve">represents the performance bound, independent of the starting position of the list of </w:t>
      </w:r>
      <w:r>
        <w:t>N</w:t>
      </w:r>
      <w:r w:rsidRPr="004D3536">
        <w:rPr>
          <w:vertAlign w:val="subscript"/>
        </w:rPr>
        <w:t>t</w:t>
      </w:r>
      <w:r>
        <w:t xml:space="preserve"> </w:t>
      </w:r>
      <w:r w:rsidR="00AF746A">
        <w:t xml:space="preserve">consecutive </w:t>
      </w:r>
      <w:r>
        <w:t>samples. For this column, the N</w:t>
      </w:r>
      <w:r w:rsidRPr="004D3536">
        <w:rPr>
          <w:vertAlign w:val="subscript"/>
        </w:rPr>
        <w:t>t</w:t>
      </w:r>
      <w:r>
        <w:t>’ s</w:t>
      </w:r>
      <w:r w:rsidRPr="00152498">
        <w:t xml:space="preserve">amples with the highest power are selected from the </w:t>
      </w:r>
      <w:r w:rsidR="00ED1FA9">
        <w:t>ID</w:t>
      </w:r>
      <w:r w:rsidRPr="00152498">
        <w:t>FT window of siz</w:t>
      </w:r>
      <w:r>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t>.</w:t>
      </w:r>
    </w:p>
    <w:p w14:paraId="4906C062" w14:textId="77777777" w:rsidR="008C7654" w:rsidRDefault="008C7654" w:rsidP="008C7654"/>
    <w:p w14:paraId="4AE45317" w14:textId="1D5C1A51" w:rsidR="008C7654" w:rsidRDefault="008E7C09" w:rsidP="008C7654">
      <w:pPr>
        <w:pStyle w:val="Caption"/>
      </w:pPr>
      <w:bookmarkStart w:id="227" w:name="_Ref178590266"/>
      <w:r>
        <w:t xml:space="preserve">Table </w:t>
      </w:r>
      <w:r w:rsidR="00500110">
        <w:fldChar w:fldCharType="begin"/>
      </w:r>
      <w:r w:rsidR="00500110">
        <w:instrText xml:space="preserve"> SEQ Table \* ARABIC </w:instrText>
      </w:r>
      <w:r w:rsidR="00500110">
        <w:fldChar w:fldCharType="separate"/>
      </w:r>
      <w:r w:rsidR="00850DA1">
        <w:rPr>
          <w:noProof/>
        </w:rPr>
        <w:t>5</w:t>
      </w:r>
      <w:r w:rsidR="00500110">
        <w:rPr>
          <w:noProof/>
        </w:rPr>
        <w:fldChar w:fldCharType="end"/>
      </w:r>
      <w:bookmarkEnd w:id="227"/>
      <w:r>
        <w:t xml:space="preserve"> </w:t>
      </w:r>
      <w:r w:rsidR="008C7654" w:rsidRPr="00E531A4">
        <w:t xml:space="preserve">90%tile 2D positioning accuracy (meters) of PDP models using direct sample-based reporting or Rel-17 path-based reporting from seven different channel estimation algorithms for the {60%, 6m, 2m} InF-DH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8C7654"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8C7654" w:rsidRPr="00416C2F" w14:paraId="3B7BD1E1" w14:textId="77777777">
        <w:tc>
          <w:tcPr>
            <w:tcW w:w="1846" w:type="dxa"/>
            <w:gridSpan w:val="3"/>
            <w:tcBorders>
              <w:right w:val="double" w:sz="4" w:space="0" w:color="auto"/>
            </w:tcBorders>
            <w:vAlign w:val="center"/>
          </w:tcPr>
          <w:p w14:paraId="34546D34" w14:textId="77777777" w:rsidR="008C7654" w:rsidRPr="00416C2F" w:rsidRDefault="008C7654">
            <w:pPr>
              <w:spacing w:before="40" w:after="40"/>
              <w:jc w:val="center"/>
              <w:rPr>
                <w:rFonts w:cs="Arial"/>
                <w:color w:val="000000"/>
                <w:sz w:val="20"/>
                <w:szCs w:val="20"/>
              </w:rPr>
            </w:pPr>
            <w:r w:rsidRPr="00416C2F">
              <w:rPr>
                <w:sz w:val="20"/>
                <w:szCs w:val="20"/>
              </w:rPr>
              <w:t>Test cases</w:t>
            </w:r>
          </w:p>
        </w:tc>
        <w:tc>
          <w:tcPr>
            <w:tcW w:w="8116" w:type="dxa"/>
            <w:gridSpan w:val="9"/>
            <w:tcBorders>
              <w:left w:val="double" w:sz="4" w:space="0" w:color="auto"/>
            </w:tcBorders>
            <w:vAlign w:val="center"/>
          </w:tcPr>
          <w:p w14:paraId="25EE212F" w14:textId="77777777" w:rsidR="008C7654" w:rsidRPr="00416C2F" w:rsidRDefault="008C7654">
            <w:pPr>
              <w:spacing w:before="40" w:after="40"/>
              <w:jc w:val="center"/>
              <w:rPr>
                <w:rFonts w:cs="Arial"/>
                <w:color w:val="000000"/>
                <w:sz w:val="20"/>
                <w:szCs w:val="20"/>
              </w:rPr>
            </w:pPr>
            <w:r w:rsidRPr="00416C2F">
              <w:rPr>
                <w:sz w:val="20"/>
                <w:szCs w:val="20"/>
              </w:rPr>
              <w:t>90%tile 2D positioning errors [m] based on 100 MHz RS bandwidth</w:t>
            </w:r>
          </w:p>
        </w:tc>
      </w:tr>
      <w:tr w:rsidR="008C7654" w:rsidRPr="00416C2F" w14:paraId="72406AD2" w14:textId="77777777" w:rsidTr="00B03641">
        <w:tc>
          <w:tcPr>
            <w:tcW w:w="615" w:type="dxa"/>
            <w:vMerge w:val="restart"/>
            <w:vAlign w:val="center"/>
          </w:tcPr>
          <w:p w14:paraId="182F7B5C" w14:textId="77777777" w:rsidR="008C7654"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M</m:t>
                    </m:r>
                  </m:e>
                  <m:sub>
                    <m:r>
                      <w:rPr>
                        <w:rFonts w:ascii="Cambria Math" w:hAnsi="Cambria Math"/>
                        <w:sz w:val="20"/>
                        <w:szCs w:val="20"/>
                      </w:rPr>
                      <m:t>t</m:t>
                    </m:r>
                  </m:sub>
                </m:sSub>
              </m:oMath>
            </m:oMathPara>
          </w:p>
        </w:tc>
        <w:tc>
          <w:tcPr>
            <w:tcW w:w="615" w:type="dxa"/>
            <w:vMerge w:val="restart"/>
            <w:vAlign w:val="center"/>
          </w:tcPr>
          <w:p w14:paraId="709C2AFF" w14:textId="77777777" w:rsidR="008C7654" w:rsidRPr="00FA2A84" w:rsidRDefault="009C13C0">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6" w:type="dxa"/>
            <w:vMerge w:val="restart"/>
            <w:tcBorders>
              <w:right w:val="double" w:sz="4" w:space="0" w:color="auto"/>
            </w:tcBorders>
            <w:vAlign w:val="center"/>
          </w:tcPr>
          <w:p w14:paraId="322A69C8" w14:textId="77777777" w:rsidR="008C7654"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2028DBED" w14:textId="77777777" w:rsidR="008C7654" w:rsidRPr="00416C2F" w:rsidRDefault="008C7654">
            <w:pPr>
              <w:spacing w:before="40" w:after="40"/>
              <w:jc w:val="center"/>
              <w:rPr>
                <w:rFonts w:cs="Arial"/>
                <w:color w:val="000000"/>
                <w:sz w:val="20"/>
                <w:szCs w:val="20"/>
              </w:rPr>
            </w:pPr>
            <w:r w:rsidRPr="00E16A91">
              <w:rPr>
                <w:rFonts w:cs="Arial"/>
                <w:color w:val="000000"/>
                <w:sz w:val="18"/>
                <w:szCs w:val="18"/>
              </w:rPr>
              <w:t>Sample based signaling</w:t>
            </w:r>
          </w:p>
        </w:tc>
        <w:tc>
          <w:tcPr>
            <w:tcW w:w="7253" w:type="dxa"/>
            <w:gridSpan w:val="8"/>
            <w:tcBorders>
              <w:left w:val="double" w:sz="4" w:space="0" w:color="auto"/>
            </w:tcBorders>
            <w:shd w:val="clear" w:color="auto" w:fill="DEEAF6" w:themeFill="accent5" w:themeFillTint="33"/>
            <w:vAlign w:val="center"/>
          </w:tcPr>
          <w:p w14:paraId="5A89C466" w14:textId="77777777" w:rsidR="008C7654" w:rsidRPr="00416C2F" w:rsidRDefault="008C7654">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 w:val="20"/>
                  <w:szCs w:val="20"/>
                  <w:highlight w:val="yellow"/>
                </w:rPr>
                <m:t>δ=0</m:t>
              </m:r>
            </m:oMath>
          </w:p>
        </w:tc>
      </w:tr>
      <w:tr w:rsidR="008C7654" w:rsidRPr="00416C2F" w14:paraId="387006E2" w14:textId="77777777" w:rsidTr="00B03641">
        <w:tc>
          <w:tcPr>
            <w:tcW w:w="615" w:type="dxa"/>
            <w:vMerge/>
            <w:vAlign w:val="center"/>
          </w:tcPr>
          <w:p w14:paraId="2C4EFE77" w14:textId="77777777" w:rsidR="008C7654" w:rsidRPr="00416C2F" w:rsidRDefault="008C7654">
            <w:pPr>
              <w:spacing w:before="40" w:after="40"/>
              <w:jc w:val="center"/>
              <w:rPr>
                <w:rFonts w:cs="Arial"/>
                <w:color w:val="000000"/>
                <w:sz w:val="20"/>
                <w:szCs w:val="20"/>
              </w:rPr>
            </w:pPr>
          </w:p>
        </w:tc>
        <w:tc>
          <w:tcPr>
            <w:tcW w:w="615" w:type="dxa"/>
            <w:vMerge/>
            <w:vAlign w:val="center"/>
          </w:tcPr>
          <w:p w14:paraId="6D84DE97" w14:textId="77777777" w:rsidR="008C7654" w:rsidRPr="00FA2A84" w:rsidRDefault="008C7654">
            <w:pPr>
              <w:spacing w:before="40" w:after="40"/>
              <w:jc w:val="center"/>
              <w:rPr>
                <w:rFonts w:cs="Arial"/>
                <w:color w:val="000000"/>
                <w:sz w:val="20"/>
                <w:szCs w:val="20"/>
              </w:rPr>
            </w:pPr>
          </w:p>
        </w:tc>
        <w:tc>
          <w:tcPr>
            <w:tcW w:w="616" w:type="dxa"/>
            <w:vMerge/>
            <w:tcBorders>
              <w:right w:val="double" w:sz="4" w:space="0" w:color="auto"/>
            </w:tcBorders>
            <w:vAlign w:val="center"/>
          </w:tcPr>
          <w:p w14:paraId="1D5C2C03" w14:textId="77777777" w:rsidR="008C7654" w:rsidRPr="00416C2F" w:rsidRDefault="008C7654">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74112AF4" w14:textId="77777777" w:rsidR="008C7654" w:rsidRPr="00416C2F" w:rsidRDefault="008C7654">
            <w:pPr>
              <w:spacing w:before="40" w:after="40"/>
              <w:jc w:val="center"/>
              <w:rPr>
                <w:rFonts w:cs="Arial"/>
                <w:color w:val="000000"/>
                <w:sz w:val="20"/>
                <w:szCs w:val="20"/>
              </w:rPr>
            </w:pPr>
          </w:p>
        </w:tc>
        <w:tc>
          <w:tcPr>
            <w:tcW w:w="995" w:type="dxa"/>
            <w:vMerge w:val="restart"/>
            <w:tcBorders>
              <w:left w:val="double" w:sz="4" w:space="0" w:color="auto"/>
            </w:tcBorders>
            <w:shd w:val="clear" w:color="auto" w:fill="DEEAF6" w:themeFill="accent5" w:themeFillTint="33"/>
            <w:vAlign w:val="center"/>
          </w:tcPr>
          <w:p w14:paraId="51A9D7DD" w14:textId="77777777" w:rsidR="008C7654" w:rsidRPr="00E16A91" w:rsidRDefault="008C7654">
            <w:pPr>
              <w:spacing w:before="40" w:after="40"/>
              <w:jc w:val="center"/>
              <w:rPr>
                <w:rFonts w:cs="Arial"/>
                <w:color w:val="000000"/>
                <w:sz w:val="18"/>
                <w:szCs w:val="18"/>
              </w:rPr>
            </w:pPr>
            <w:r w:rsidRPr="00E16A91">
              <w:rPr>
                <w:sz w:val="18"/>
                <w:szCs w:val="18"/>
              </w:rPr>
              <w:t>Average across estimators</w:t>
            </w:r>
          </w:p>
        </w:tc>
        <w:tc>
          <w:tcPr>
            <w:tcW w:w="6258" w:type="dxa"/>
            <w:gridSpan w:val="7"/>
            <w:shd w:val="clear" w:color="auto" w:fill="DEEAF6" w:themeFill="accent5" w:themeFillTint="33"/>
            <w:vAlign w:val="center"/>
          </w:tcPr>
          <w:p w14:paraId="7BCB119F" w14:textId="6EE185F3" w:rsidR="008C7654" w:rsidRPr="00416C2F" w:rsidRDefault="008C7654">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τ</m:t>
                      </m:r>
                    </m:e>
                  </m:acc>
                </m:e>
                <m:sub>
                  <m:r>
                    <w:rPr>
                      <w:rFonts w:ascii="Cambria Math" w:hAnsi="Cambria Math"/>
                      <w:sz w:val="20"/>
                      <w:szCs w:val="20"/>
                    </w:rPr>
                    <m:t>1</m:t>
                  </m:r>
                </m:sub>
              </m:sSub>
            </m:oMath>
          </w:p>
        </w:tc>
      </w:tr>
      <w:tr w:rsidR="008C7654" w:rsidRPr="00416C2F" w14:paraId="2BEDF67F" w14:textId="77777777" w:rsidTr="00B03641">
        <w:tc>
          <w:tcPr>
            <w:tcW w:w="615" w:type="dxa"/>
            <w:vMerge/>
            <w:tcBorders>
              <w:bottom w:val="double" w:sz="4" w:space="0" w:color="auto"/>
            </w:tcBorders>
            <w:vAlign w:val="center"/>
          </w:tcPr>
          <w:p w14:paraId="3CC4EB56"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698516E9" w14:textId="77777777" w:rsidR="008C7654" w:rsidRPr="00FA2A84" w:rsidRDefault="008C7654">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31CCCC3A" w14:textId="77777777" w:rsidR="008C7654" w:rsidRPr="00416C2F" w:rsidRDefault="008C7654">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18C38FE9" w14:textId="77777777" w:rsidR="008C7654" w:rsidRPr="00416C2F" w:rsidRDefault="008C7654">
            <w:pPr>
              <w:spacing w:before="40" w:after="40"/>
              <w:jc w:val="center"/>
              <w:rPr>
                <w:rFonts w:cs="Arial"/>
                <w:color w:val="000000"/>
                <w:sz w:val="20"/>
                <w:szCs w:val="20"/>
              </w:rPr>
            </w:pPr>
          </w:p>
        </w:tc>
        <w:tc>
          <w:tcPr>
            <w:tcW w:w="995" w:type="dxa"/>
            <w:vMerge/>
            <w:tcBorders>
              <w:left w:val="double" w:sz="4" w:space="0" w:color="auto"/>
              <w:bottom w:val="double" w:sz="4" w:space="0" w:color="auto"/>
            </w:tcBorders>
            <w:shd w:val="clear" w:color="auto" w:fill="DEEAF6" w:themeFill="accent5" w:themeFillTint="33"/>
            <w:vAlign w:val="center"/>
          </w:tcPr>
          <w:p w14:paraId="21749206" w14:textId="77777777" w:rsidR="008C7654" w:rsidRPr="00416C2F" w:rsidRDefault="008C7654">
            <w:pPr>
              <w:spacing w:before="40" w:after="40"/>
              <w:jc w:val="center"/>
              <w:rPr>
                <w:rFonts w:cs="Arial"/>
                <w:color w:val="000000"/>
                <w:sz w:val="20"/>
                <w:szCs w:val="20"/>
              </w:rPr>
            </w:pPr>
          </w:p>
        </w:tc>
        <w:tc>
          <w:tcPr>
            <w:tcW w:w="894" w:type="dxa"/>
            <w:tcBorders>
              <w:bottom w:val="double" w:sz="4" w:space="0" w:color="auto"/>
            </w:tcBorders>
            <w:shd w:val="clear" w:color="auto" w:fill="DEEAF6" w:themeFill="accent5" w:themeFillTint="33"/>
            <w:vAlign w:val="center"/>
          </w:tcPr>
          <w:p w14:paraId="1012A263" w14:textId="77777777" w:rsidR="008C7654" w:rsidRPr="00416C2F" w:rsidRDefault="008C7654">
            <w:pPr>
              <w:spacing w:before="40" w:after="40"/>
              <w:jc w:val="center"/>
              <w:rPr>
                <w:rFonts w:cs="Arial"/>
                <w:color w:val="000000"/>
                <w:sz w:val="20"/>
                <w:szCs w:val="20"/>
              </w:rPr>
            </w:pPr>
            <w:r w:rsidRPr="00FA2A84">
              <w:rPr>
                <w:sz w:val="20"/>
                <w:szCs w:val="20"/>
              </w:rPr>
              <w:t>G</w:t>
            </w:r>
          </w:p>
        </w:tc>
        <w:tc>
          <w:tcPr>
            <w:tcW w:w="894" w:type="dxa"/>
            <w:tcBorders>
              <w:bottom w:val="double" w:sz="4" w:space="0" w:color="auto"/>
            </w:tcBorders>
            <w:shd w:val="clear" w:color="auto" w:fill="DEEAF6" w:themeFill="accent5" w:themeFillTint="33"/>
            <w:vAlign w:val="center"/>
          </w:tcPr>
          <w:p w14:paraId="35EC57E7" w14:textId="77777777" w:rsidR="008C7654" w:rsidRPr="00416C2F" w:rsidRDefault="008C7654">
            <w:pPr>
              <w:spacing w:before="40" w:after="40"/>
              <w:jc w:val="center"/>
              <w:rPr>
                <w:rFonts w:cs="Arial"/>
                <w:color w:val="000000"/>
                <w:sz w:val="20"/>
                <w:szCs w:val="20"/>
              </w:rPr>
            </w:pPr>
            <w:r w:rsidRPr="00FA2A84">
              <w:rPr>
                <w:sz w:val="20"/>
                <w:szCs w:val="20"/>
              </w:rPr>
              <w:t>F</w:t>
            </w:r>
          </w:p>
        </w:tc>
        <w:tc>
          <w:tcPr>
            <w:tcW w:w="894" w:type="dxa"/>
            <w:tcBorders>
              <w:bottom w:val="double" w:sz="4" w:space="0" w:color="auto"/>
            </w:tcBorders>
            <w:shd w:val="clear" w:color="auto" w:fill="DEEAF6" w:themeFill="accent5" w:themeFillTint="33"/>
            <w:vAlign w:val="center"/>
          </w:tcPr>
          <w:p w14:paraId="46F50BA4" w14:textId="77777777" w:rsidR="008C7654" w:rsidRPr="00416C2F" w:rsidRDefault="008C7654">
            <w:pPr>
              <w:spacing w:before="40" w:after="40"/>
              <w:jc w:val="center"/>
              <w:rPr>
                <w:rFonts w:cs="Arial"/>
                <w:color w:val="000000"/>
                <w:sz w:val="20"/>
                <w:szCs w:val="20"/>
              </w:rPr>
            </w:pPr>
            <w:r w:rsidRPr="00FA2A84">
              <w:rPr>
                <w:sz w:val="20"/>
                <w:szCs w:val="20"/>
              </w:rPr>
              <w:t>E</w:t>
            </w:r>
          </w:p>
        </w:tc>
        <w:tc>
          <w:tcPr>
            <w:tcW w:w="894" w:type="dxa"/>
            <w:tcBorders>
              <w:bottom w:val="double" w:sz="4" w:space="0" w:color="auto"/>
            </w:tcBorders>
            <w:shd w:val="clear" w:color="auto" w:fill="DEEAF6" w:themeFill="accent5" w:themeFillTint="33"/>
            <w:vAlign w:val="center"/>
          </w:tcPr>
          <w:p w14:paraId="41CC5A6F" w14:textId="77777777" w:rsidR="008C7654" w:rsidRPr="00416C2F" w:rsidRDefault="008C7654">
            <w:pPr>
              <w:spacing w:before="40" w:after="40"/>
              <w:jc w:val="center"/>
              <w:rPr>
                <w:rFonts w:cs="Arial"/>
                <w:color w:val="000000"/>
                <w:sz w:val="20"/>
                <w:szCs w:val="20"/>
              </w:rPr>
            </w:pPr>
            <w:r w:rsidRPr="00FA2A84">
              <w:rPr>
                <w:sz w:val="20"/>
                <w:szCs w:val="20"/>
              </w:rPr>
              <w:t>D</w:t>
            </w:r>
          </w:p>
        </w:tc>
        <w:tc>
          <w:tcPr>
            <w:tcW w:w="894" w:type="dxa"/>
            <w:tcBorders>
              <w:bottom w:val="double" w:sz="4" w:space="0" w:color="auto"/>
            </w:tcBorders>
            <w:shd w:val="clear" w:color="auto" w:fill="DEEAF6" w:themeFill="accent5" w:themeFillTint="33"/>
            <w:vAlign w:val="center"/>
          </w:tcPr>
          <w:p w14:paraId="57B63594" w14:textId="77777777" w:rsidR="008C7654" w:rsidRPr="00416C2F" w:rsidRDefault="008C7654">
            <w:pPr>
              <w:spacing w:before="40" w:after="40"/>
              <w:jc w:val="center"/>
              <w:rPr>
                <w:rFonts w:cs="Arial"/>
                <w:color w:val="000000"/>
                <w:sz w:val="20"/>
                <w:szCs w:val="20"/>
              </w:rPr>
            </w:pPr>
            <w:r w:rsidRPr="00FA2A84">
              <w:rPr>
                <w:sz w:val="20"/>
                <w:szCs w:val="20"/>
              </w:rPr>
              <w:t>C</w:t>
            </w:r>
          </w:p>
        </w:tc>
        <w:tc>
          <w:tcPr>
            <w:tcW w:w="894" w:type="dxa"/>
            <w:tcBorders>
              <w:bottom w:val="double" w:sz="4" w:space="0" w:color="auto"/>
            </w:tcBorders>
            <w:shd w:val="clear" w:color="auto" w:fill="DEEAF6" w:themeFill="accent5" w:themeFillTint="33"/>
            <w:vAlign w:val="center"/>
          </w:tcPr>
          <w:p w14:paraId="04326621" w14:textId="77777777" w:rsidR="008C7654" w:rsidRPr="00416C2F" w:rsidRDefault="008C7654">
            <w:pPr>
              <w:spacing w:before="40" w:after="40"/>
              <w:jc w:val="center"/>
              <w:rPr>
                <w:rFonts w:cs="Arial"/>
                <w:color w:val="000000"/>
                <w:sz w:val="20"/>
                <w:szCs w:val="20"/>
              </w:rPr>
            </w:pPr>
            <w:r w:rsidRPr="00FA2A84">
              <w:rPr>
                <w:sz w:val="20"/>
                <w:szCs w:val="20"/>
              </w:rPr>
              <w:t>B</w:t>
            </w:r>
          </w:p>
        </w:tc>
        <w:tc>
          <w:tcPr>
            <w:tcW w:w="894" w:type="dxa"/>
            <w:tcBorders>
              <w:bottom w:val="double" w:sz="4" w:space="0" w:color="auto"/>
            </w:tcBorders>
            <w:shd w:val="clear" w:color="auto" w:fill="DEEAF6" w:themeFill="accent5" w:themeFillTint="33"/>
            <w:vAlign w:val="center"/>
          </w:tcPr>
          <w:p w14:paraId="1C84C107" w14:textId="77777777" w:rsidR="008C7654" w:rsidRPr="00416C2F" w:rsidRDefault="008C7654">
            <w:pPr>
              <w:spacing w:before="40" w:after="40"/>
              <w:jc w:val="center"/>
              <w:rPr>
                <w:rFonts w:cs="Arial"/>
                <w:color w:val="000000"/>
                <w:sz w:val="20"/>
                <w:szCs w:val="20"/>
              </w:rPr>
            </w:pPr>
            <w:r w:rsidRPr="00FA2A84">
              <w:rPr>
                <w:sz w:val="20"/>
                <w:szCs w:val="20"/>
              </w:rPr>
              <w:t>A</w:t>
            </w:r>
          </w:p>
        </w:tc>
      </w:tr>
      <w:tr w:rsidR="00DA21BC" w:rsidRPr="00416C2F" w14:paraId="1256BE13" w14:textId="77777777" w:rsidTr="00B03641">
        <w:tc>
          <w:tcPr>
            <w:tcW w:w="615" w:type="dxa"/>
            <w:vMerge w:val="restart"/>
            <w:tcBorders>
              <w:top w:val="double" w:sz="4" w:space="0" w:color="auto"/>
            </w:tcBorders>
            <w:vAlign w:val="center"/>
          </w:tcPr>
          <w:p w14:paraId="63162E84" w14:textId="77777777" w:rsidR="00421C94" w:rsidRPr="00416C2F" w:rsidRDefault="00421C94" w:rsidP="00421C94">
            <w:pPr>
              <w:spacing w:before="40" w:after="40"/>
              <w:jc w:val="center"/>
              <w:rPr>
                <w:rFonts w:cs="Arial"/>
                <w:color w:val="000000"/>
                <w:sz w:val="20"/>
                <w:szCs w:val="20"/>
              </w:rPr>
            </w:pPr>
            <w:r w:rsidRPr="00FA2A84">
              <w:rPr>
                <w:sz w:val="20"/>
                <w:szCs w:val="20"/>
              </w:rPr>
              <w:t>128</w:t>
            </w:r>
          </w:p>
        </w:tc>
        <w:tc>
          <w:tcPr>
            <w:tcW w:w="615" w:type="dxa"/>
            <w:vMerge w:val="restart"/>
            <w:tcBorders>
              <w:top w:val="double" w:sz="4" w:space="0" w:color="auto"/>
            </w:tcBorders>
            <w:vAlign w:val="center"/>
          </w:tcPr>
          <w:p w14:paraId="650369A0" w14:textId="77777777" w:rsidR="00421C94" w:rsidRPr="00FA2A84" w:rsidRDefault="00421C94" w:rsidP="00421C9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4EF7F9A3" w14:textId="77777777" w:rsidR="00421C94" w:rsidRPr="00416C2F" w:rsidRDefault="00421C94" w:rsidP="00421C94">
            <w:pPr>
              <w:spacing w:before="40" w:after="40"/>
              <w:jc w:val="center"/>
              <w:rPr>
                <w:rFonts w:cs="Arial"/>
                <w:color w:val="000000"/>
                <w:sz w:val="20"/>
                <w:szCs w:val="20"/>
              </w:rPr>
            </w:pPr>
            <w:r w:rsidRPr="00FA2A84">
              <w:rPr>
                <w:sz w:val="20"/>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A30CC3E" w14:textId="15B098E4" w:rsidR="00421C94" w:rsidRPr="00337C3E" w:rsidRDefault="00421C94" w:rsidP="005E3CFB">
            <w:pPr>
              <w:spacing w:before="40" w:after="40"/>
              <w:jc w:val="center"/>
              <w:rPr>
                <w:sz w:val="20"/>
                <w:szCs w:val="20"/>
              </w:rPr>
            </w:pPr>
            <w:r w:rsidRPr="00337C3E">
              <w:t>1.91</w:t>
            </w:r>
          </w:p>
        </w:tc>
        <w:tc>
          <w:tcPr>
            <w:tcW w:w="995" w:type="dxa"/>
            <w:tcBorders>
              <w:top w:val="double" w:sz="4" w:space="0" w:color="auto"/>
              <w:left w:val="double" w:sz="4" w:space="0" w:color="auto"/>
            </w:tcBorders>
            <w:shd w:val="clear" w:color="auto" w:fill="DEEAF6" w:themeFill="accent5" w:themeFillTint="33"/>
            <w:vAlign w:val="center"/>
          </w:tcPr>
          <w:p w14:paraId="5D181AD2" w14:textId="32E621B2" w:rsidR="00421C94" w:rsidRPr="00FA2A84" w:rsidRDefault="00421C94" w:rsidP="005E3CFB">
            <w:pPr>
              <w:spacing w:before="40" w:after="40"/>
              <w:jc w:val="center"/>
              <w:rPr>
                <w:sz w:val="20"/>
                <w:szCs w:val="20"/>
              </w:rPr>
            </w:pPr>
            <w:r w:rsidRPr="00337C3E">
              <w:t>1.99</w:t>
            </w:r>
          </w:p>
        </w:tc>
        <w:tc>
          <w:tcPr>
            <w:tcW w:w="894" w:type="dxa"/>
            <w:tcBorders>
              <w:top w:val="double" w:sz="4" w:space="0" w:color="auto"/>
            </w:tcBorders>
            <w:shd w:val="clear" w:color="auto" w:fill="DEEAF6" w:themeFill="accent5" w:themeFillTint="33"/>
            <w:vAlign w:val="center"/>
          </w:tcPr>
          <w:p w14:paraId="00C9E241" w14:textId="41A76C5A" w:rsidR="00421C94" w:rsidRPr="00FA2A84" w:rsidRDefault="00421C94" w:rsidP="005E3CFB">
            <w:pPr>
              <w:spacing w:before="40" w:after="40"/>
              <w:jc w:val="center"/>
              <w:rPr>
                <w:sz w:val="20"/>
                <w:szCs w:val="20"/>
              </w:rPr>
            </w:pPr>
            <w:r w:rsidRPr="00337C3E">
              <w:t>1.92</w:t>
            </w:r>
          </w:p>
        </w:tc>
        <w:tc>
          <w:tcPr>
            <w:tcW w:w="894" w:type="dxa"/>
            <w:tcBorders>
              <w:top w:val="double" w:sz="4" w:space="0" w:color="auto"/>
            </w:tcBorders>
            <w:shd w:val="clear" w:color="auto" w:fill="DEEAF6" w:themeFill="accent5" w:themeFillTint="33"/>
            <w:vAlign w:val="center"/>
          </w:tcPr>
          <w:p w14:paraId="5BF983AB" w14:textId="4EF4857F" w:rsidR="00421C94" w:rsidRPr="00FA2A84" w:rsidRDefault="00421C94" w:rsidP="005E3CFB">
            <w:pPr>
              <w:spacing w:before="40" w:after="40"/>
              <w:jc w:val="center"/>
              <w:rPr>
                <w:sz w:val="20"/>
                <w:szCs w:val="20"/>
              </w:rPr>
            </w:pPr>
            <w:r w:rsidRPr="00337C3E">
              <w:t>2.04</w:t>
            </w:r>
          </w:p>
        </w:tc>
        <w:tc>
          <w:tcPr>
            <w:tcW w:w="894" w:type="dxa"/>
            <w:tcBorders>
              <w:top w:val="double" w:sz="4" w:space="0" w:color="auto"/>
            </w:tcBorders>
            <w:shd w:val="clear" w:color="auto" w:fill="DEEAF6" w:themeFill="accent5" w:themeFillTint="33"/>
            <w:vAlign w:val="center"/>
          </w:tcPr>
          <w:p w14:paraId="0E3D2FD6" w14:textId="15B239F2" w:rsidR="00421C94" w:rsidRPr="00FA2A84" w:rsidRDefault="00421C94" w:rsidP="005E3CFB">
            <w:pPr>
              <w:spacing w:before="40" w:after="40"/>
              <w:jc w:val="center"/>
              <w:rPr>
                <w:sz w:val="20"/>
                <w:szCs w:val="20"/>
              </w:rPr>
            </w:pPr>
            <w:r w:rsidRPr="00337C3E">
              <w:t>2.09</w:t>
            </w:r>
          </w:p>
        </w:tc>
        <w:tc>
          <w:tcPr>
            <w:tcW w:w="894" w:type="dxa"/>
            <w:tcBorders>
              <w:top w:val="double" w:sz="4" w:space="0" w:color="auto"/>
            </w:tcBorders>
            <w:shd w:val="clear" w:color="auto" w:fill="DEEAF6" w:themeFill="accent5" w:themeFillTint="33"/>
            <w:vAlign w:val="center"/>
          </w:tcPr>
          <w:p w14:paraId="5C60D538" w14:textId="7165C676" w:rsidR="00421C94" w:rsidRPr="00FA2A84" w:rsidRDefault="00421C94" w:rsidP="005E3CFB">
            <w:pPr>
              <w:spacing w:before="40" w:after="40"/>
              <w:jc w:val="center"/>
              <w:rPr>
                <w:sz w:val="20"/>
                <w:szCs w:val="20"/>
              </w:rPr>
            </w:pPr>
            <w:r w:rsidRPr="00337C3E">
              <w:t>1.94</w:t>
            </w:r>
          </w:p>
        </w:tc>
        <w:tc>
          <w:tcPr>
            <w:tcW w:w="894" w:type="dxa"/>
            <w:tcBorders>
              <w:top w:val="double" w:sz="4" w:space="0" w:color="auto"/>
            </w:tcBorders>
            <w:shd w:val="clear" w:color="auto" w:fill="DEEAF6" w:themeFill="accent5" w:themeFillTint="33"/>
            <w:vAlign w:val="center"/>
          </w:tcPr>
          <w:p w14:paraId="09E0B331" w14:textId="687B9CFE" w:rsidR="00421C94" w:rsidRPr="00FA2A84" w:rsidRDefault="00421C94" w:rsidP="005E3CFB">
            <w:pPr>
              <w:spacing w:before="40" w:after="40"/>
              <w:jc w:val="center"/>
              <w:rPr>
                <w:sz w:val="20"/>
                <w:szCs w:val="20"/>
              </w:rPr>
            </w:pPr>
            <w:r w:rsidRPr="00337C3E">
              <w:t>1.89</w:t>
            </w:r>
          </w:p>
        </w:tc>
        <w:tc>
          <w:tcPr>
            <w:tcW w:w="894" w:type="dxa"/>
            <w:tcBorders>
              <w:top w:val="double" w:sz="4" w:space="0" w:color="auto"/>
            </w:tcBorders>
            <w:shd w:val="clear" w:color="auto" w:fill="DEEAF6" w:themeFill="accent5" w:themeFillTint="33"/>
            <w:vAlign w:val="center"/>
          </w:tcPr>
          <w:p w14:paraId="0C471D38" w14:textId="6942AD7D" w:rsidR="00421C94" w:rsidRPr="00FA2A84" w:rsidRDefault="00421C94" w:rsidP="005E3CFB">
            <w:pPr>
              <w:spacing w:before="40" w:after="40"/>
              <w:jc w:val="center"/>
              <w:rPr>
                <w:sz w:val="20"/>
                <w:szCs w:val="20"/>
              </w:rPr>
            </w:pPr>
            <w:r w:rsidRPr="00337C3E">
              <w:t>2.03</w:t>
            </w:r>
          </w:p>
        </w:tc>
        <w:tc>
          <w:tcPr>
            <w:tcW w:w="894" w:type="dxa"/>
            <w:tcBorders>
              <w:top w:val="double" w:sz="4" w:space="0" w:color="auto"/>
            </w:tcBorders>
            <w:shd w:val="clear" w:color="auto" w:fill="DEEAF6" w:themeFill="accent5" w:themeFillTint="33"/>
            <w:vAlign w:val="center"/>
          </w:tcPr>
          <w:p w14:paraId="1F38AC96" w14:textId="3E067FDC" w:rsidR="00421C94" w:rsidRPr="00FA2A84" w:rsidRDefault="00421C94" w:rsidP="005E3CFB">
            <w:pPr>
              <w:spacing w:before="40" w:after="40"/>
              <w:jc w:val="center"/>
              <w:rPr>
                <w:sz w:val="20"/>
                <w:szCs w:val="20"/>
              </w:rPr>
            </w:pPr>
            <w:r w:rsidRPr="00337C3E">
              <w:t>1.98</w:t>
            </w:r>
          </w:p>
        </w:tc>
      </w:tr>
      <w:tr w:rsidR="00C87D4C" w:rsidRPr="00416C2F" w14:paraId="577FF01E" w14:textId="77777777" w:rsidTr="00B03641">
        <w:tc>
          <w:tcPr>
            <w:tcW w:w="615" w:type="dxa"/>
            <w:vMerge/>
            <w:vAlign w:val="center"/>
          </w:tcPr>
          <w:p w14:paraId="5FE2CC97" w14:textId="77777777" w:rsidR="00421C94" w:rsidRPr="00416C2F" w:rsidRDefault="00421C94" w:rsidP="00421C94">
            <w:pPr>
              <w:spacing w:before="40" w:after="40"/>
              <w:jc w:val="center"/>
              <w:rPr>
                <w:rFonts w:cs="Arial"/>
                <w:color w:val="000000"/>
                <w:sz w:val="20"/>
                <w:szCs w:val="20"/>
              </w:rPr>
            </w:pPr>
          </w:p>
        </w:tc>
        <w:tc>
          <w:tcPr>
            <w:tcW w:w="615" w:type="dxa"/>
            <w:vMerge/>
            <w:vAlign w:val="center"/>
          </w:tcPr>
          <w:p w14:paraId="1ACF9F8A"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2A282D14" w14:textId="77777777" w:rsidR="00421C94" w:rsidRPr="00416C2F" w:rsidRDefault="00421C94" w:rsidP="00421C94">
            <w:pPr>
              <w:spacing w:before="40" w:after="40"/>
              <w:jc w:val="center"/>
              <w:rPr>
                <w:rFonts w:cs="Arial"/>
                <w:color w:val="000000"/>
                <w:sz w:val="20"/>
                <w:szCs w:val="20"/>
              </w:rPr>
            </w:pPr>
            <w:r w:rsidRPr="00FA2A84">
              <w:rPr>
                <w:sz w:val="20"/>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625617BA" w14:textId="77777777" w:rsidR="00421C94" w:rsidRPr="00337C3E" w:rsidRDefault="00421C94" w:rsidP="005E3CFB">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1BD93501" w14:textId="1A63E088" w:rsidR="00421C94" w:rsidRPr="00FA2A84" w:rsidRDefault="00421C94" w:rsidP="005E3CFB">
            <w:pPr>
              <w:spacing w:before="40" w:after="40"/>
              <w:jc w:val="center"/>
              <w:rPr>
                <w:sz w:val="20"/>
                <w:szCs w:val="20"/>
              </w:rPr>
            </w:pPr>
            <w:r w:rsidRPr="00337C3E">
              <w:t>2.27</w:t>
            </w:r>
          </w:p>
        </w:tc>
        <w:tc>
          <w:tcPr>
            <w:tcW w:w="894" w:type="dxa"/>
            <w:shd w:val="clear" w:color="auto" w:fill="DEEAF6" w:themeFill="accent5" w:themeFillTint="33"/>
            <w:vAlign w:val="center"/>
          </w:tcPr>
          <w:p w14:paraId="76D3398E" w14:textId="04A9916F" w:rsidR="00421C94" w:rsidRPr="00FA2A84" w:rsidRDefault="00421C94" w:rsidP="005E3CFB">
            <w:pPr>
              <w:spacing w:before="40" w:after="40"/>
              <w:jc w:val="center"/>
              <w:rPr>
                <w:sz w:val="20"/>
                <w:szCs w:val="20"/>
              </w:rPr>
            </w:pPr>
            <w:r w:rsidRPr="00337C3E">
              <w:t>2.29</w:t>
            </w:r>
          </w:p>
        </w:tc>
        <w:tc>
          <w:tcPr>
            <w:tcW w:w="894" w:type="dxa"/>
            <w:shd w:val="clear" w:color="auto" w:fill="DEEAF6" w:themeFill="accent5" w:themeFillTint="33"/>
            <w:vAlign w:val="center"/>
          </w:tcPr>
          <w:p w14:paraId="205406C2" w14:textId="783D027F" w:rsidR="00421C94" w:rsidRPr="00FA2A84" w:rsidRDefault="00421C94" w:rsidP="005E3CFB">
            <w:pPr>
              <w:spacing w:before="40" w:after="40"/>
              <w:jc w:val="center"/>
              <w:rPr>
                <w:sz w:val="20"/>
                <w:szCs w:val="20"/>
              </w:rPr>
            </w:pPr>
            <w:r w:rsidRPr="00337C3E">
              <w:t>2.27</w:t>
            </w:r>
          </w:p>
        </w:tc>
        <w:tc>
          <w:tcPr>
            <w:tcW w:w="894" w:type="dxa"/>
            <w:shd w:val="clear" w:color="auto" w:fill="DEEAF6" w:themeFill="accent5" w:themeFillTint="33"/>
            <w:vAlign w:val="center"/>
          </w:tcPr>
          <w:p w14:paraId="5293F1DA" w14:textId="5795C4A9" w:rsidR="00421C94" w:rsidRPr="00FA2A84" w:rsidRDefault="00421C94" w:rsidP="005E3CFB">
            <w:pPr>
              <w:spacing w:before="40" w:after="40"/>
              <w:jc w:val="center"/>
              <w:rPr>
                <w:sz w:val="20"/>
                <w:szCs w:val="20"/>
              </w:rPr>
            </w:pPr>
            <w:r w:rsidRPr="00337C3E">
              <w:t>2.33</w:t>
            </w:r>
          </w:p>
        </w:tc>
        <w:tc>
          <w:tcPr>
            <w:tcW w:w="894" w:type="dxa"/>
            <w:shd w:val="clear" w:color="auto" w:fill="DEEAF6" w:themeFill="accent5" w:themeFillTint="33"/>
            <w:vAlign w:val="center"/>
          </w:tcPr>
          <w:p w14:paraId="10B22CF0" w14:textId="27A6716B" w:rsidR="00421C94" w:rsidRPr="00FA2A84" w:rsidRDefault="00421C94" w:rsidP="005E3CFB">
            <w:pPr>
              <w:spacing w:before="40" w:after="40"/>
              <w:jc w:val="center"/>
              <w:rPr>
                <w:sz w:val="20"/>
                <w:szCs w:val="20"/>
              </w:rPr>
            </w:pPr>
            <w:r w:rsidRPr="00337C3E">
              <w:t>2.32</w:t>
            </w:r>
          </w:p>
        </w:tc>
        <w:tc>
          <w:tcPr>
            <w:tcW w:w="894" w:type="dxa"/>
            <w:shd w:val="clear" w:color="auto" w:fill="DEEAF6" w:themeFill="accent5" w:themeFillTint="33"/>
            <w:vAlign w:val="center"/>
          </w:tcPr>
          <w:p w14:paraId="1E72A684" w14:textId="3759F089" w:rsidR="00421C94" w:rsidRPr="00FA2A84" w:rsidRDefault="00421C94" w:rsidP="005E3CFB">
            <w:pPr>
              <w:spacing w:before="40" w:after="40"/>
              <w:jc w:val="center"/>
              <w:rPr>
                <w:sz w:val="20"/>
                <w:szCs w:val="20"/>
              </w:rPr>
            </w:pPr>
            <w:r w:rsidRPr="00337C3E">
              <w:t>2.20</w:t>
            </w:r>
          </w:p>
        </w:tc>
        <w:tc>
          <w:tcPr>
            <w:tcW w:w="894" w:type="dxa"/>
            <w:shd w:val="clear" w:color="auto" w:fill="DEEAF6" w:themeFill="accent5" w:themeFillTint="33"/>
            <w:vAlign w:val="center"/>
          </w:tcPr>
          <w:p w14:paraId="2F6AD9B1" w14:textId="106D895F" w:rsidR="00421C94" w:rsidRPr="00FA2A84" w:rsidRDefault="00421C94" w:rsidP="005E3CFB">
            <w:pPr>
              <w:spacing w:before="40" w:after="40"/>
              <w:jc w:val="center"/>
              <w:rPr>
                <w:sz w:val="20"/>
                <w:szCs w:val="20"/>
              </w:rPr>
            </w:pPr>
            <w:r w:rsidRPr="00337C3E">
              <w:t>2.23</w:t>
            </w:r>
          </w:p>
        </w:tc>
        <w:tc>
          <w:tcPr>
            <w:tcW w:w="894" w:type="dxa"/>
            <w:shd w:val="clear" w:color="auto" w:fill="DEEAF6" w:themeFill="accent5" w:themeFillTint="33"/>
            <w:vAlign w:val="center"/>
          </w:tcPr>
          <w:p w14:paraId="312E1692" w14:textId="553BAD92" w:rsidR="00421C94" w:rsidRPr="00FA2A84" w:rsidRDefault="00421C94" w:rsidP="005E3CFB">
            <w:pPr>
              <w:spacing w:before="40" w:after="40"/>
              <w:jc w:val="center"/>
              <w:rPr>
                <w:sz w:val="20"/>
                <w:szCs w:val="20"/>
              </w:rPr>
            </w:pPr>
            <w:r w:rsidRPr="00337C3E">
              <w:t>2.21</w:t>
            </w:r>
          </w:p>
        </w:tc>
      </w:tr>
      <w:tr w:rsidR="00B54521" w:rsidRPr="00416C2F" w14:paraId="0EE4CD69" w14:textId="77777777" w:rsidTr="00B03641">
        <w:tc>
          <w:tcPr>
            <w:tcW w:w="615" w:type="dxa"/>
            <w:vMerge/>
            <w:tcBorders>
              <w:bottom w:val="double" w:sz="4" w:space="0" w:color="auto"/>
            </w:tcBorders>
            <w:vAlign w:val="center"/>
          </w:tcPr>
          <w:p w14:paraId="29FB16C0"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20A49294" w14:textId="77777777" w:rsidR="008C7654" w:rsidRPr="00FA2A84" w:rsidRDefault="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6497EE89" w14:textId="77777777" w:rsidR="008C7654" w:rsidRPr="00416C2F" w:rsidRDefault="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3A6F582" w14:textId="77777777" w:rsidR="008C7654" w:rsidRPr="00337C3E" w:rsidRDefault="008C7654">
            <w:pPr>
              <w:spacing w:before="40" w:after="40"/>
              <w:jc w:val="center"/>
              <w:rPr>
                <w:sz w:val="20"/>
                <w:szCs w:val="20"/>
              </w:rPr>
            </w:pPr>
          </w:p>
        </w:tc>
        <w:tc>
          <w:tcPr>
            <w:tcW w:w="995" w:type="dxa"/>
            <w:tcBorders>
              <w:left w:val="double" w:sz="4" w:space="0" w:color="auto"/>
              <w:bottom w:val="double" w:sz="4" w:space="0" w:color="auto"/>
            </w:tcBorders>
            <w:shd w:val="clear" w:color="auto" w:fill="DEEAF6" w:themeFill="accent5" w:themeFillTint="33"/>
            <w:vAlign w:val="center"/>
          </w:tcPr>
          <w:p w14:paraId="272539BF" w14:textId="6D7E8C62" w:rsidR="008C7654" w:rsidRPr="00FA2A84" w:rsidRDefault="00421C94">
            <w:pPr>
              <w:spacing w:before="40" w:after="40"/>
              <w:jc w:val="center"/>
              <w:rPr>
                <w:sz w:val="20"/>
                <w:szCs w:val="20"/>
              </w:rPr>
            </w:pPr>
            <w:r w:rsidRPr="00337C3E">
              <w:t>2.72</w:t>
            </w:r>
          </w:p>
        </w:tc>
        <w:tc>
          <w:tcPr>
            <w:tcW w:w="894" w:type="dxa"/>
            <w:tcBorders>
              <w:bottom w:val="double" w:sz="4" w:space="0" w:color="auto"/>
            </w:tcBorders>
            <w:shd w:val="clear" w:color="auto" w:fill="DEEAF6" w:themeFill="accent5" w:themeFillTint="33"/>
            <w:vAlign w:val="center"/>
          </w:tcPr>
          <w:p w14:paraId="5A250CBB" w14:textId="2ADC7D58" w:rsidR="008C7654" w:rsidRPr="00FA2A84" w:rsidRDefault="00421C94">
            <w:pPr>
              <w:spacing w:before="40" w:after="40"/>
              <w:jc w:val="center"/>
              <w:rPr>
                <w:sz w:val="20"/>
                <w:szCs w:val="20"/>
              </w:rPr>
            </w:pPr>
            <w:r w:rsidRPr="00337C3E">
              <w:t>2.85</w:t>
            </w:r>
          </w:p>
        </w:tc>
        <w:tc>
          <w:tcPr>
            <w:tcW w:w="894" w:type="dxa"/>
            <w:tcBorders>
              <w:bottom w:val="double" w:sz="4" w:space="0" w:color="auto"/>
            </w:tcBorders>
            <w:shd w:val="clear" w:color="auto" w:fill="DEEAF6" w:themeFill="accent5" w:themeFillTint="33"/>
            <w:vAlign w:val="center"/>
          </w:tcPr>
          <w:p w14:paraId="5A66528D" w14:textId="67C1689E" w:rsidR="008C7654" w:rsidRPr="00FA2A84" w:rsidRDefault="00421C94">
            <w:pPr>
              <w:spacing w:before="40" w:after="40"/>
              <w:jc w:val="center"/>
              <w:rPr>
                <w:sz w:val="20"/>
                <w:szCs w:val="20"/>
              </w:rPr>
            </w:pPr>
            <w:r w:rsidRPr="00337C3E">
              <w:t>2.79</w:t>
            </w:r>
          </w:p>
        </w:tc>
        <w:tc>
          <w:tcPr>
            <w:tcW w:w="894" w:type="dxa"/>
            <w:tcBorders>
              <w:bottom w:val="double" w:sz="4" w:space="0" w:color="auto"/>
            </w:tcBorders>
            <w:shd w:val="clear" w:color="auto" w:fill="DEEAF6" w:themeFill="accent5" w:themeFillTint="33"/>
            <w:vAlign w:val="center"/>
          </w:tcPr>
          <w:p w14:paraId="2279C54A" w14:textId="01D75277" w:rsidR="008C7654" w:rsidRPr="00FA2A84" w:rsidRDefault="00421C94">
            <w:pPr>
              <w:spacing w:before="40" w:after="40"/>
              <w:jc w:val="center"/>
              <w:rPr>
                <w:sz w:val="20"/>
                <w:szCs w:val="20"/>
              </w:rPr>
            </w:pPr>
            <w:r w:rsidRPr="00337C3E">
              <w:t>2.69</w:t>
            </w:r>
          </w:p>
        </w:tc>
        <w:tc>
          <w:tcPr>
            <w:tcW w:w="894" w:type="dxa"/>
            <w:tcBorders>
              <w:bottom w:val="double" w:sz="4" w:space="0" w:color="auto"/>
            </w:tcBorders>
            <w:shd w:val="clear" w:color="auto" w:fill="DEEAF6" w:themeFill="accent5" w:themeFillTint="33"/>
            <w:vAlign w:val="center"/>
          </w:tcPr>
          <w:p w14:paraId="34926819" w14:textId="3C834346" w:rsidR="008C7654" w:rsidRPr="00FA2A84" w:rsidRDefault="00421C94">
            <w:pPr>
              <w:spacing w:before="40" w:after="40"/>
              <w:jc w:val="center"/>
              <w:rPr>
                <w:sz w:val="20"/>
                <w:szCs w:val="20"/>
              </w:rPr>
            </w:pPr>
            <w:r w:rsidRPr="00337C3E">
              <w:t>2.75</w:t>
            </w:r>
          </w:p>
        </w:tc>
        <w:tc>
          <w:tcPr>
            <w:tcW w:w="894" w:type="dxa"/>
            <w:tcBorders>
              <w:bottom w:val="double" w:sz="4" w:space="0" w:color="auto"/>
            </w:tcBorders>
            <w:shd w:val="clear" w:color="auto" w:fill="DEEAF6" w:themeFill="accent5" w:themeFillTint="33"/>
            <w:vAlign w:val="center"/>
          </w:tcPr>
          <w:p w14:paraId="6FB0541B" w14:textId="12B89613" w:rsidR="008C7654" w:rsidRPr="00FA2A84" w:rsidRDefault="00421C94">
            <w:pPr>
              <w:spacing w:before="40" w:after="40"/>
              <w:jc w:val="center"/>
              <w:rPr>
                <w:sz w:val="20"/>
                <w:szCs w:val="20"/>
              </w:rPr>
            </w:pPr>
            <w:r w:rsidRPr="00337C3E">
              <w:t>2.69</w:t>
            </w:r>
          </w:p>
        </w:tc>
        <w:tc>
          <w:tcPr>
            <w:tcW w:w="894" w:type="dxa"/>
            <w:tcBorders>
              <w:bottom w:val="double" w:sz="4" w:space="0" w:color="auto"/>
            </w:tcBorders>
            <w:shd w:val="clear" w:color="auto" w:fill="DEEAF6" w:themeFill="accent5" w:themeFillTint="33"/>
            <w:vAlign w:val="center"/>
          </w:tcPr>
          <w:p w14:paraId="5A978585" w14:textId="4E61FF83" w:rsidR="008C7654" w:rsidRPr="00FA2A84" w:rsidRDefault="00421C94">
            <w:pPr>
              <w:spacing w:before="40" w:after="40"/>
              <w:jc w:val="center"/>
              <w:rPr>
                <w:sz w:val="20"/>
                <w:szCs w:val="20"/>
              </w:rPr>
            </w:pPr>
            <w:r w:rsidRPr="00337C3E">
              <w:t>2.63</w:t>
            </w:r>
          </w:p>
        </w:tc>
        <w:tc>
          <w:tcPr>
            <w:tcW w:w="894" w:type="dxa"/>
            <w:tcBorders>
              <w:bottom w:val="double" w:sz="4" w:space="0" w:color="auto"/>
            </w:tcBorders>
            <w:shd w:val="clear" w:color="auto" w:fill="DEEAF6" w:themeFill="accent5" w:themeFillTint="33"/>
            <w:vAlign w:val="center"/>
          </w:tcPr>
          <w:p w14:paraId="01EA26F2" w14:textId="20942FAA" w:rsidR="008C7654" w:rsidRPr="00FA2A84" w:rsidRDefault="00421C94">
            <w:pPr>
              <w:spacing w:before="40" w:after="40"/>
              <w:jc w:val="center"/>
              <w:rPr>
                <w:sz w:val="20"/>
                <w:szCs w:val="20"/>
              </w:rPr>
            </w:pPr>
            <w:r w:rsidRPr="00337C3E">
              <w:t>2.64</w:t>
            </w:r>
          </w:p>
        </w:tc>
      </w:tr>
      <w:tr w:rsidR="00DA21BC" w:rsidRPr="00416C2F" w14:paraId="0365D009" w14:textId="77777777" w:rsidTr="00B03641">
        <w:tc>
          <w:tcPr>
            <w:tcW w:w="615" w:type="dxa"/>
            <w:vMerge w:val="restart"/>
            <w:tcBorders>
              <w:top w:val="double" w:sz="4" w:space="0" w:color="auto"/>
            </w:tcBorders>
            <w:vAlign w:val="center"/>
          </w:tcPr>
          <w:p w14:paraId="7AA8F129" w14:textId="77777777" w:rsidR="00421C94" w:rsidRPr="00416C2F" w:rsidRDefault="00421C94" w:rsidP="00421C9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3E38B5B2" w14:textId="77777777" w:rsidR="00421C94" w:rsidRPr="00FA2A84" w:rsidRDefault="00421C94" w:rsidP="00421C9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209F34A0" w14:textId="77777777" w:rsidR="00421C94" w:rsidRPr="00416C2F" w:rsidRDefault="00421C94" w:rsidP="00421C9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6B29221" w14:textId="6FF555E3" w:rsidR="00421C94" w:rsidRPr="00337C3E" w:rsidRDefault="00421C94" w:rsidP="005E3CFB">
            <w:pPr>
              <w:spacing w:before="40" w:after="40"/>
              <w:jc w:val="center"/>
              <w:rPr>
                <w:sz w:val="20"/>
                <w:szCs w:val="20"/>
              </w:rPr>
            </w:pPr>
            <w:r w:rsidRPr="00337C3E">
              <w:t>2.10</w:t>
            </w:r>
          </w:p>
        </w:tc>
        <w:tc>
          <w:tcPr>
            <w:tcW w:w="995" w:type="dxa"/>
            <w:tcBorders>
              <w:top w:val="double" w:sz="4" w:space="0" w:color="auto"/>
              <w:left w:val="double" w:sz="4" w:space="0" w:color="auto"/>
            </w:tcBorders>
            <w:shd w:val="clear" w:color="auto" w:fill="DEEAF6" w:themeFill="accent5" w:themeFillTint="33"/>
            <w:vAlign w:val="center"/>
          </w:tcPr>
          <w:p w14:paraId="5B9CB1B6" w14:textId="31ECCA18" w:rsidR="00421C94" w:rsidRPr="00FA2A84" w:rsidRDefault="00421C94" w:rsidP="005E3CFB">
            <w:pPr>
              <w:spacing w:before="40" w:after="40"/>
              <w:jc w:val="center"/>
              <w:rPr>
                <w:sz w:val="20"/>
                <w:szCs w:val="20"/>
              </w:rPr>
            </w:pPr>
            <w:r w:rsidRPr="00337C3E">
              <w:t>2.25</w:t>
            </w:r>
          </w:p>
        </w:tc>
        <w:tc>
          <w:tcPr>
            <w:tcW w:w="894" w:type="dxa"/>
            <w:tcBorders>
              <w:top w:val="double" w:sz="4" w:space="0" w:color="auto"/>
            </w:tcBorders>
            <w:shd w:val="clear" w:color="auto" w:fill="DEEAF6" w:themeFill="accent5" w:themeFillTint="33"/>
            <w:vAlign w:val="center"/>
          </w:tcPr>
          <w:p w14:paraId="255A7606" w14:textId="6411D275" w:rsidR="00421C94" w:rsidRPr="00FA2A84" w:rsidRDefault="00421C94" w:rsidP="005E3CFB">
            <w:pPr>
              <w:spacing w:before="40" w:after="40"/>
              <w:jc w:val="center"/>
              <w:rPr>
                <w:sz w:val="20"/>
                <w:szCs w:val="20"/>
              </w:rPr>
            </w:pPr>
            <w:r w:rsidRPr="00337C3E">
              <w:t>2.30</w:t>
            </w:r>
          </w:p>
        </w:tc>
        <w:tc>
          <w:tcPr>
            <w:tcW w:w="894" w:type="dxa"/>
            <w:tcBorders>
              <w:top w:val="double" w:sz="4" w:space="0" w:color="auto"/>
            </w:tcBorders>
            <w:shd w:val="clear" w:color="auto" w:fill="DEEAF6" w:themeFill="accent5" w:themeFillTint="33"/>
            <w:vAlign w:val="center"/>
          </w:tcPr>
          <w:p w14:paraId="1A6E9508" w14:textId="1AC3C73F" w:rsidR="00421C94" w:rsidRPr="00FA2A84" w:rsidRDefault="00421C94" w:rsidP="005E3CFB">
            <w:pPr>
              <w:spacing w:before="40" w:after="40"/>
              <w:jc w:val="center"/>
              <w:rPr>
                <w:sz w:val="20"/>
                <w:szCs w:val="20"/>
              </w:rPr>
            </w:pPr>
            <w:r w:rsidRPr="00337C3E">
              <w:t>2.29</w:t>
            </w:r>
          </w:p>
        </w:tc>
        <w:tc>
          <w:tcPr>
            <w:tcW w:w="894" w:type="dxa"/>
            <w:tcBorders>
              <w:top w:val="double" w:sz="4" w:space="0" w:color="auto"/>
            </w:tcBorders>
            <w:shd w:val="clear" w:color="auto" w:fill="DEEAF6" w:themeFill="accent5" w:themeFillTint="33"/>
            <w:vAlign w:val="center"/>
          </w:tcPr>
          <w:p w14:paraId="1F580702" w14:textId="63BF6F36" w:rsidR="00421C94" w:rsidRPr="00FA2A84" w:rsidRDefault="00421C94" w:rsidP="005E3CFB">
            <w:pPr>
              <w:spacing w:before="40" w:after="40"/>
              <w:jc w:val="center"/>
              <w:rPr>
                <w:sz w:val="20"/>
                <w:szCs w:val="20"/>
              </w:rPr>
            </w:pPr>
            <w:r w:rsidRPr="00337C3E">
              <w:t>2.26</w:t>
            </w:r>
          </w:p>
        </w:tc>
        <w:tc>
          <w:tcPr>
            <w:tcW w:w="894" w:type="dxa"/>
            <w:tcBorders>
              <w:top w:val="double" w:sz="4" w:space="0" w:color="auto"/>
            </w:tcBorders>
            <w:shd w:val="clear" w:color="auto" w:fill="DEEAF6" w:themeFill="accent5" w:themeFillTint="33"/>
            <w:vAlign w:val="center"/>
          </w:tcPr>
          <w:p w14:paraId="0F11ACEC" w14:textId="421A54B7" w:rsidR="00421C94" w:rsidRPr="00FA2A84" w:rsidRDefault="00421C94" w:rsidP="005E3CFB">
            <w:pPr>
              <w:spacing w:before="40" w:after="40"/>
              <w:jc w:val="center"/>
              <w:rPr>
                <w:sz w:val="20"/>
                <w:szCs w:val="20"/>
              </w:rPr>
            </w:pPr>
            <w:r w:rsidRPr="00337C3E">
              <w:t>2.27</w:t>
            </w:r>
          </w:p>
        </w:tc>
        <w:tc>
          <w:tcPr>
            <w:tcW w:w="894" w:type="dxa"/>
            <w:tcBorders>
              <w:top w:val="double" w:sz="4" w:space="0" w:color="auto"/>
            </w:tcBorders>
            <w:shd w:val="clear" w:color="auto" w:fill="DEEAF6" w:themeFill="accent5" w:themeFillTint="33"/>
            <w:vAlign w:val="center"/>
          </w:tcPr>
          <w:p w14:paraId="3423A15E" w14:textId="0730D21E" w:rsidR="00421C94" w:rsidRPr="00FA2A84" w:rsidRDefault="00421C94" w:rsidP="005E3CFB">
            <w:pPr>
              <w:spacing w:before="40" w:after="40"/>
              <w:jc w:val="center"/>
              <w:rPr>
                <w:sz w:val="20"/>
                <w:szCs w:val="20"/>
              </w:rPr>
            </w:pPr>
            <w:r w:rsidRPr="00337C3E">
              <w:t>2.24</w:t>
            </w:r>
          </w:p>
        </w:tc>
        <w:tc>
          <w:tcPr>
            <w:tcW w:w="894" w:type="dxa"/>
            <w:tcBorders>
              <w:top w:val="double" w:sz="4" w:space="0" w:color="auto"/>
            </w:tcBorders>
            <w:shd w:val="clear" w:color="auto" w:fill="DEEAF6" w:themeFill="accent5" w:themeFillTint="33"/>
            <w:vAlign w:val="center"/>
          </w:tcPr>
          <w:p w14:paraId="55F25F80" w14:textId="76F97002" w:rsidR="00421C94" w:rsidRPr="00FA2A84" w:rsidRDefault="00421C94" w:rsidP="005E3CFB">
            <w:pPr>
              <w:spacing w:before="40" w:after="40"/>
              <w:jc w:val="center"/>
              <w:rPr>
                <w:sz w:val="20"/>
                <w:szCs w:val="20"/>
              </w:rPr>
            </w:pPr>
            <w:r w:rsidRPr="00337C3E">
              <w:t>2.25</w:t>
            </w:r>
          </w:p>
        </w:tc>
        <w:tc>
          <w:tcPr>
            <w:tcW w:w="894" w:type="dxa"/>
            <w:tcBorders>
              <w:top w:val="double" w:sz="4" w:space="0" w:color="auto"/>
            </w:tcBorders>
            <w:shd w:val="clear" w:color="auto" w:fill="DEEAF6" w:themeFill="accent5" w:themeFillTint="33"/>
            <w:vAlign w:val="center"/>
          </w:tcPr>
          <w:p w14:paraId="4E468EDC" w14:textId="5A4AF5E2" w:rsidR="00421C94" w:rsidRPr="00FA2A84" w:rsidRDefault="00421C94" w:rsidP="005E3CFB">
            <w:pPr>
              <w:spacing w:before="40" w:after="40"/>
              <w:jc w:val="center"/>
              <w:rPr>
                <w:sz w:val="20"/>
                <w:szCs w:val="20"/>
              </w:rPr>
            </w:pPr>
            <w:r w:rsidRPr="00337C3E">
              <w:t>2.18</w:t>
            </w:r>
          </w:p>
        </w:tc>
      </w:tr>
      <w:tr w:rsidR="00DA21BC" w:rsidRPr="00416C2F" w14:paraId="752AA770" w14:textId="77777777" w:rsidTr="00B03641">
        <w:tc>
          <w:tcPr>
            <w:tcW w:w="615" w:type="dxa"/>
            <w:vMerge/>
            <w:tcBorders>
              <w:bottom w:val="double" w:sz="4" w:space="0" w:color="auto"/>
            </w:tcBorders>
            <w:vAlign w:val="center"/>
          </w:tcPr>
          <w:p w14:paraId="47EDA00B" w14:textId="77777777" w:rsidR="00421C94" w:rsidRPr="00416C2F" w:rsidRDefault="00421C94" w:rsidP="00421C94">
            <w:pPr>
              <w:spacing w:before="40" w:after="40"/>
              <w:jc w:val="center"/>
              <w:rPr>
                <w:rFonts w:cs="Arial"/>
                <w:color w:val="000000"/>
                <w:sz w:val="20"/>
                <w:szCs w:val="20"/>
              </w:rPr>
            </w:pPr>
          </w:p>
        </w:tc>
        <w:tc>
          <w:tcPr>
            <w:tcW w:w="615" w:type="dxa"/>
            <w:vMerge/>
            <w:tcBorders>
              <w:bottom w:val="double" w:sz="4" w:space="0" w:color="auto"/>
            </w:tcBorders>
            <w:vAlign w:val="center"/>
          </w:tcPr>
          <w:p w14:paraId="0221A5D5" w14:textId="77777777" w:rsidR="00421C94" w:rsidRPr="00FA2A84" w:rsidRDefault="00421C94" w:rsidP="00421C9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FE39C11" w14:textId="77777777" w:rsidR="00421C94" w:rsidRPr="00416C2F" w:rsidRDefault="00421C94" w:rsidP="00421C9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9E72127" w14:textId="77777777" w:rsidR="00421C94" w:rsidRPr="00337C3E" w:rsidRDefault="00421C94" w:rsidP="005E3CFB">
            <w:pPr>
              <w:spacing w:before="40" w:after="40"/>
              <w:jc w:val="center"/>
              <w:rPr>
                <w:sz w:val="20"/>
                <w:szCs w:val="20"/>
              </w:rPr>
            </w:pPr>
          </w:p>
        </w:tc>
        <w:tc>
          <w:tcPr>
            <w:tcW w:w="995" w:type="dxa"/>
            <w:tcBorders>
              <w:left w:val="double" w:sz="4" w:space="0" w:color="auto"/>
              <w:bottom w:val="double" w:sz="4" w:space="0" w:color="auto"/>
            </w:tcBorders>
            <w:shd w:val="clear" w:color="auto" w:fill="DEEAF6" w:themeFill="accent5" w:themeFillTint="33"/>
            <w:vAlign w:val="center"/>
          </w:tcPr>
          <w:p w14:paraId="72EFB200" w14:textId="08C7D45E" w:rsidR="00421C94" w:rsidRPr="00FA2A84" w:rsidRDefault="00421C94" w:rsidP="005E3CFB">
            <w:pPr>
              <w:spacing w:before="40" w:after="40"/>
              <w:jc w:val="center"/>
              <w:rPr>
                <w:sz w:val="20"/>
                <w:szCs w:val="20"/>
              </w:rPr>
            </w:pPr>
            <w:r w:rsidRPr="00337C3E">
              <w:t>2.75</w:t>
            </w:r>
          </w:p>
        </w:tc>
        <w:tc>
          <w:tcPr>
            <w:tcW w:w="894" w:type="dxa"/>
            <w:tcBorders>
              <w:bottom w:val="double" w:sz="4" w:space="0" w:color="auto"/>
            </w:tcBorders>
            <w:shd w:val="clear" w:color="auto" w:fill="DEEAF6" w:themeFill="accent5" w:themeFillTint="33"/>
            <w:vAlign w:val="center"/>
          </w:tcPr>
          <w:p w14:paraId="708CAC39" w14:textId="752AD7E3" w:rsidR="00421C94" w:rsidRPr="00FA2A84" w:rsidRDefault="00421C94" w:rsidP="005E3CFB">
            <w:pPr>
              <w:spacing w:before="40" w:after="40"/>
              <w:jc w:val="center"/>
              <w:rPr>
                <w:sz w:val="20"/>
                <w:szCs w:val="20"/>
              </w:rPr>
            </w:pPr>
            <w:r w:rsidRPr="00337C3E">
              <w:t>2.76</w:t>
            </w:r>
          </w:p>
        </w:tc>
        <w:tc>
          <w:tcPr>
            <w:tcW w:w="894" w:type="dxa"/>
            <w:tcBorders>
              <w:bottom w:val="double" w:sz="4" w:space="0" w:color="auto"/>
            </w:tcBorders>
            <w:shd w:val="clear" w:color="auto" w:fill="DEEAF6" w:themeFill="accent5" w:themeFillTint="33"/>
            <w:vAlign w:val="center"/>
          </w:tcPr>
          <w:p w14:paraId="5FB7FB38" w14:textId="07A91315" w:rsidR="00421C94" w:rsidRPr="00FA2A84" w:rsidRDefault="00421C94" w:rsidP="005E3CFB">
            <w:pPr>
              <w:spacing w:before="40" w:after="40"/>
              <w:jc w:val="center"/>
              <w:rPr>
                <w:sz w:val="20"/>
                <w:szCs w:val="20"/>
              </w:rPr>
            </w:pPr>
            <w:r w:rsidRPr="00337C3E">
              <w:t>2.80</w:t>
            </w:r>
          </w:p>
        </w:tc>
        <w:tc>
          <w:tcPr>
            <w:tcW w:w="894" w:type="dxa"/>
            <w:tcBorders>
              <w:bottom w:val="double" w:sz="4" w:space="0" w:color="auto"/>
            </w:tcBorders>
            <w:shd w:val="clear" w:color="auto" w:fill="DEEAF6" w:themeFill="accent5" w:themeFillTint="33"/>
            <w:vAlign w:val="center"/>
          </w:tcPr>
          <w:p w14:paraId="302D7E91" w14:textId="7C4DCA97" w:rsidR="00421C94" w:rsidRPr="00FA2A84" w:rsidRDefault="00421C94" w:rsidP="005E3CFB">
            <w:pPr>
              <w:spacing w:before="40" w:after="40"/>
              <w:jc w:val="center"/>
              <w:rPr>
                <w:sz w:val="20"/>
                <w:szCs w:val="20"/>
              </w:rPr>
            </w:pPr>
            <w:r w:rsidRPr="00337C3E">
              <w:t>2.83</w:t>
            </w:r>
          </w:p>
        </w:tc>
        <w:tc>
          <w:tcPr>
            <w:tcW w:w="894" w:type="dxa"/>
            <w:tcBorders>
              <w:bottom w:val="double" w:sz="4" w:space="0" w:color="auto"/>
            </w:tcBorders>
            <w:shd w:val="clear" w:color="auto" w:fill="DEEAF6" w:themeFill="accent5" w:themeFillTint="33"/>
            <w:vAlign w:val="center"/>
          </w:tcPr>
          <w:p w14:paraId="5C5D57BE" w14:textId="4F620B60" w:rsidR="00421C94" w:rsidRPr="00FA2A84" w:rsidRDefault="00421C94" w:rsidP="005E3CFB">
            <w:pPr>
              <w:spacing w:before="40" w:after="40"/>
              <w:jc w:val="center"/>
              <w:rPr>
                <w:sz w:val="20"/>
                <w:szCs w:val="20"/>
              </w:rPr>
            </w:pPr>
            <w:r w:rsidRPr="00337C3E">
              <w:t>2.70</w:t>
            </w:r>
          </w:p>
        </w:tc>
        <w:tc>
          <w:tcPr>
            <w:tcW w:w="894" w:type="dxa"/>
            <w:tcBorders>
              <w:bottom w:val="double" w:sz="4" w:space="0" w:color="auto"/>
            </w:tcBorders>
            <w:shd w:val="clear" w:color="auto" w:fill="DEEAF6" w:themeFill="accent5" w:themeFillTint="33"/>
            <w:vAlign w:val="center"/>
          </w:tcPr>
          <w:p w14:paraId="03FBF06A" w14:textId="7F5B39EA" w:rsidR="00421C94" w:rsidRPr="00FA2A84" w:rsidRDefault="00421C94" w:rsidP="005E3CFB">
            <w:pPr>
              <w:spacing w:before="40" w:after="40"/>
              <w:jc w:val="center"/>
              <w:rPr>
                <w:sz w:val="20"/>
                <w:szCs w:val="20"/>
              </w:rPr>
            </w:pPr>
            <w:r w:rsidRPr="00337C3E">
              <w:t>2.71</w:t>
            </w:r>
          </w:p>
        </w:tc>
        <w:tc>
          <w:tcPr>
            <w:tcW w:w="894" w:type="dxa"/>
            <w:tcBorders>
              <w:bottom w:val="double" w:sz="4" w:space="0" w:color="auto"/>
            </w:tcBorders>
            <w:shd w:val="clear" w:color="auto" w:fill="DEEAF6" w:themeFill="accent5" w:themeFillTint="33"/>
            <w:vAlign w:val="center"/>
          </w:tcPr>
          <w:p w14:paraId="7342C48F" w14:textId="69C9B041" w:rsidR="00421C94" w:rsidRPr="00FA2A84" w:rsidRDefault="00421C94" w:rsidP="005E3CFB">
            <w:pPr>
              <w:spacing w:before="40" w:after="40"/>
              <w:jc w:val="center"/>
              <w:rPr>
                <w:sz w:val="20"/>
                <w:szCs w:val="20"/>
              </w:rPr>
            </w:pPr>
            <w:r w:rsidRPr="00337C3E">
              <w:t>2.73</w:t>
            </w:r>
          </w:p>
        </w:tc>
        <w:tc>
          <w:tcPr>
            <w:tcW w:w="894" w:type="dxa"/>
            <w:tcBorders>
              <w:bottom w:val="double" w:sz="4" w:space="0" w:color="auto"/>
            </w:tcBorders>
            <w:shd w:val="clear" w:color="auto" w:fill="DEEAF6" w:themeFill="accent5" w:themeFillTint="33"/>
            <w:vAlign w:val="center"/>
          </w:tcPr>
          <w:p w14:paraId="637B88AD" w14:textId="797B9D54" w:rsidR="00421C94" w:rsidRPr="00FA2A84" w:rsidRDefault="00421C94" w:rsidP="005E3CFB">
            <w:pPr>
              <w:spacing w:before="40" w:after="40"/>
              <w:jc w:val="center"/>
              <w:rPr>
                <w:sz w:val="20"/>
                <w:szCs w:val="20"/>
              </w:rPr>
            </w:pPr>
            <w:r w:rsidRPr="00337C3E">
              <w:t>2.74</w:t>
            </w:r>
          </w:p>
        </w:tc>
      </w:tr>
      <w:tr w:rsidR="00B54521" w:rsidRPr="00416C2F" w14:paraId="70479C29" w14:textId="77777777" w:rsidTr="00B03641">
        <w:tc>
          <w:tcPr>
            <w:tcW w:w="615" w:type="dxa"/>
            <w:vMerge w:val="restart"/>
            <w:tcBorders>
              <w:top w:val="double" w:sz="4" w:space="0" w:color="auto"/>
            </w:tcBorders>
            <w:vAlign w:val="center"/>
          </w:tcPr>
          <w:p w14:paraId="0134E58B" w14:textId="77777777" w:rsidR="008C7654" w:rsidRPr="00416C2F" w:rsidRDefault="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6556C34F" w14:textId="77777777" w:rsidR="008C7654" w:rsidRPr="00FA2A84" w:rsidRDefault="008C7654">
            <w:pPr>
              <w:spacing w:before="40" w:after="40"/>
              <w:jc w:val="center"/>
              <w:rPr>
                <w:rFonts w:cs="Arial"/>
                <w:color w:val="000000"/>
                <w:sz w:val="20"/>
                <w:szCs w:val="20"/>
              </w:rPr>
            </w:pPr>
            <w:r w:rsidRPr="00FA2A84">
              <w:rPr>
                <w:sz w:val="20"/>
                <w:szCs w:val="20"/>
              </w:rPr>
              <w:t>9</w:t>
            </w:r>
          </w:p>
        </w:tc>
        <w:tc>
          <w:tcPr>
            <w:tcW w:w="616" w:type="dxa"/>
            <w:tcBorders>
              <w:top w:val="double" w:sz="4" w:space="0" w:color="auto"/>
              <w:right w:val="double" w:sz="4" w:space="0" w:color="auto"/>
            </w:tcBorders>
            <w:vAlign w:val="center"/>
          </w:tcPr>
          <w:p w14:paraId="4C8FA848" w14:textId="77777777" w:rsidR="008C7654" w:rsidRPr="00416C2F" w:rsidRDefault="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3E37BDC1" w14:textId="164F990D" w:rsidR="008C7654" w:rsidRPr="00337C3E" w:rsidRDefault="00421C94">
            <w:pPr>
              <w:spacing w:before="40" w:after="40"/>
              <w:jc w:val="center"/>
              <w:rPr>
                <w:sz w:val="20"/>
                <w:szCs w:val="20"/>
              </w:rPr>
            </w:pPr>
            <w:r w:rsidRPr="00337C3E">
              <w:t>2.62</w:t>
            </w:r>
          </w:p>
        </w:tc>
        <w:tc>
          <w:tcPr>
            <w:tcW w:w="995" w:type="dxa"/>
            <w:tcBorders>
              <w:top w:val="double" w:sz="4" w:space="0" w:color="auto"/>
              <w:left w:val="double" w:sz="4" w:space="0" w:color="auto"/>
            </w:tcBorders>
            <w:shd w:val="clear" w:color="auto" w:fill="DEEAF6" w:themeFill="accent5" w:themeFillTint="33"/>
            <w:vAlign w:val="center"/>
          </w:tcPr>
          <w:p w14:paraId="7B7768A8" w14:textId="06AF532E" w:rsidR="008C7654" w:rsidRPr="00FA2A84" w:rsidRDefault="00421C94">
            <w:pPr>
              <w:spacing w:before="40" w:after="40"/>
              <w:jc w:val="center"/>
              <w:rPr>
                <w:sz w:val="20"/>
                <w:szCs w:val="20"/>
              </w:rPr>
            </w:pPr>
            <w:r w:rsidRPr="00337C3E">
              <w:t>2.56</w:t>
            </w:r>
          </w:p>
        </w:tc>
        <w:tc>
          <w:tcPr>
            <w:tcW w:w="894" w:type="dxa"/>
            <w:tcBorders>
              <w:top w:val="double" w:sz="4" w:space="0" w:color="auto"/>
            </w:tcBorders>
            <w:shd w:val="clear" w:color="auto" w:fill="DEEAF6" w:themeFill="accent5" w:themeFillTint="33"/>
            <w:vAlign w:val="center"/>
          </w:tcPr>
          <w:p w14:paraId="2EF6E32D" w14:textId="0F16BBD1" w:rsidR="008C7654" w:rsidRPr="00FA2A84" w:rsidRDefault="00421C94">
            <w:pPr>
              <w:spacing w:before="40" w:after="40"/>
              <w:jc w:val="center"/>
              <w:rPr>
                <w:sz w:val="20"/>
                <w:szCs w:val="20"/>
              </w:rPr>
            </w:pPr>
            <w:r w:rsidRPr="00337C3E">
              <w:t>2.53</w:t>
            </w:r>
          </w:p>
        </w:tc>
        <w:tc>
          <w:tcPr>
            <w:tcW w:w="894" w:type="dxa"/>
            <w:tcBorders>
              <w:top w:val="double" w:sz="4" w:space="0" w:color="auto"/>
            </w:tcBorders>
            <w:shd w:val="clear" w:color="auto" w:fill="DEEAF6" w:themeFill="accent5" w:themeFillTint="33"/>
            <w:vAlign w:val="center"/>
          </w:tcPr>
          <w:p w14:paraId="50760FC9" w14:textId="76300BED" w:rsidR="008C7654" w:rsidRPr="00FA2A84" w:rsidRDefault="00421C94">
            <w:pPr>
              <w:spacing w:before="40" w:after="40"/>
              <w:jc w:val="center"/>
              <w:rPr>
                <w:sz w:val="20"/>
                <w:szCs w:val="20"/>
              </w:rPr>
            </w:pPr>
            <w:r w:rsidRPr="00337C3E">
              <w:t>2.52</w:t>
            </w:r>
          </w:p>
        </w:tc>
        <w:tc>
          <w:tcPr>
            <w:tcW w:w="894" w:type="dxa"/>
            <w:tcBorders>
              <w:top w:val="double" w:sz="4" w:space="0" w:color="auto"/>
            </w:tcBorders>
            <w:shd w:val="clear" w:color="auto" w:fill="DEEAF6" w:themeFill="accent5" w:themeFillTint="33"/>
            <w:vAlign w:val="center"/>
          </w:tcPr>
          <w:p w14:paraId="5C487513" w14:textId="2C467C7C" w:rsidR="008C7654" w:rsidRPr="00FA2A84" w:rsidRDefault="00421C94">
            <w:pPr>
              <w:spacing w:before="40" w:after="40"/>
              <w:jc w:val="center"/>
              <w:rPr>
                <w:sz w:val="20"/>
                <w:szCs w:val="20"/>
              </w:rPr>
            </w:pPr>
            <w:r w:rsidRPr="00337C3E">
              <w:t>2.58</w:t>
            </w:r>
          </w:p>
        </w:tc>
        <w:tc>
          <w:tcPr>
            <w:tcW w:w="894" w:type="dxa"/>
            <w:tcBorders>
              <w:top w:val="double" w:sz="4" w:space="0" w:color="auto"/>
            </w:tcBorders>
            <w:shd w:val="clear" w:color="auto" w:fill="DEEAF6" w:themeFill="accent5" w:themeFillTint="33"/>
            <w:vAlign w:val="center"/>
          </w:tcPr>
          <w:p w14:paraId="62C038AF" w14:textId="27225E6A" w:rsidR="008C7654" w:rsidRPr="00FA2A84" w:rsidRDefault="00421C94">
            <w:pPr>
              <w:spacing w:before="40" w:after="40"/>
              <w:jc w:val="center"/>
              <w:rPr>
                <w:sz w:val="20"/>
                <w:szCs w:val="20"/>
              </w:rPr>
            </w:pPr>
            <w:r w:rsidRPr="00337C3E">
              <w:t>2.53</w:t>
            </w:r>
          </w:p>
        </w:tc>
        <w:tc>
          <w:tcPr>
            <w:tcW w:w="894" w:type="dxa"/>
            <w:tcBorders>
              <w:top w:val="double" w:sz="4" w:space="0" w:color="auto"/>
            </w:tcBorders>
            <w:shd w:val="clear" w:color="auto" w:fill="DEEAF6" w:themeFill="accent5" w:themeFillTint="33"/>
            <w:vAlign w:val="center"/>
          </w:tcPr>
          <w:p w14:paraId="034B892A" w14:textId="6C8CD947" w:rsidR="008C7654" w:rsidRPr="00FA2A84" w:rsidRDefault="00421C94">
            <w:pPr>
              <w:spacing w:before="40" w:after="40"/>
              <w:jc w:val="center"/>
              <w:rPr>
                <w:sz w:val="20"/>
                <w:szCs w:val="20"/>
              </w:rPr>
            </w:pPr>
            <w:r w:rsidRPr="00337C3E">
              <w:t>2.60</w:t>
            </w:r>
          </w:p>
        </w:tc>
        <w:tc>
          <w:tcPr>
            <w:tcW w:w="894" w:type="dxa"/>
            <w:tcBorders>
              <w:top w:val="double" w:sz="4" w:space="0" w:color="auto"/>
            </w:tcBorders>
            <w:shd w:val="clear" w:color="auto" w:fill="DEEAF6" w:themeFill="accent5" w:themeFillTint="33"/>
            <w:vAlign w:val="center"/>
          </w:tcPr>
          <w:p w14:paraId="03D9BFD7" w14:textId="727871A6" w:rsidR="008C7654" w:rsidRPr="00FA2A84" w:rsidRDefault="00421C94">
            <w:pPr>
              <w:spacing w:before="40" w:after="40"/>
              <w:jc w:val="center"/>
              <w:rPr>
                <w:sz w:val="20"/>
                <w:szCs w:val="20"/>
              </w:rPr>
            </w:pPr>
            <w:r w:rsidRPr="00337C3E">
              <w:t>2.58</w:t>
            </w:r>
          </w:p>
        </w:tc>
        <w:tc>
          <w:tcPr>
            <w:tcW w:w="894" w:type="dxa"/>
            <w:tcBorders>
              <w:top w:val="double" w:sz="4" w:space="0" w:color="auto"/>
            </w:tcBorders>
            <w:shd w:val="clear" w:color="auto" w:fill="DEEAF6" w:themeFill="accent5" w:themeFillTint="33"/>
            <w:vAlign w:val="center"/>
          </w:tcPr>
          <w:p w14:paraId="53A15BB2" w14:textId="11ACED10" w:rsidR="008C7654" w:rsidRPr="00FA2A84" w:rsidRDefault="00421C94">
            <w:pPr>
              <w:spacing w:before="40" w:after="40"/>
              <w:jc w:val="center"/>
              <w:rPr>
                <w:sz w:val="20"/>
                <w:szCs w:val="20"/>
              </w:rPr>
            </w:pPr>
            <w:r w:rsidRPr="00337C3E">
              <w:t>2.55</w:t>
            </w:r>
          </w:p>
        </w:tc>
      </w:tr>
      <w:tr w:rsidR="00C87D4C" w:rsidRPr="00416C2F" w14:paraId="4D8DB6C4" w14:textId="77777777" w:rsidTr="00B03641">
        <w:tc>
          <w:tcPr>
            <w:tcW w:w="615" w:type="dxa"/>
            <w:vMerge/>
            <w:vAlign w:val="center"/>
          </w:tcPr>
          <w:p w14:paraId="063EC004" w14:textId="77777777" w:rsidR="00421C94" w:rsidRPr="00FA2A84" w:rsidRDefault="00421C94" w:rsidP="00421C94">
            <w:pPr>
              <w:spacing w:before="40" w:after="40"/>
              <w:jc w:val="center"/>
              <w:rPr>
                <w:rFonts w:cs="Arial"/>
                <w:color w:val="000000"/>
                <w:sz w:val="20"/>
                <w:szCs w:val="20"/>
              </w:rPr>
            </w:pPr>
          </w:p>
        </w:tc>
        <w:tc>
          <w:tcPr>
            <w:tcW w:w="615" w:type="dxa"/>
            <w:vMerge/>
            <w:vAlign w:val="center"/>
          </w:tcPr>
          <w:p w14:paraId="30591B51"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6579BF4D" w14:textId="77777777" w:rsidR="00421C94" w:rsidRPr="00FA2A84" w:rsidRDefault="00421C94" w:rsidP="00421C9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0AACD4C0" w14:textId="77777777" w:rsidR="00421C94" w:rsidRPr="00FA2A84" w:rsidDel="00F86573" w:rsidRDefault="00421C94" w:rsidP="005E3CFB">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236A932F" w14:textId="320F26C0" w:rsidR="00421C94" w:rsidRPr="00FA2A84" w:rsidDel="00F86573" w:rsidRDefault="00421C94" w:rsidP="005E3CFB">
            <w:pPr>
              <w:spacing w:before="40" w:after="40"/>
              <w:jc w:val="center"/>
              <w:rPr>
                <w:sz w:val="20"/>
                <w:szCs w:val="20"/>
              </w:rPr>
            </w:pPr>
            <w:r w:rsidRPr="00337C3E">
              <w:t>2.88</w:t>
            </w:r>
          </w:p>
        </w:tc>
        <w:tc>
          <w:tcPr>
            <w:tcW w:w="894" w:type="dxa"/>
            <w:shd w:val="clear" w:color="auto" w:fill="DEEAF6" w:themeFill="accent5" w:themeFillTint="33"/>
            <w:vAlign w:val="center"/>
          </w:tcPr>
          <w:p w14:paraId="4A9D25D9" w14:textId="0A4E6679" w:rsidR="00421C94" w:rsidRPr="00FA2A84" w:rsidDel="00F86573" w:rsidRDefault="00421C94" w:rsidP="005E3CFB">
            <w:pPr>
              <w:spacing w:before="40" w:after="40"/>
              <w:jc w:val="center"/>
              <w:rPr>
                <w:sz w:val="20"/>
                <w:szCs w:val="20"/>
              </w:rPr>
            </w:pPr>
            <w:r w:rsidRPr="00337C3E">
              <w:t>2.97</w:t>
            </w:r>
          </w:p>
        </w:tc>
        <w:tc>
          <w:tcPr>
            <w:tcW w:w="894" w:type="dxa"/>
            <w:shd w:val="clear" w:color="auto" w:fill="DEEAF6" w:themeFill="accent5" w:themeFillTint="33"/>
            <w:vAlign w:val="center"/>
          </w:tcPr>
          <w:p w14:paraId="09C1E361" w14:textId="7CBDF7CF" w:rsidR="00421C94" w:rsidRPr="00FA2A84" w:rsidDel="00F86573" w:rsidRDefault="00421C94" w:rsidP="005E3CFB">
            <w:pPr>
              <w:spacing w:before="40" w:after="40"/>
              <w:jc w:val="center"/>
              <w:rPr>
                <w:sz w:val="20"/>
                <w:szCs w:val="20"/>
              </w:rPr>
            </w:pPr>
            <w:r w:rsidRPr="00337C3E">
              <w:t>2.91</w:t>
            </w:r>
          </w:p>
        </w:tc>
        <w:tc>
          <w:tcPr>
            <w:tcW w:w="894" w:type="dxa"/>
            <w:shd w:val="clear" w:color="auto" w:fill="DEEAF6" w:themeFill="accent5" w:themeFillTint="33"/>
            <w:vAlign w:val="center"/>
          </w:tcPr>
          <w:p w14:paraId="6E3CC924" w14:textId="1ED8C7D2" w:rsidR="00421C94" w:rsidRPr="00FA2A84" w:rsidDel="00F86573" w:rsidRDefault="00421C94" w:rsidP="005E3CFB">
            <w:pPr>
              <w:spacing w:before="40" w:after="40"/>
              <w:jc w:val="center"/>
              <w:rPr>
                <w:sz w:val="20"/>
                <w:szCs w:val="20"/>
              </w:rPr>
            </w:pPr>
            <w:r w:rsidRPr="00337C3E">
              <w:t>2.92</w:t>
            </w:r>
          </w:p>
        </w:tc>
        <w:tc>
          <w:tcPr>
            <w:tcW w:w="894" w:type="dxa"/>
            <w:shd w:val="clear" w:color="auto" w:fill="DEEAF6" w:themeFill="accent5" w:themeFillTint="33"/>
            <w:vAlign w:val="center"/>
          </w:tcPr>
          <w:p w14:paraId="2CFD602B" w14:textId="7D76946F" w:rsidR="00421C94" w:rsidRPr="00FA2A84" w:rsidDel="00F86573" w:rsidRDefault="00421C94" w:rsidP="005E3CFB">
            <w:pPr>
              <w:spacing w:before="40" w:after="40"/>
              <w:jc w:val="center"/>
              <w:rPr>
                <w:sz w:val="20"/>
                <w:szCs w:val="20"/>
              </w:rPr>
            </w:pPr>
            <w:r w:rsidRPr="00337C3E">
              <w:t>2.95</w:t>
            </w:r>
          </w:p>
        </w:tc>
        <w:tc>
          <w:tcPr>
            <w:tcW w:w="894" w:type="dxa"/>
            <w:shd w:val="clear" w:color="auto" w:fill="DEEAF6" w:themeFill="accent5" w:themeFillTint="33"/>
            <w:vAlign w:val="center"/>
          </w:tcPr>
          <w:p w14:paraId="0F5F0F4A" w14:textId="49295BA9" w:rsidR="00421C94" w:rsidRPr="00FA2A84" w:rsidDel="00F86573" w:rsidRDefault="00421C94" w:rsidP="005E3CFB">
            <w:pPr>
              <w:spacing w:before="40" w:after="40"/>
              <w:jc w:val="center"/>
              <w:rPr>
                <w:sz w:val="20"/>
                <w:szCs w:val="20"/>
              </w:rPr>
            </w:pPr>
            <w:r w:rsidRPr="00337C3E">
              <w:t>2.85</w:t>
            </w:r>
          </w:p>
        </w:tc>
        <w:tc>
          <w:tcPr>
            <w:tcW w:w="894" w:type="dxa"/>
            <w:shd w:val="clear" w:color="auto" w:fill="DEEAF6" w:themeFill="accent5" w:themeFillTint="33"/>
            <w:vAlign w:val="center"/>
          </w:tcPr>
          <w:p w14:paraId="4CDA502A" w14:textId="52AE4D9E" w:rsidR="00421C94" w:rsidRPr="00FA2A84" w:rsidDel="00F86573" w:rsidRDefault="00421C94" w:rsidP="005E3CFB">
            <w:pPr>
              <w:spacing w:before="40" w:after="40"/>
              <w:jc w:val="center"/>
              <w:rPr>
                <w:sz w:val="20"/>
                <w:szCs w:val="20"/>
              </w:rPr>
            </w:pPr>
            <w:r w:rsidRPr="00337C3E">
              <w:t>2.84</w:t>
            </w:r>
          </w:p>
        </w:tc>
        <w:tc>
          <w:tcPr>
            <w:tcW w:w="894" w:type="dxa"/>
            <w:shd w:val="clear" w:color="auto" w:fill="DEEAF6" w:themeFill="accent5" w:themeFillTint="33"/>
            <w:vAlign w:val="center"/>
          </w:tcPr>
          <w:p w14:paraId="6E4243A1" w14:textId="03E47D78" w:rsidR="00421C94" w:rsidRPr="00FA2A84" w:rsidDel="00F86573" w:rsidRDefault="00421C94" w:rsidP="005E3CFB">
            <w:pPr>
              <w:spacing w:before="40" w:after="40"/>
              <w:jc w:val="center"/>
              <w:rPr>
                <w:sz w:val="20"/>
                <w:szCs w:val="20"/>
              </w:rPr>
            </w:pPr>
            <w:r w:rsidRPr="00337C3E">
              <w:t>2.75</w:t>
            </w:r>
          </w:p>
        </w:tc>
      </w:tr>
      <w:tr w:rsidR="00C87D4C" w:rsidRPr="00416C2F" w14:paraId="13AA90A7" w14:textId="77777777" w:rsidTr="00B03641">
        <w:tc>
          <w:tcPr>
            <w:tcW w:w="615" w:type="dxa"/>
            <w:vMerge/>
            <w:vAlign w:val="center"/>
          </w:tcPr>
          <w:p w14:paraId="7506F14A" w14:textId="77777777" w:rsidR="00421C94" w:rsidRPr="00FA2A84" w:rsidRDefault="00421C94" w:rsidP="00421C94">
            <w:pPr>
              <w:spacing w:before="40" w:after="40"/>
              <w:jc w:val="center"/>
              <w:rPr>
                <w:rFonts w:cs="Arial"/>
                <w:color w:val="000000"/>
                <w:sz w:val="20"/>
                <w:szCs w:val="20"/>
              </w:rPr>
            </w:pPr>
          </w:p>
        </w:tc>
        <w:tc>
          <w:tcPr>
            <w:tcW w:w="615" w:type="dxa"/>
            <w:vMerge/>
            <w:vAlign w:val="center"/>
          </w:tcPr>
          <w:p w14:paraId="26639480"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5544CCA3" w14:textId="77777777" w:rsidR="00421C94" w:rsidRPr="00FA2A84" w:rsidRDefault="00421C94" w:rsidP="00421C94">
            <w:pPr>
              <w:spacing w:before="40" w:after="40"/>
              <w:jc w:val="center"/>
              <w:rPr>
                <w:rFonts w:cs="Arial"/>
                <w:color w:val="000000"/>
                <w:sz w:val="20"/>
                <w:szCs w:val="20"/>
              </w:rPr>
            </w:pPr>
            <w:r w:rsidRPr="00FA2A84">
              <w:rPr>
                <w:sz w:val="20"/>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4B6B76C2" w14:textId="77777777" w:rsidR="00421C94" w:rsidRPr="00FA2A84" w:rsidDel="00F86573" w:rsidRDefault="00421C94" w:rsidP="005E3CFB">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74B7DFBE" w14:textId="6FAE1A9D" w:rsidR="00421C94" w:rsidRPr="00FA2A84" w:rsidDel="00F86573" w:rsidRDefault="00421C94" w:rsidP="005E3CFB">
            <w:pPr>
              <w:spacing w:before="40" w:after="40"/>
              <w:jc w:val="center"/>
              <w:rPr>
                <w:sz w:val="20"/>
                <w:szCs w:val="20"/>
              </w:rPr>
            </w:pPr>
            <w:r w:rsidRPr="00337C3E">
              <w:t>3.26</w:t>
            </w:r>
          </w:p>
        </w:tc>
        <w:tc>
          <w:tcPr>
            <w:tcW w:w="894" w:type="dxa"/>
            <w:shd w:val="clear" w:color="auto" w:fill="DEEAF6" w:themeFill="accent5" w:themeFillTint="33"/>
            <w:vAlign w:val="center"/>
          </w:tcPr>
          <w:p w14:paraId="4D0F721C" w14:textId="053FF7D1" w:rsidR="00421C94" w:rsidRPr="00FA2A84" w:rsidDel="00F86573" w:rsidRDefault="00421C94" w:rsidP="005E3CFB">
            <w:pPr>
              <w:spacing w:before="40" w:after="40"/>
              <w:jc w:val="center"/>
              <w:rPr>
                <w:sz w:val="20"/>
                <w:szCs w:val="20"/>
              </w:rPr>
            </w:pPr>
            <w:r w:rsidRPr="00337C3E">
              <w:t>3.29</w:t>
            </w:r>
          </w:p>
        </w:tc>
        <w:tc>
          <w:tcPr>
            <w:tcW w:w="894" w:type="dxa"/>
            <w:shd w:val="clear" w:color="auto" w:fill="DEEAF6" w:themeFill="accent5" w:themeFillTint="33"/>
            <w:vAlign w:val="center"/>
          </w:tcPr>
          <w:p w14:paraId="64998033" w14:textId="0212CD4B" w:rsidR="00421C94" w:rsidRPr="00FA2A84" w:rsidDel="00F86573" w:rsidRDefault="00421C94" w:rsidP="005E3CFB">
            <w:pPr>
              <w:spacing w:before="40" w:after="40"/>
              <w:jc w:val="center"/>
              <w:rPr>
                <w:sz w:val="20"/>
                <w:szCs w:val="20"/>
              </w:rPr>
            </w:pPr>
            <w:r w:rsidRPr="00337C3E">
              <w:t>3.43</w:t>
            </w:r>
          </w:p>
        </w:tc>
        <w:tc>
          <w:tcPr>
            <w:tcW w:w="894" w:type="dxa"/>
            <w:shd w:val="clear" w:color="auto" w:fill="DEEAF6" w:themeFill="accent5" w:themeFillTint="33"/>
            <w:vAlign w:val="center"/>
          </w:tcPr>
          <w:p w14:paraId="6FD8112C" w14:textId="265A6AD9" w:rsidR="00421C94" w:rsidRPr="00FA2A84" w:rsidDel="00F86573" w:rsidRDefault="00421C94" w:rsidP="005E3CFB">
            <w:pPr>
              <w:spacing w:before="40" w:after="40"/>
              <w:jc w:val="center"/>
              <w:rPr>
                <w:sz w:val="20"/>
                <w:szCs w:val="20"/>
              </w:rPr>
            </w:pPr>
            <w:r w:rsidRPr="00337C3E">
              <w:t>3.30</w:t>
            </w:r>
          </w:p>
        </w:tc>
        <w:tc>
          <w:tcPr>
            <w:tcW w:w="894" w:type="dxa"/>
            <w:shd w:val="clear" w:color="auto" w:fill="DEEAF6" w:themeFill="accent5" w:themeFillTint="33"/>
            <w:vAlign w:val="center"/>
          </w:tcPr>
          <w:p w14:paraId="4F17AD5C" w14:textId="75C1CDF0" w:rsidR="00421C94" w:rsidRPr="00FA2A84" w:rsidDel="00F86573" w:rsidRDefault="00421C94" w:rsidP="005E3CFB">
            <w:pPr>
              <w:spacing w:before="40" w:after="40"/>
              <w:jc w:val="center"/>
              <w:rPr>
                <w:sz w:val="20"/>
                <w:szCs w:val="20"/>
              </w:rPr>
            </w:pPr>
            <w:r w:rsidRPr="00337C3E">
              <w:t>3.29</w:t>
            </w:r>
          </w:p>
        </w:tc>
        <w:tc>
          <w:tcPr>
            <w:tcW w:w="894" w:type="dxa"/>
            <w:shd w:val="clear" w:color="auto" w:fill="DEEAF6" w:themeFill="accent5" w:themeFillTint="33"/>
            <w:vAlign w:val="center"/>
          </w:tcPr>
          <w:p w14:paraId="5A627D4F" w14:textId="27066F7E" w:rsidR="00421C94" w:rsidRPr="00FA2A84" w:rsidDel="00F86573" w:rsidRDefault="00421C94" w:rsidP="005E3CFB">
            <w:pPr>
              <w:spacing w:before="40" w:after="40"/>
              <w:jc w:val="center"/>
              <w:rPr>
                <w:sz w:val="20"/>
                <w:szCs w:val="20"/>
              </w:rPr>
            </w:pPr>
            <w:r w:rsidRPr="00337C3E">
              <w:t>3.22</w:t>
            </w:r>
          </w:p>
        </w:tc>
        <w:tc>
          <w:tcPr>
            <w:tcW w:w="894" w:type="dxa"/>
            <w:shd w:val="clear" w:color="auto" w:fill="DEEAF6" w:themeFill="accent5" w:themeFillTint="33"/>
            <w:vAlign w:val="center"/>
          </w:tcPr>
          <w:p w14:paraId="0F6E2634" w14:textId="3CEFFFA1" w:rsidR="00421C94" w:rsidRPr="00FA2A84" w:rsidDel="00F86573" w:rsidRDefault="00421C94" w:rsidP="005E3CFB">
            <w:pPr>
              <w:spacing w:before="40" w:after="40"/>
              <w:jc w:val="center"/>
              <w:rPr>
                <w:sz w:val="20"/>
                <w:szCs w:val="20"/>
              </w:rPr>
            </w:pPr>
            <w:r w:rsidRPr="00337C3E">
              <w:t>3.08</w:t>
            </w:r>
          </w:p>
        </w:tc>
        <w:tc>
          <w:tcPr>
            <w:tcW w:w="894" w:type="dxa"/>
            <w:shd w:val="clear" w:color="auto" w:fill="DEEAF6" w:themeFill="accent5" w:themeFillTint="33"/>
            <w:vAlign w:val="center"/>
          </w:tcPr>
          <w:p w14:paraId="0FBC5EF4" w14:textId="5E2E8892" w:rsidR="00421C94" w:rsidRPr="00FA2A84" w:rsidDel="00F86573" w:rsidRDefault="00421C94" w:rsidP="005E3CFB">
            <w:pPr>
              <w:spacing w:before="40" w:after="40"/>
              <w:jc w:val="center"/>
              <w:rPr>
                <w:sz w:val="20"/>
                <w:szCs w:val="20"/>
              </w:rPr>
            </w:pPr>
            <w:r w:rsidRPr="00337C3E">
              <w:t>3.21</w:t>
            </w:r>
          </w:p>
        </w:tc>
      </w:tr>
    </w:tbl>
    <w:p w14:paraId="59667D90" w14:textId="77777777" w:rsidR="008C7654" w:rsidRDefault="008C7654" w:rsidP="008C7654"/>
    <w:p w14:paraId="1D83FA16" w14:textId="77777777" w:rsidR="008C7654" w:rsidRDefault="008C7654" w:rsidP="008C7654"/>
    <w:p w14:paraId="7EA38701" w14:textId="70261664" w:rsidR="008C7654" w:rsidRDefault="008E7C09" w:rsidP="008C7654">
      <w:pPr>
        <w:pStyle w:val="Caption"/>
      </w:pPr>
      <w:bookmarkStart w:id="228" w:name="_Ref178590268"/>
      <w:r>
        <w:t xml:space="preserve">Table </w:t>
      </w:r>
      <w:r w:rsidR="00500110">
        <w:fldChar w:fldCharType="begin"/>
      </w:r>
      <w:r w:rsidR="00500110">
        <w:instrText xml:space="preserve"> SEQ Table \* ARABIC </w:instrText>
      </w:r>
      <w:r w:rsidR="00500110">
        <w:fldChar w:fldCharType="separate"/>
      </w:r>
      <w:r w:rsidR="00850DA1">
        <w:rPr>
          <w:noProof/>
        </w:rPr>
        <w:t>6</w:t>
      </w:r>
      <w:r w:rsidR="00500110">
        <w:rPr>
          <w:noProof/>
        </w:rPr>
        <w:fldChar w:fldCharType="end"/>
      </w:r>
      <w:bookmarkEnd w:id="228"/>
      <w:r>
        <w:t xml:space="preserve"> </w:t>
      </w:r>
      <w:r w:rsidR="008C7654" w:rsidRPr="00E531A4">
        <w:t xml:space="preserve">90%tile 2D positioning accuracy (meters) of PDP models using direct sample-based reporting or Rel-17 path-based reporting from seven different channel estimation algorithms for the {60%, 6m, 2m} InF-DH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8C7654"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8C7654" w:rsidRPr="00416C2F" w14:paraId="23F569B0" w14:textId="77777777">
        <w:tc>
          <w:tcPr>
            <w:tcW w:w="1846" w:type="dxa"/>
            <w:gridSpan w:val="3"/>
            <w:tcBorders>
              <w:right w:val="double" w:sz="4" w:space="0" w:color="auto"/>
            </w:tcBorders>
            <w:vAlign w:val="center"/>
          </w:tcPr>
          <w:p w14:paraId="627F3264" w14:textId="77777777" w:rsidR="008C7654" w:rsidRPr="00416C2F" w:rsidRDefault="008C7654">
            <w:pPr>
              <w:spacing w:before="40" w:after="40"/>
              <w:jc w:val="center"/>
              <w:rPr>
                <w:rFonts w:cs="Arial"/>
                <w:color w:val="000000"/>
                <w:sz w:val="20"/>
                <w:szCs w:val="20"/>
              </w:rPr>
            </w:pPr>
            <w:r w:rsidRPr="00416C2F">
              <w:rPr>
                <w:sz w:val="20"/>
                <w:szCs w:val="20"/>
              </w:rPr>
              <w:t>Test cases</w:t>
            </w:r>
          </w:p>
        </w:tc>
        <w:tc>
          <w:tcPr>
            <w:tcW w:w="8116" w:type="dxa"/>
            <w:gridSpan w:val="9"/>
            <w:tcBorders>
              <w:left w:val="double" w:sz="4" w:space="0" w:color="auto"/>
            </w:tcBorders>
            <w:vAlign w:val="center"/>
          </w:tcPr>
          <w:p w14:paraId="44BD0F01" w14:textId="77777777" w:rsidR="008C7654" w:rsidRPr="00416C2F" w:rsidRDefault="008C7654">
            <w:pPr>
              <w:spacing w:before="40" w:after="40"/>
              <w:jc w:val="center"/>
              <w:rPr>
                <w:rFonts w:cs="Arial"/>
                <w:color w:val="000000"/>
                <w:sz w:val="20"/>
                <w:szCs w:val="20"/>
              </w:rPr>
            </w:pPr>
            <w:r w:rsidRPr="00416C2F">
              <w:rPr>
                <w:sz w:val="20"/>
                <w:szCs w:val="20"/>
              </w:rPr>
              <w:t>90%tile 2D positioning errors [m] based on 100 MHz RS bandwidth</w:t>
            </w:r>
          </w:p>
        </w:tc>
      </w:tr>
      <w:tr w:rsidR="008C7654" w:rsidRPr="00416C2F" w14:paraId="571E34B5" w14:textId="77777777" w:rsidTr="00ED1FA9">
        <w:tc>
          <w:tcPr>
            <w:tcW w:w="615" w:type="dxa"/>
            <w:vMerge w:val="restart"/>
            <w:vAlign w:val="center"/>
          </w:tcPr>
          <w:p w14:paraId="18E453FD" w14:textId="77777777" w:rsidR="008C7654"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M</m:t>
                    </m:r>
                  </m:e>
                  <m:sub>
                    <m:r>
                      <w:rPr>
                        <w:rFonts w:ascii="Cambria Math" w:hAnsi="Cambria Math"/>
                        <w:sz w:val="20"/>
                        <w:szCs w:val="20"/>
                      </w:rPr>
                      <m:t>t</m:t>
                    </m:r>
                  </m:sub>
                </m:sSub>
              </m:oMath>
            </m:oMathPara>
          </w:p>
        </w:tc>
        <w:tc>
          <w:tcPr>
            <w:tcW w:w="615" w:type="dxa"/>
            <w:vMerge w:val="restart"/>
            <w:vAlign w:val="center"/>
          </w:tcPr>
          <w:p w14:paraId="0A76DC97" w14:textId="77777777" w:rsidR="008C7654" w:rsidRPr="00FA2A84" w:rsidRDefault="009C13C0">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6" w:type="dxa"/>
            <w:vMerge w:val="restart"/>
            <w:tcBorders>
              <w:right w:val="double" w:sz="4" w:space="0" w:color="auto"/>
            </w:tcBorders>
            <w:vAlign w:val="center"/>
          </w:tcPr>
          <w:p w14:paraId="0CF951DE" w14:textId="77777777" w:rsidR="008C7654" w:rsidRPr="00416C2F" w:rsidRDefault="009C13C0">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53C6704A" w14:textId="77777777" w:rsidR="008C7654" w:rsidRPr="00E16A91" w:rsidRDefault="008C7654">
            <w:pPr>
              <w:spacing w:before="40" w:after="40"/>
              <w:jc w:val="center"/>
              <w:rPr>
                <w:rFonts w:cs="Arial"/>
                <w:color w:val="000000"/>
                <w:sz w:val="18"/>
                <w:szCs w:val="18"/>
              </w:rPr>
            </w:pPr>
            <w:r w:rsidRPr="00E16A91">
              <w:rPr>
                <w:rFonts w:cs="Arial"/>
                <w:color w:val="000000"/>
                <w:sz w:val="18"/>
                <w:szCs w:val="18"/>
              </w:rPr>
              <w:t>Sample based signaling</w:t>
            </w:r>
          </w:p>
        </w:tc>
        <w:tc>
          <w:tcPr>
            <w:tcW w:w="7253" w:type="dxa"/>
            <w:gridSpan w:val="8"/>
            <w:tcBorders>
              <w:left w:val="double" w:sz="4" w:space="0" w:color="auto"/>
            </w:tcBorders>
            <w:vAlign w:val="center"/>
          </w:tcPr>
          <w:p w14:paraId="7ECE9B06" w14:textId="367EE6B0" w:rsidR="008C7654" w:rsidRPr="00416C2F" w:rsidRDefault="008C7654">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 w:val="20"/>
                  <w:szCs w:val="20"/>
                  <w:highlight w:val="yellow"/>
                </w:rPr>
                <m:t>δ=</m:t>
              </m:r>
            </m:oMath>
            <w:r w:rsidR="00421C94" w:rsidRPr="00643098">
              <w:rPr>
                <w:rFonts w:cs="Arial"/>
                <w:sz w:val="20"/>
                <w:szCs w:val="20"/>
                <w:highlight w:val="yellow"/>
              </w:rPr>
              <w:t>3</w:t>
            </w:r>
          </w:p>
        </w:tc>
      </w:tr>
      <w:tr w:rsidR="008C7654" w:rsidRPr="00416C2F" w14:paraId="07803873" w14:textId="77777777" w:rsidTr="00ED1FA9">
        <w:tc>
          <w:tcPr>
            <w:tcW w:w="615" w:type="dxa"/>
            <w:vMerge/>
            <w:vAlign w:val="center"/>
          </w:tcPr>
          <w:p w14:paraId="3CD8E396" w14:textId="77777777" w:rsidR="008C7654" w:rsidRPr="00416C2F" w:rsidRDefault="008C7654">
            <w:pPr>
              <w:spacing w:before="40" w:after="40"/>
              <w:jc w:val="center"/>
              <w:rPr>
                <w:rFonts w:cs="Arial"/>
                <w:color w:val="000000"/>
                <w:sz w:val="20"/>
                <w:szCs w:val="20"/>
              </w:rPr>
            </w:pPr>
          </w:p>
        </w:tc>
        <w:tc>
          <w:tcPr>
            <w:tcW w:w="615" w:type="dxa"/>
            <w:vMerge/>
            <w:vAlign w:val="center"/>
          </w:tcPr>
          <w:p w14:paraId="679FD78B" w14:textId="77777777" w:rsidR="008C7654" w:rsidRPr="00FA2A84" w:rsidRDefault="008C7654">
            <w:pPr>
              <w:spacing w:before="40" w:after="40"/>
              <w:jc w:val="center"/>
              <w:rPr>
                <w:rFonts w:cs="Arial"/>
                <w:color w:val="000000"/>
                <w:sz w:val="20"/>
                <w:szCs w:val="20"/>
              </w:rPr>
            </w:pPr>
          </w:p>
        </w:tc>
        <w:tc>
          <w:tcPr>
            <w:tcW w:w="616" w:type="dxa"/>
            <w:vMerge/>
            <w:tcBorders>
              <w:right w:val="double" w:sz="4" w:space="0" w:color="auto"/>
            </w:tcBorders>
            <w:vAlign w:val="center"/>
          </w:tcPr>
          <w:p w14:paraId="7A1CD878" w14:textId="77777777" w:rsidR="008C7654" w:rsidRPr="00416C2F" w:rsidRDefault="008C7654">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3FA95FCA" w14:textId="77777777" w:rsidR="008C7654" w:rsidRPr="00416C2F" w:rsidRDefault="008C7654">
            <w:pPr>
              <w:spacing w:before="40" w:after="40"/>
              <w:jc w:val="center"/>
              <w:rPr>
                <w:rFonts w:cs="Arial"/>
                <w:color w:val="000000"/>
                <w:sz w:val="20"/>
                <w:szCs w:val="20"/>
              </w:rPr>
            </w:pPr>
          </w:p>
        </w:tc>
        <w:tc>
          <w:tcPr>
            <w:tcW w:w="995" w:type="dxa"/>
            <w:vMerge w:val="restart"/>
            <w:tcBorders>
              <w:left w:val="double" w:sz="4" w:space="0" w:color="auto"/>
            </w:tcBorders>
            <w:vAlign w:val="center"/>
          </w:tcPr>
          <w:p w14:paraId="5FCCAD4F" w14:textId="77777777" w:rsidR="008C7654" w:rsidRPr="00E16A91" w:rsidRDefault="008C7654">
            <w:pPr>
              <w:spacing w:before="40" w:after="40"/>
              <w:jc w:val="center"/>
              <w:rPr>
                <w:rFonts w:cs="Arial"/>
                <w:color w:val="000000"/>
                <w:sz w:val="18"/>
                <w:szCs w:val="18"/>
              </w:rPr>
            </w:pPr>
            <w:r w:rsidRPr="00E16A91">
              <w:rPr>
                <w:sz w:val="18"/>
                <w:szCs w:val="18"/>
              </w:rPr>
              <w:t>Average across estimators</w:t>
            </w:r>
          </w:p>
        </w:tc>
        <w:tc>
          <w:tcPr>
            <w:tcW w:w="6258" w:type="dxa"/>
            <w:gridSpan w:val="7"/>
            <w:vAlign w:val="center"/>
          </w:tcPr>
          <w:p w14:paraId="4A21A33D" w14:textId="798B055F" w:rsidR="008C7654" w:rsidRPr="00416C2F" w:rsidRDefault="008C7654">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τ</m:t>
                      </m:r>
                    </m:e>
                  </m:acc>
                </m:e>
                <m:sub>
                  <m:r>
                    <w:rPr>
                      <w:rFonts w:ascii="Cambria Math" w:hAnsi="Cambria Math"/>
                      <w:sz w:val="20"/>
                      <w:szCs w:val="20"/>
                    </w:rPr>
                    <m:t>1</m:t>
                  </m:r>
                </m:sub>
              </m:sSub>
            </m:oMath>
          </w:p>
        </w:tc>
      </w:tr>
      <w:tr w:rsidR="008C7654" w:rsidRPr="00416C2F" w14:paraId="3D78ABF6" w14:textId="77777777" w:rsidTr="00ED1FA9">
        <w:tc>
          <w:tcPr>
            <w:tcW w:w="615" w:type="dxa"/>
            <w:vMerge/>
            <w:tcBorders>
              <w:bottom w:val="double" w:sz="4" w:space="0" w:color="auto"/>
            </w:tcBorders>
            <w:vAlign w:val="center"/>
          </w:tcPr>
          <w:p w14:paraId="5D024CB9"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3C4630D8" w14:textId="77777777" w:rsidR="008C7654" w:rsidRPr="00FA2A84" w:rsidRDefault="008C7654">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6BCCADED" w14:textId="77777777" w:rsidR="008C7654" w:rsidRPr="00416C2F" w:rsidRDefault="008C7654">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263946AC" w14:textId="77777777" w:rsidR="008C7654" w:rsidRPr="00416C2F" w:rsidRDefault="008C7654">
            <w:pPr>
              <w:spacing w:before="40" w:after="40"/>
              <w:jc w:val="center"/>
              <w:rPr>
                <w:rFonts w:cs="Arial"/>
                <w:color w:val="000000"/>
                <w:sz w:val="20"/>
                <w:szCs w:val="20"/>
              </w:rPr>
            </w:pPr>
          </w:p>
        </w:tc>
        <w:tc>
          <w:tcPr>
            <w:tcW w:w="995" w:type="dxa"/>
            <w:vMerge/>
            <w:tcBorders>
              <w:left w:val="double" w:sz="4" w:space="0" w:color="auto"/>
              <w:bottom w:val="double" w:sz="4" w:space="0" w:color="auto"/>
            </w:tcBorders>
            <w:vAlign w:val="center"/>
          </w:tcPr>
          <w:p w14:paraId="7E590BC6" w14:textId="77777777" w:rsidR="008C7654" w:rsidRPr="00416C2F" w:rsidRDefault="008C7654">
            <w:pPr>
              <w:spacing w:before="40" w:after="40"/>
              <w:jc w:val="center"/>
              <w:rPr>
                <w:rFonts w:cs="Arial"/>
                <w:color w:val="000000"/>
                <w:sz w:val="20"/>
                <w:szCs w:val="20"/>
              </w:rPr>
            </w:pPr>
          </w:p>
        </w:tc>
        <w:tc>
          <w:tcPr>
            <w:tcW w:w="894" w:type="dxa"/>
            <w:tcBorders>
              <w:bottom w:val="double" w:sz="4" w:space="0" w:color="auto"/>
            </w:tcBorders>
            <w:vAlign w:val="center"/>
          </w:tcPr>
          <w:p w14:paraId="39259C39" w14:textId="77777777" w:rsidR="008C7654" w:rsidRPr="00416C2F" w:rsidRDefault="008C7654">
            <w:pPr>
              <w:spacing w:before="40" w:after="40"/>
              <w:jc w:val="center"/>
              <w:rPr>
                <w:rFonts w:cs="Arial"/>
                <w:color w:val="000000"/>
                <w:sz w:val="20"/>
                <w:szCs w:val="20"/>
              </w:rPr>
            </w:pPr>
            <w:r w:rsidRPr="00FA2A84">
              <w:rPr>
                <w:sz w:val="20"/>
                <w:szCs w:val="20"/>
              </w:rPr>
              <w:t>G</w:t>
            </w:r>
          </w:p>
        </w:tc>
        <w:tc>
          <w:tcPr>
            <w:tcW w:w="894" w:type="dxa"/>
            <w:tcBorders>
              <w:bottom w:val="double" w:sz="4" w:space="0" w:color="auto"/>
            </w:tcBorders>
            <w:vAlign w:val="center"/>
          </w:tcPr>
          <w:p w14:paraId="72E702C2" w14:textId="77777777" w:rsidR="008C7654" w:rsidRPr="00416C2F" w:rsidRDefault="008C7654">
            <w:pPr>
              <w:spacing w:before="40" w:after="40"/>
              <w:jc w:val="center"/>
              <w:rPr>
                <w:rFonts w:cs="Arial"/>
                <w:color w:val="000000"/>
                <w:sz w:val="20"/>
                <w:szCs w:val="20"/>
              </w:rPr>
            </w:pPr>
            <w:r w:rsidRPr="00FA2A84">
              <w:rPr>
                <w:sz w:val="20"/>
                <w:szCs w:val="20"/>
              </w:rPr>
              <w:t>F</w:t>
            </w:r>
          </w:p>
        </w:tc>
        <w:tc>
          <w:tcPr>
            <w:tcW w:w="894" w:type="dxa"/>
            <w:tcBorders>
              <w:bottom w:val="double" w:sz="4" w:space="0" w:color="auto"/>
            </w:tcBorders>
            <w:vAlign w:val="center"/>
          </w:tcPr>
          <w:p w14:paraId="2361B454" w14:textId="77777777" w:rsidR="008C7654" w:rsidRPr="00416C2F" w:rsidRDefault="008C7654">
            <w:pPr>
              <w:spacing w:before="40" w:after="40"/>
              <w:jc w:val="center"/>
              <w:rPr>
                <w:rFonts w:cs="Arial"/>
                <w:color w:val="000000"/>
                <w:sz w:val="20"/>
                <w:szCs w:val="20"/>
              </w:rPr>
            </w:pPr>
            <w:r w:rsidRPr="00FA2A84">
              <w:rPr>
                <w:sz w:val="20"/>
                <w:szCs w:val="20"/>
              </w:rPr>
              <w:t>E</w:t>
            </w:r>
          </w:p>
        </w:tc>
        <w:tc>
          <w:tcPr>
            <w:tcW w:w="894" w:type="dxa"/>
            <w:tcBorders>
              <w:bottom w:val="double" w:sz="4" w:space="0" w:color="auto"/>
            </w:tcBorders>
            <w:vAlign w:val="center"/>
          </w:tcPr>
          <w:p w14:paraId="764FCB10" w14:textId="77777777" w:rsidR="008C7654" w:rsidRPr="00416C2F" w:rsidRDefault="008C7654">
            <w:pPr>
              <w:spacing w:before="40" w:after="40"/>
              <w:jc w:val="center"/>
              <w:rPr>
                <w:rFonts w:cs="Arial"/>
                <w:color w:val="000000"/>
                <w:sz w:val="20"/>
                <w:szCs w:val="20"/>
              </w:rPr>
            </w:pPr>
            <w:r w:rsidRPr="00FA2A84">
              <w:rPr>
                <w:sz w:val="20"/>
                <w:szCs w:val="20"/>
              </w:rPr>
              <w:t>D</w:t>
            </w:r>
          </w:p>
        </w:tc>
        <w:tc>
          <w:tcPr>
            <w:tcW w:w="894" w:type="dxa"/>
            <w:tcBorders>
              <w:bottom w:val="double" w:sz="4" w:space="0" w:color="auto"/>
            </w:tcBorders>
            <w:vAlign w:val="center"/>
          </w:tcPr>
          <w:p w14:paraId="6E2E08C4" w14:textId="77777777" w:rsidR="008C7654" w:rsidRPr="00416C2F" w:rsidRDefault="008C7654">
            <w:pPr>
              <w:spacing w:before="40" w:after="40"/>
              <w:jc w:val="center"/>
              <w:rPr>
                <w:rFonts w:cs="Arial"/>
                <w:color w:val="000000"/>
                <w:sz w:val="20"/>
                <w:szCs w:val="20"/>
              </w:rPr>
            </w:pPr>
            <w:r w:rsidRPr="00FA2A84">
              <w:rPr>
                <w:sz w:val="20"/>
                <w:szCs w:val="20"/>
              </w:rPr>
              <w:t>C</w:t>
            </w:r>
          </w:p>
        </w:tc>
        <w:tc>
          <w:tcPr>
            <w:tcW w:w="894" w:type="dxa"/>
            <w:tcBorders>
              <w:bottom w:val="double" w:sz="4" w:space="0" w:color="auto"/>
            </w:tcBorders>
            <w:vAlign w:val="center"/>
          </w:tcPr>
          <w:p w14:paraId="77132D07" w14:textId="77777777" w:rsidR="008C7654" w:rsidRPr="00416C2F" w:rsidRDefault="008C7654">
            <w:pPr>
              <w:spacing w:before="40" w:after="40"/>
              <w:jc w:val="center"/>
              <w:rPr>
                <w:rFonts w:cs="Arial"/>
                <w:color w:val="000000"/>
                <w:sz w:val="20"/>
                <w:szCs w:val="20"/>
              </w:rPr>
            </w:pPr>
            <w:r w:rsidRPr="00FA2A84">
              <w:rPr>
                <w:sz w:val="20"/>
                <w:szCs w:val="20"/>
              </w:rPr>
              <w:t>B</w:t>
            </w:r>
          </w:p>
        </w:tc>
        <w:tc>
          <w:tcPr>
            <w:tcW w:w="894" w:type="dxa"/>
            <w:tcBorders>
              <w:bottom w:val="double" w:sz="4" w:space="0" w:color="auto"/>
            </w:tcBorders>
            <w:vAlign w:val="center"/>
          </w:tcPr>
          <w:p w14:paraId="35B3600D" w14:textId="77777777" w:rsidR="008C7654" w:rsidRPr="00416C2F" w:rsidRDefault="008C7654">
            <w:pPr>
              <w:spacing w:before="40" w:after="40"/>
              <w:jc w:val="center"/>
              <w:rPr>
                <w:rFonts w:cs="Arial"/>
                <w:color w:val="000000"/>
                <w:sz w:val="20"/>
                <w:szCs w:val="20"/>
              </w:rPr>
            </w:pPr>
            <w:r w:rsidRPr="00FA2A84">
              <w:rPr>
                <w:sz w:val="20"/>
                <w:szCs w:val="20"/>
              </w:rPr>
              <w:t>A</w:t>
            </w:r>
          </w:p>
        </w:tc>
      </w:tr>
      <w:tr w:rsidR="00B54521" w:rsidRPr="00416C2F" w14:paraId="45D25C4E" w14:textId="77777777" w:rsidTr="00ED1FA9">
        <w:tc>
          <w:tcPr>
            <w:tcW w:w="615" w:type="dxa"/>
            <w:vMerge w:val="restart"/>
            <w:tcBorders>
              <w:top w:val="double" w:sz="4" w:space="0" w:color="auto"/>
            </w:tcBorders>
            <w:vAlign w:val="center"/>
          </w:tcPr>
          <w:p w14:paraId="5969E305" w14:textId="77777777" w:rsidR="008C7654" w:rsidRPr="00416C2F" w:rsidRDefault="008C7654">
            <w:pPr>
              <w:spacing w:before="40" w:after="40"/>
              <w:jc w:val="center"/>
              <w:rPr>
                <w:rFonts w:cs="Arial"/>
                <w:color w:val="000000"/>
                <w:sz w:val="20"/>
                <w:szCs w:val="20"/>
              </w:rPr>
            </w:pPr>
            <w:r w:rsidRPr="00FA2A84">
              <w:rPr>
                <w:sz w:val="20"/>
                <w:szCs w:val="20"/>
              </w:rPr>
              <w:t>128</w:t>
            </w:r>
          </w:p>
        </w:tc>
        <w:tc>
          <w:tcPr>
            <w:tcW w:w="615" w:type="dxa"/>
            <w:vMerge w:val="restart"/>
            <w:tcBorders>
              <w:top w:val="double" w:sz="4" w:space="0" w:color="auto"/>
            </w:tcBorders>
            <w:vAlign w:val="center"/>
          </w:tcPr>
          <w:p w14:paraId="4E370ACF" w14:textId="77777777" w:rsidR="008C7654" w:rsidRPr="00FA2A84" w:rsidRDefault="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30A698CB" w14:textId="77777777" w:rsidR="008C7654" w:rsidRPr="00337C3E" w:rsidRDefault="008C7654">
            <w:pPr>
              <w:spacing w:before="40" w:after="40"/>
              <w:jc w:val="center"/>
              <w:rPr>
                <w:sz w:val="20"/>
                <w:szCs w:val="20"/>
              </w:rPr>
            </w:pPr>
            <w:r w:rsidRPr="00FA2A84">
              <w:rPr>
                <w:sz w:val="20"/>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02406550" w14:textId="3D64BAAA" w:rsidR="008C7654" w:rsidRPr="00337C3E" w:rsidRDefault="00421C94">
            <w:pPr>
              <w:spacing w:before="40" w:after="40"/>
              <w:jc w:val="center"/>
              <w:rPr>
                <w:sz w:val="20"/>
                <w:szCs w:val="20"/>
              </w:rPr>
            </w:pPr>
            <w:r w:rsidRPr="00337C3E">
              <w:t>1.91</w:t>
            </w:r>
          </w:p>
        </w:tc>
        <w:tc>
          <w:tcPr>
            <w:tcW w:w="995" w:type="dxa"/>
            <w:tcBorders>
              <w:top w:val="double" w:sz="4" w:space="0" w:color="auto"/>
              <w:left w:val="double" w:sz="4" w:space="0" w:color="auto"/>
            </w:tcBorders>
            <w:vAlign w:val="center"/>
          </w:tcPr>
          <w:p w14:paraId="7B7B5F10" w14:textId="5C59E598" w:rsidR="008C7654" w:rsidRPr="00FA2A84" w:rsidRDefault="00421C94">
            <w:pPr>
              <w:spacing w:before="40" w:after="40"/>
              <w:jc w:val="center"/>
              <w:rPr>
                <w:sz w:val="20"/>
                <w:szCs w:val="20"/>
              </w:rPr>
            </w:pPr>
            <w:r w:rsidRPr="00337C3E">
              <w:t>1.97</w:t>
            </w:r>
          </w:p>
        </w:tc>
        <w:tc>
          <w:tcPr>
            <w:tcW w:w="894" w:type="dxa"/>
            <w:tcBorders>
              <w:top w:val="double" w:sz="4" w:space="0" w:color="auto"/>
            </w:tcBorders>
            <w:vAlign w:val="center"/>
          </w:tcPr>
          <w:p w14:paraId="46FAE113" w14:textId="7FC9F040" w:rsidR="008C7654" w:rsidRPr="00FA2A84" w:rsidRDefault="00421C94">
            <w:pPr>
              <w:spacing w:before="40" w:after="40"/>
              <w:jc w:val="center"/>
              <w:rPr>
                <w:sz w:val="20"/>
                <w:szCs w:val="20"/>
              </w:rPr>
            </w:pPr>
            <w:r w:rsidRPr="00337C3E">
              <w:t>1.95</w:t>
            </w:r>
          </w:p>
        </w:tc>
        <w:tc>
          <w:tcPr>
            <w:tcW w:w="894" w:type="dxa"/>
            <w:tcBorders>
              <w:top w:val="double" w:sz="4" w:space="0" w:color="auto"/>
            </w:tcBorders>
            <w:vAlign w:val="center"/>
          </w:tcPr>
          <w:p w14:paraId="219974D7" w14:textId="0112C702" w:rsidR="008C7654" w:rsidRPr="00FA2A84" w:rsidRDefault="00421C94">
            <w:pPr>
              <w:spacing w:before="40" w:after="40"/>
              <w:jc w:val="center"/>
              <w:rPr>
                <w:sz w:val="20"/>
                <w:szCs w:val="20"/>
              </w:rPr>
            </w:pPr>
            <w:r w:rsidRPr="00337C3E">
              <w:t>1.98</w:t>
            </w:r>
          </w:p>
        </w:tc>
        <w:tc>
          <w:tcPr>
            <w:tcW w:w="894" w:type="dxa"/>
            <w:tcBorders>
              <w:top w:val="double" w:sz="4" w:space="0" w:color="auto"/>
            </w:tcBorders>
            <w:vAlign w:val="center"/>
          </w:tcPr>
          <w:p w14:paraId="172414E7" w14:textId="48693FAA" w:rsidR="008C7654" w:rsidRPr="00FA2A84" w:rsidRDefault="00421C94">
            <w:pPr>
              <w:spacing w:before="40" w:after="40"/>
              <w:jc w:val="center"/>
              <w:rPr>
                <w:sz w:val="20"/>
                <w:szCs w:val="20"/>
              </w:rPr>
            </w:pPr>
            <w:r w:rsidRPr="00337C3E">
              <w:t>1.95</w:t>
            </w:r>
          </w:p>
        </w:tc>
        <w:tc>
          <w:tcPr>
            <w:tcW w:w="894" w:type="dxa"/>
            <w:tcBorders>
              <w:top w:val="double" w:sz="4" w:space="0" w:color="auto"/>
            </w:tcBorders>
            <w:vAlign w:val="center"/>
          </w:tcPr>
          <w:p w14:paraId="5E42AF9E" w14:textId="08BC2F7C" w:rsidR="008C7654" w:rsidRPr="00FA2A84" w:rsidRDefault="00421C94">
            <w:pPr>
              <w:spacing w:before="40" w:after="40"/>
              <w:jc w:val="center"/>
              <w:rPr>
                <w:sz w:val="20"/>
                <w:szCs w:val="20"/>
              </w:rPr>
            </w:pPr>
            <w:r w:rsidRPr="00337C3E">
              <w:t>1.93</w:t>
            </w:r>
          </w:p>
        </w:tc>
        <w:tc>
          <w:tcPr>
            <w:tcW w:w="894" w:type="dxa"/>
            <w:tcBorders>
              <w:top w:val="double" w:sz="4" w:space="0" w:color="auto"/>
            </w:tcBorders>
            <w:vAlign w:val="center"/>
          </w:tcPr>
          <w:p w14:paraId="3F582819" w14:textId="36765501" w:rsidR="008C7654" w:rsidRPr="00FA2A84" w:rsidRDefault="00421C94">
            <w:pPr>
              <w:spacing w:before="40" w:after="40"/>
              <w:jc w:val="center"/>
              <w:rPr>
                <w:sz w:val="20"/>
                <w:szCs w:val="20"/>
              </w:rPr>
            </w:pPr>
            <w:r w:rsidRPr="00337C3E">
              <w:t>2.08</w:t>
            </w:r>
          </w:p>
        </w:tc>
        <w:tc>
          <w:tcPr>
            <w:tcW w:w="894" w:type="dxa"/>
            <w:tcBorders>
              <w:top w:val="double" w:sz="4" w:space="0" w:color="auto"/>
            </w:tcBorders>
            <w:vAlign w:val="center"/>
          </w:tcPr>
          <w:p w14:paraId="34072FE8" w14:textId="74A7E09A" w:rsidR="008C7654" w:rsidRPr="00FA2A84" w:rsidRDefault="00421C94">
            <w:pPr>
              <w:spacing w:before="40" w:after="40"/>
              <w:jc w:val="center"/>
              <w:rPr>
                <w:sz w:val="20"/>
                <w:szCs w:val="20"/>
              </w:rPr>
            </w:pPr>
            <w:r w:rsidRPr="00337C3E">
              <w:t>1.92</w:t>
            </w:r>
          </w:p>
        </w:tc>
        <w:tc>
          <w:tcPr>
            <w:tcW w:w="894" w:type="dxa"/>
            <w:tcBorders>
              <w:top w:val="double" w:sz="4" w:space="0" w:color="auto"/>
            </w:tcBorders>
            <w:vAlign w:val="center"/>
          </w:tcPr>
          <w:p w14:paraId="12C5B58B" w14:textId="67605A98" w:rsidR="008C7654" w:rsidRPr="00FA2A84" w:rsidRDefault="00421C94">
            <w:pPr>
              <w:spacing w:before="40" w:after="40"/>
              <w:jc w:val="center"/>
              <w:rPr>
                <w:sz w:val="20"/>
                <w:szCs w:val="20"/>
              </w:rPr>
            </w:pPr>
            <w:r w:rsidRPr="00337C3E">
              <w:t>1.99</w:t>
            </w:r>
          </w:p>
        </w:tc>
      </w:tr>
      <w:tr w:rsidR="00C87D4C" w:rsidRPr="00416C2F" w14:paraId="49C42828" w14:textId="77777777" w:rsidTr="00ED1FA9">
        <w:tc>
          <w:tcPr>
            <w:tcW w:w="615" w:type="dxa"/>
            <w:vMerge/>
            <w:vAlign w:val="center"/>
          </w:tcPr>
          <w:p w14:paraId="322BE8C4" w14:textId="77777777" w:rsidR="008C7654" w:rsidRPr="00416C2F" w:rsidRDefault="008C7654">
            <w:pPr>
              <w:spacing w:before="40" w:after="40"/>
              <w:jc w:val="center"/>
              <w:rPr>
                <w:rFonts w:cs="Arial"/>
                <w:color w:val="000000"/>
                <w:sz w:val="20"/>
                <w:szCs w:val="20"/>
              </w:rPr>
            </w:pPr>
          </w:p>
        </w:tc>
        <w:tc>
          <w:tcPr>
            <w:tcW w:w="615" w:type="dxa"/>
            <w:vMerge/>
            <w:vAlign w:val="center"/>
          </w:tcPr>
          <w:p w14:paraId="598D652B" w14:textId="77777777" w:rsidR="008C7654" w:rsidRPr="00FA2A84" w:rsidRDefault="008C7654">
            <w:pPr>
              <w:spacing w:before="40" w:after="40"/>
              <w:jc w:val="center"/>
              <w:rPr>
                <w:rFonts w:cs="Arial"/>
                <w:color w:val="000000"/>
                <w:sz w:val="20"/>
                <w:szCs w:val="20"/>
              </w:rPr>
            </w:pPr>
          </w:p>
        </w:tc>
        <w:tc>
          <w:tcPr>
            <w:tcW w:w="616" w:type="dxa"/>
            <w:tcBorders>
              <w:right w:val="double" w:sz="4" w:space="0" w:color="auto"/>
            </w:tcBorders>
            <w:vAlign w:val="center"/>
          </w:tcPr>
          <w:p w14:paraId="206F04C8" w14:textId="77777777" w:rsidR="008C7654" w:rsidRPr="00337C3E" w:rsidRDefault="008C7654">
            <w:pPr>
              <w:spacing w:before="40" w:after="40"/>
              <w:jc w:val="center"/>
              <w:rPr>
                <w:sz w:val="20"/>
                <w:szCs w:val="20"/>
              </w:rPr>
            </w:pPr>
            <w:r w:rsidRPr="00FA2A84">
              <w:rPr>
                <w:sz w:val="20"/>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5E171E2F" w14:textId="77777777" w:rsidR="008C7654" w:rsidRPr="00337C3E" w:rsidRDefault="008C7654">
            <w:pPr>
              <w:spacing w:before="40" w:after="40"/>
              <w:jc w:val="center"/>
              <w:rPr>
                <w:sz w:val="20"/>
                <w:szCs w:val="20"/>
              </w:rPr>
            </w:pPr>
          </w:p>
        </w:tc>
        <w:tc>
          <w:tcPr>
            <w:tcW w:w="995" w:type="dxa"/>
            <w:tcBorders>
              <w:left w:val="double" w:sz="4" w:space="0" w:color="auto"/>
            </w:tcBorders>
            <w:vAlign w:val="center"/>
          </w:tcPr>
          <w:p w14:paraId="37EDCD63" w14:textId="768073B9" w:rsidR="008C7654" w:rsidRPr="00FA2A84" w:rsidRDefault="00421C94">
            <w:pPr>
              <w:spacing w:before="40" w:after="40"/>
              <w:jc w:val="center"/>
              <w:rPr>
                <w:sz w:val="20"/>
                <w:szCs w:val="20"/>
              </w:rPr>
            </w:pPr>
            <w:r w:rsidRPr="00337C3E">
              <w:t>2.29</w:t>
            </w:r>
          </w:p>
        </w:tc>
        <w:tc>
          <w:tcPr>
            <w:tcW w:w="894" w:type="dxa"/>
            <w:vAlign w:val="center"/>
          </w:tcPr>
          <w:p w14:paraId="38ED206A" w14:textId="38E47FBC" w:rsidR="008C7654" w:rsidRPr="00FA2A84" w:rsidRDefault="00421C94">
            <w:pPr>
              <w:spacing w:before="40" w:after="40"/>
              <w:jc w:val="center"/>
              <w:rPr>
                <w:sz w:val="20"/>
                <w:szCs w:val="20"/>
              </w:rPr>
            </w:pPr>
            <w:r w:rsidRPr="00337C3E">
              <w:t>2.25</w:t>
            </w:r>
          </w:p>
        </w:tc>
        <w:tc>
          <w:tcPr>
            <w:tcW w:w="894" w:type="dxa"/>
            <w:vAlign w:val="center"/>
          </w:tcPr>
          <w:p w14:paraId="7C0146FD" w14:textId="31052F22" w:rsidR="008C7654" w:rsidRPr="00FA2A84" w:rsidRDefault="00421C94">
            <w:pPr>
              <w:spacing w:before="40" w:after="40"/>
              <w:jc w:val="center"/>
              <w:rPr>
                <w:sz w:val="20"/>
                <w:szCs w:val="20"/>
              </w:rPr>
            </w:pPr>
            <w:r w:rsidRPr="00337C3E">
              <w:t>2.34</w:t>
            </w:r>
          </w:p>
        </w:tc>
        <w:tc>
          <w:tcPr>
            <w:tcW w:w="894" w:type="dxa"/>
            <w:vAlign w:val="center"/>
          </w:tcPr>
          <w:p w14:paraId="580D58DC" w14:textId="2EEDEB0B" w:rsidR="008C7654" w:rsidRPr="00FA2A84" w:rsidRDefault="00421C94">
            <w:pPr>
              <w:spacing w:before="40" w:after="40"/>
              <w:jc w:val="center"/>
              <w:rPr>
                <w:sz w:val="20"/>
                <w:szCs w:val="20"/>
              </w:rPr>
            </w:pPr>
            <w:r w:rsidRPr="00337C3E">
              <w:t>2.22</w:t>
            </w:r>
          </w:p>
        </w:tc>
        <w:tc>
          <w:tcPr>
            <w:tcW w:w="894" w:type="dxa"/>
            <w:vAlign w:val="center"/>
          </w:tcPr>
          <w:p w14:paraId="1316E0FE" w14:textId="785EC79B" w:rsidR="008C7654" w:rsidRPr="00FA2A84" w:rsidRDefault="00421C94">
            <w:pPr>
              <w:spacing w:before="40" w:after="40"/>
              <w:jc w:val="center"/>
              <w:rPr>
                <w:sz w:val="20"/>
                <w:szCs w:val="20"/>
              </w:rPr>
            </w:pPr>
            <w:r w:rsidRPr="00337C3E">
              <w:t>2.32</w:t>
            </w:r>
          </w:p>
        </w:tc>
        <w:tc>
          <w:tcPr>
            <w:tcW w:w="894" w:type="dxa"/>
            <w:vAlign w:val="center"/>
          </w:tcPr>
          <w:p w14:paraId="6FC2276B" w14:textId="671C7181" w:rsidR="008C7654" w:rsidRPr="00FA2A84" w:rsidRDefault="00421C94">
            <w:pPr>
              <w:spacing w:before="40" w:after="40"/>
              <w:jc w:val="center"/>
              <w:rPr>
                <w:sz w:val="20"/>
                <w:szCs w:val="20"/>
              </w:rPr>
            </w:pPr>
            <w:r w:rsidRPr="00337C3E">
              <w:t>2.22</w:t>
            </w:r>
          </w:p>
        </w:tc>
        <w:tc>
          <w:tcPr>
            <w:tcW w:w="894" w:type="dxa"/>
            <w:vAlign w:val="center"/>
          </w:tcPr>
          <w:p w14:paraId="066F2817" w14:textId="493B46CB" w:rsidR="008C7654" w:rsidRPr="00FA2A84" w:rsidRDefault="00421C94">
            <w:pPr>
              <w:spacing w:before="40" w:after="40"/>
              <w:jc w:val="center"/>
              <w:rPr>
                <w:sz w:val="20"/>
                <w:szCs w:val="20"/>
              </w:rPr>
            </w:pPr>
            <w:r w:rsidRPr="00337C3E">
              <w:t>2.27</w:t>
            </w:r>
          </w:p>
        </w:tc>
        <w:tc>
          <w:tcPr>
            <w:tcW w:w="894" w:type="dxa"/>
            <w:vAlign w:val="center"/>
          </w:tcPr>
          <w:p w14:paraId="7161A357" w14:textId="0217A6ED" w:rsidR="008C7654" w:rsidRPr="00FA2A84" w:rsidRDefault="00421C94">
            <w:pPr>
              <w:spacing w:before="40" w:after="40"/>
              <w:jc w:val="center"/>
              <w:rPr>
                <w:sz w:val="20"/>
                <w:szCs w:val="20"/>
              </w:rPr>
            </w:pPr>
            <w:r w:rsidRPr="00337C3E">
              <w:t>2.38</w:t>
            </w:r>
          </w:p>
        </w:tc>
      </w:tr>
      <w:tr w:rsidR="00B54521" w:rsidRPr="00416C2F" w14:paraId="13422B10" w14:textId="77777777" w:rsidTr="00ED1FA9">
        <w:tc>
          <w:tcPr>
            <w:tcW w:w="615" w:type="dxa"/>
            <w:vMerge/>
            <w:tcBorders>
              <w:bottom w:val="double" w:sz="4" w:space="0" w:color="auto"/>
            </w:tcBorders>
            <w:vAlign w:val="center"/>
          </w:tcPr>
          <w:p w14:paraId="05456193"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51BCEC1D" w14:textId="77777777" w:rsidR="008C7654" w:rsidRPr="00FA2A84" w:rsidRDefault="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7BAF8B7" w14:textId="77777777" w:rsidR="008C7654" w:rsidRPr="00337C3E" w:rsidRDefault="008C7654">
            <w:pPr>
              <w:spacing w:before="40" w:after="40"/>
              <w:jc w:val="center"/>
              <w:rPr>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AE458B3" w14:textId="77777777" w:rsidR="008C7654" w:rsidRPr="00337C3E" w:rsidRDefault="008C7654">
            <w:pPr>
              <w:spacing w:before="40" w:after="40"/>
              <w:jc w:val="center"/>
              <w:rPr>
                <w:sz w:val="20"/>
                <w:szCs w:val="20"/>
              </w:rPr>
            </w:pPr>
          </w:p>
        </w:tc>
        <w:tc>
          <w:tcPr>
            <w:tcW w:w="995" w:type="dxa"/>
            <w:tcBorders>
              <w:left w:val="double" w:sz="4" w:space="0" w:color="auto"/>
              <w:bottom w:val="double" w:sz="4" w:space="0" w:color="auto"/>
            </w:tcBorders>
            <w:vAlign w:val="center"/>
          </w:tcPr>
          <w:p w14:paraId="652BAB29" w14:textId="606B8905" w:rsidR="008C7654" w:rsidRPr="00FA2A84" w:rsidRDefault="00421C94">
            <w:pPr>
              <w:spacing w:before="40" w:after="40"/>
              <w:jc w:val="center"/>
              <w:rPr>
                <w:sz w:val="20"/>
                <w:szCs w:val="20"/>
              </w:rPr>
            </w:pPr>
            <w:r w:rsidRPr="00337C3E">
              <w:t>2.77</w:t>
            </w:r>
          </w:p>
        </w:tc>
        <w:tc>
          <w:tcPr>
            <w:tcW w:w="894" w:type="dxa"/>
            <w:tcBorders>
              <w:bottom w:val="double" w:sz="4" w:space="0" w:color="auto"/>
            </w:tcBorders>
            <w:vAlign w:val="center"/>
          </w:tcPr>
          <w:p w14:paraId="57521F75" w14:textId="18746421" w:rsidR="008C7654" w:rsidRPr="00FA2A84" w:rsidRDefault="00421C94">
            <w:pPr>
              <w:spacing w:before="40" w:after="40"/>
              <w:jc w:val="center"/>
              <w:rPr>
                <w:sz w:val="20"/>
                <w:szCs w:val="20"/>
              </w:rPr>
            </w:pPr>
            <w:r w:rsidRPr="00337C3E">
              <w:t>2.82</w:t>
            </w:r>
          </w:p>
        </w:tc>
        <w:tc>
          <w:tcPr>
            <w:tcW w:w="894" w:type="dxa"/>
            <w:tcBorders>
              <w:bottom w:val="double" w:sz="4" w:space="0" w:color="auto"/>
            </w:tcBorders>
            <w:vAlign w:val="center"/>
          </w:tcPr>
          <w:p w14:paraId="048DA400" w14:textId="44321244" w:rsidR="008C7654" w:rsidRPr="00FA2A84" w:rsidRDefault="00421C94">
            <w:pPr>
              <w:spacing w:before="40" w:after="40"/>
              <w:jc w:val="center"/>
              <w:rPr>
                <w:sz w:val="20"/>
                <w:szCs w:val="20"/>
              </w:rPr>
            </w:pPr>
            <w:r w:rsidRPr="00337C3E">
              <w:t>2.81</w:t>
            </w:r>
          </w:p>
        </w:tc>
        <w:tc>
          <w:tcPr>
            <w:tcW w:w="894" w:type="dxa"/>
            <w:tcBorders>
              <w:bottom w:val="double" w:sz="4" w:space="0" w:color="auto"/>
            </w:tcBorders>
            <w:vAlign w:val="center"/>
          </w:tcPr>
          <w:p w14:paraId="48D934F8" w14:textId="4FF39118" w:rsidR="008C7654" w:rsidRPr="00FA2A84" w:rsidRDefault="00421C94">
            <w:pPr>
              <w:spacing w:before="40" w:after="40"/>
              <w:jc w:val="center"/>
              <w:rPr>
                <w:sz w:val="20"/>
                <w:szCs w:val="20"/>
              </w:rPr>
            </w:pPr>
            <w:r w:rsidRPr="00337C3E">
              <w:t>2.82</w:t>
            </w:r>
          </w:p>
        </w:tc>
        <w:tc>
          <w:tcPr>
            <w:tcW w:w="894" w:type="dxa"/>
            <w:tcBorders>
              <w:bottom w:val="double" w:sz="4" w:space="0" w:color="auto"/>
            </w:tcBorders>
            <w:vAlign w:val="center"/>
          </w:tcPr>
          <w:p w14:paraId="4FD1E4EF" w14:textId="4E12301E" w:rsidR="008C7654" w:rsidRPr="00FA2A84" w:rsidRDefault="00421C94">
            <w:pPr>
              <w:spacing w:before="40" w:after="40"/>
              <w:jc w:val="center"/>
              <w:rPr>
                <w:sz w:val="20"/>
                <w:szCs w:val="20"/>
              </w:rPr>
            </w:pPr>
            <w:r w:rsidRPr="00337C3E">
              <w:t>2.72</w:t>
            </w:r>
          </w:p>
        </w:tc>
        <w:tc>
          <w:tcPr>
            <w:tcW w:w="894" w:type="dxa"/>
            <w:tcBorders>
              <w:bottom w:val="double" w:sz="4" w:space="0" w:color="auto"/>
            </w:tcBorders>
            <w:vAlign w:val="center"/>
          </w:tcPr>
          <w:p w14:paraId="424892AB" w14:textId="2ACCC60B" w:rsidR="008C7654" w:rsidRPr="00FA2A84" w:rsidRDefault="00421C94">
            <w:pPr>
              <w:spacing w:before="40" w:after="40"/>
              <w:jc w:val="center"/>
              <w:rPr>
                <w:sz w:val="20"/>
                <w:szCs w:val="20"/>
              </w:rPr>
            </w:pPr>
            <w:r w:rsidRPr="00337C3E">
              <w:t>2.79</w:t>
            </w:r>
          </w:p>
        </w:tc>
        <w:tc>
          <w:tcPr>
            <w:tcW w:w="894" w:type="dxa"/>
            <w:tcBorders>
              <w:bottom w:val="double" w:sz="4" w:space="0" w:color="auto"/>
            </w:tcBorders>
            <w:vAlign w:val="center"/>
          </w:tcPr>
          <w:p w14:paraId="752F8EE6" w14:textId="0CD650FE" w:rsidR="008C7654" w:rsidRPr="00FA2A84" w:rsidRDefault="00421C94">
            <w:pPr>
              <w:spacing w:before="40" w:after="40"/>
              <w:jc w:val="center"/>
              <w:rPr>
                <w:sz w:val="20"/>
                <w:szCs w:val="20"/>
              </w:rPr>
            </w:pPr>
            <w:r w:rsidRPr="00337C3E">
              <w:t>2.63</w:t>
            </w:r>
          </w:p>
        </w:tc>
        <w:tc>
          <w:tcPr>
            <w:tcW w:w="894" w:type="dxa"/>
            <w:tcBorders>
              <w:bottom w:val="double" w:sz="4" w:space="0" w:color="auto"/>
            </w:tcBorders>
            <w:vAlign w:val="center"/>
          </w:tcPr>
          <w:p w14:paraId="3C89F328" w14:textId="14EDCE35" w:rsidR="008C7654" w:rsidRPr="00FA2A84" w:rsidRDefault="00421C94">
            <w:pPr>
              <w:spacing w:before="40" w:after="40"/>
              <w:jc w:val="center"/>
              <w:rPr>
                <w:sz w:val="20"/>
                <w:szCs w:val="20"/>
              </w:rPr>
            </w:pPr>
            <w:r w:rsidRPr="00337C3E">
              <w:t>2.78</w:t>
            </w:r>
          </w:p>
        </w:tc>
      </w:tr>
      <w:tr w:rsidR="00B54521" w:rsidRPr="00416C2F" w14:paraId="4BC5A168" w14:textId="77777777" w:rsidTr="00ED1FA9">
        <w:tc>
          <w:tcPr>
            <w:tcW w:w="615" w:type="dxa"/>
            <w:vMerge w:val="restart"/>
            <w:tcBorders>
              <w:top w:val="double" w:sz="4" w:space="0" w:color="auto"/>
            </w:tcBorders>
            <w:vAlign w:val="center"/>
          </w:tcPr>
          <w:p w14:paraId="6C7ABD02" w14:textId="77777777" w:rsidR="008C7654" w:rsidRPr="00416C2F" w:rsidRDefault="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3BB1D868" w14:textId="77777777" w:rsidR="008C7654" w:rsidRPr="00FA2A84" w:rsidRDefault="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30C7F02A" w14:textId="77777777" w:rsidR="008C7654" w:rsidRPr="00337C3E" w:rsidRDefault="008C7654">
            <w:pPr>
              <w:spacing w:before="40" w:after="40"/>
              <w:jc w:val="center"/>
              <w:rPr>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015541B2" w14:textId="020C87FF" w:rsidR="008C7654" w:rsidRPr="00337C3E" w:rsidRDefault="00421C94">
            <w:pPr>
              <w:spacing w:before="40" w:after="40"/>
              <w:jc w:val="center"/>
              <w:rPr>
                <w:sz w:val="20"/>
                <w:szCs w:val="20"/>
              </w:rPr>
            </w:pPr>
            <w:r w:rsidRPr="00337C3E">
              <w:t>2.10</w:t>
            </w:r>
          </w:p>
        </w:tc>
        <w:tc>
          <w:tcPr>
            <w:tcW w:w="995" w:type="dxa"/>
            <w:tcBorders>
              <w:top w:val="double" w:sz="4" w:space="0" w:color="auto"/>
              <w:left w:val="double" w:sz="4" w:space="0" w:color="auto"/>
            </w:tcBorders>
            <w:vAlign w:val="center"/>
          </w:tcPr>
          <w:p w14:paraId="3EC5F340" w14:textId="35C9F2B7" w:rsidR="008C7654" w:rsidRPr="00FA2A84" w:rsidRDefault="00421C94">
            <w:pPr>
              <w:spacing w:before="40" w:after="40"/>
              <w:jc w:val="center"/>
              <w:rPr>
                <w:sz w:val="20"/>
                <w:szCs w:val="20"/>
              </w:rPr>
            </w:pPr>
            <w:r w:rsidRPr="00337C3E">
              <w:t>2.26</w:t>
            </w:r>
          </w:p>
        </w:tc>
        <w:tc>
          <w:tcPr>
            <w:tcW w:w="894" w:type="dxa"/>
            <w:tcBorders>
              <w:top w:val="double" w:sz="4" w:space="0" w:color="auto"/>
            </w:tcBorders>
            <w:vAlign w:val="center"/>
          </w:tcPr>
          <w:p w14:paraId="4B11B0D2" w14:textId="1F712F5A" w:rsidR="008C7654" w:rsidRPr="00FA2A84" w:rsidRDefault="00421C94">
            <w:pPr>
              <w:spacing w:before="40" w:after="40"/>
              <w:jc w:val="center"/>
              <w:rPr>
                <w:sz w:val="20"/>
                <w:szCs w:val="20"/>
              </w:rPr>
            </w:pPr>
            <w:r w:rsidRPr="00337C3E">
              <w:t>2.22</w:t>
            </w:r>
          </w:p>
        </w:tc>
        <w:tc>
          <w:tcPr>
            <w:tcW w:w="894" w:type="dxa"/>
            <w:tcBorders>
              <w:top w:val="double" w:sz="4" w:space="0" w:color="auto"/>
            </w:tcBorders>
            <w:vAlign w:val="center"/>
          </w:tcPr>
          <w:p w14:paraId="00B9540A" w14:textId="54324425" w:rsidR="008C7654" w:rsidRPr="00FA2A84" w:rsidRDefault="00421C94">
            <w:pPr>
              <w:spacing w:before="40" w:after="40"/>
              <w:jc w:val="center"/>
              <w:rPr>
                <w:sz w:val="20"/>
                <w:szCs w:val="20"/>
              </w:rPr>
            </w:pPr>
            <w:r w:rsidRPr="00337C3E">
              <w:t>2.33</w:t>
            </w:r>
          </w:p>
        </w:tc>
        <w:tc>
          <w:tcPr>
            <w:tcW w:w="894" w:type="dxa"/>
            <w:tcBorders>
              <w:top w:val="double" w:sz="4" w:space="0" w:color="auto"/>
            </w:tcBorders>
            <w:vAlign w:val="center"/>
          </w:tcPr>
          <w:p w14:paraId="60D9BEC0" w14:textId="276D1EFA" w:rsidR="008C7654" w:rsidRPr="00FA2A84" w:rsidRDefault="00421C94">
            <w:pPr>
              <w:spacing w:before="40" w:after="40"/>
              <w:jc w:val="center"/>
              <w:rPr>
                <w:sz w:val="20"/>
                <w:szCs w:val="20"/>
              </w:rPr>
            </w:pPr>
            <w:r w:rsidRPr="00337C3E">
              <w:t>2.20</w:t>
            </w:r>
          </w:p>
        </w:tc>
        <w:tc>
          <w:tcPr>
            <w:tcW w:w="894" w:type="dxa"/>
            <w:tcBorders>
              <w:top w:val="double" w:sz="4" w:space="0" w:color="auto"/>
            </w:tcBorders>
            <w:vAlign w:val="center"/>
          </w:tcPr>
          <w:p w14:paraId="1C77B1A8" w14:textId="204A2700" w:rsidR="008C7654" w:rsidRPr="00FA2A84" w:rsidRDefault="00421C94">
            <w:pPr>
              <w:spacing w:before="40" w:after="40"/>
              <w:jc w:val="center"/>
              <w:rPr>
                <w:sz w:val="20"/>
                <w:szCs w:val="20"/>
              </w:rPr>
            </w:pPr>
            <w:r w:rsidRPr="00337C3E">
              <w:t>2.30</w:t>
            </w:r>
          </w:p>
        </w:tc>
        <w:tc>
          <w:tcPr>
            <w:tcW w:w="894" w:type="dxa"/>
            <w:tcBorders>
              <w:top w:val="double" w:sz="4" w:space="0" w:color="auto"/>
            </w:tcBorders>
            <w:vAlign w:val="center"/>
          </w:tcPr>
          <w:p w14:paraId="36E73A2C" w14:textId="57C6FE18" w:rsidR="008C7654" w:rsidRPr="00FA2A84" w:rsidRDefault="00421C94">
            <w:pPr>
              <w:spacing w:before="40" w:after="40"/>
              <w:jc w:val="center"/>
              <w:rPr>
                <w:sz w:val="20"/>
                <w:szCs w:val="20"/>
              </w:rPr>
            </w:pPr>
            <w:r w:rsidRPr="00337C3E">
              <w:t>2.25</w:t>
            </w:r>
          </w:p>
        </w:tc>
        <w:tc>
          <w:tcPr>
            <w:tcW w:w="894" w:type="dxa"/>
            <w:tcBorders>
              <w:top w:val="double" w:sz="4" w:space="0" w:color="auto"/>
            </w:tcBorders>
            <w:vAlign w:val="center"/>
          </w:tcPr>
          <w:p w14:paraId="5FAF700A" w14:textId="080EC96C" w:rsidR="008C7654" w:rsidRPr="00FA2A84" w:rsidRDefault="00421C94">
            <w:pPr>
              <w:spacing w:before="40" w:after="40"/>
              <w:jc w:val="center"/>
              <w:rPr>
                <w:sz w:val="20"/>
                <w:szCs w:val="20"/>
              </w:rPr>
            </w:pPr>
            <w:r w:rsidRPr="00337C3E">
              <w:t>2.27</w:t>
            </w:r>
          </w:p>
        </w:tc>
        <w:tc>
          <w:tcPr>
            <w:tcW w:w="894" w:type="dxa"/>
            <w:tcBorders>
              <w:top w:val="double" w:sz="4" w:space="0" w:color="auto"/>
            </w:tcBorders>
            <w:vAlign w:val="center"/>
          </w:tcPr>
          <w:p w14:paraId="686A2977" w14:textId="3A51DA86" w:rsidR="008C7654" w:rsidRPr="00FA2A84" w:rsidRDefault="00421C94">
            <w:pPr>
              <w:spacing w:before="40" w:after="40"/>
              <w:jc w:val="center"/>
              <w:rPr>
                <w:sz w:val="20"/>
                <w:szCs w:val="20"/>
              </w:rPr>
            </w:pPr>
            <w:r w:rsidRPr="00337C3E">
              <w:t>2.26</w:t>
            </w:r>
          </w:p>
        </w:tc>
      </w:tr>
      <w:tr w:rsidR="00B54521" w:rsidRPr="00416C2F" w14:paraId="7D2B4F64" w14:textId="77777777" w:rsidTr="00ED1FA9">
        <w:tc>
          <w:tcPr>
            <w:tcW w:w="615" w:type="dxa"/>
            <w:vMerge/>
            <w:tcBorders>
              <w:bottom w:val="double" w:sz="4" w:space="0" w:color="auto"/>
            </w:tcBorders>
            <w:vAlign w:val="center"/>
          </w:tcPr>
          <w:p w14:paraId="77CDF130"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32AAB98C" w14:textId="77777777" w:rsidR="008C7654" w:rsidRPr="00FA2A84" w:rsidRDefault="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A9CF41E" w14:textId="77777777" w:rsidR="008C7654" w:rsidRPr="00337C3E" w:rsidRDefault="008C7654">
            <w:pPr>
              <w:spacing w:before="40" w:after="40"/>
              <w:jc w:val="center"/>
              <w:rPr>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524E0EF2" w14:textId="77777777" w:rsidR="008C7654" w:rsidRPr="00337C3E" w:rsidRDefault="008C7654">
            <w:pPr>
              <w:spacing w:before="40" w:after="40"/>
              <w:jc w:val="center"/>
              <w:rPr>
                <w:sz w:val="20"/>
                <w:szCs w:val="20"/>
              </w:rPr>
            </w:pPr>
          </w:p>
        </w:tc>
        <w:tc>
          <w:tcPr>
            <w:tcW w:w="995" w:type="dxa"/>
            <w:tcBorders>
              <w:left w:val="double" w:sz="4" w:space="0" w:color="auto"/>
              <w:bottom w:val="double" w:sz="4" w:space="0" w:color="auto"/>
            </w:tcBorders>
            <w:vAlign w:val="center"/>
          </w:tcPr>
          <w:p w14:paraId="17A030E9" w14:textId="7139198C" w:rsidR="008C7654" w:rsidRPr="00FA2A84" w:rsidRDefault="00421C94">
            <w:pPr>
              <w:spacing w:before="40" w:after="40"/>
              <w:jc w:val="center"/>
              <w:rPr>
                <w:sz w:val="20"/>
                <w:szCs w:val="20"/>
              </w:rPr>
            </w:pPr>
            <w:r w:rsidRPr="00337C3E">
              <w:t>2.81</w:t>
            </w:r>
          </w:p>
        </w:tc>
        <w:tc>
          <w:tcPr>
            <w:tcW w:w="894" w:type="dxa"/>
            <w:tcBorders>
              <w:bottom w:val="double" w:sz="4" w:space="0" w:color="auto"/>
            </w:tcBorders>
            <w:vAlign w:val="center"/>
          </w:tcPr>
          <w:p w14:paraId="778109B2" w14:textId="36960C04" w:rsidR="008C7654" w:rsidRPr="00FA2A84" w:rsidRDefault="00421C94">
            <w:pPr>
              <w:spacing w:before="40" w:after="40"/>
              <w:jc w:val="center"/>
              <w:rPr>
                <w:sz w:val="20"/>
                <w:szCs w:val="20"/>
              </w:rPr>
            </w:pPr>
            <w:r w:rsidRPr="00337C3E">
              <w:t>2.73</w:t>
            </w:r>
          </w:p>
        </w:tc>
        <w:tc>
          <w:tcPr>
            <w:tcW w:w="894" w:type="dxa"/>
            <w:tcBorders>
              <w:bottom w:val="double" w:sz="4" w:space="0" w:color="auto"/>
            </w:tcBorders>
            <w:vAlign w:val="center"/>
          </w:tcPr>
          <w:p w14:paraId="2C5DF491" w14:textId="3557CE8B" w:rsidR="008C7654" w:rsidRPr="00FA2A84" w:rsidRDefault="00421C94">
            <w:pPr>
              <w:spacing w:before="40" w:after="40"/>
              <w:jc w:val="center"/>
              <w:rPr>
                <w:sz w:val="20"/>
                <w:szCs w:val="20"/>
              </w:rPr>
            </w:pPr>
            <w:r w:rsidRPr="00337C3E">
              <w:t>2.82</w:t>
            </w:r>
          </w:p>
        </w:tc>
        <w:tc>
          <w:tcPr>
            <w:tcW w:w="894" w:type="dxa"/>
            <w:tcBorders>
              <w:bottom w:val="double" w:sz="4" w:space="0" w:color="auto"/>
            </w:tcBorders>
            <w:vAlign w:val="center"/>
          </w:tcPr>
          <w:p w14:paraId="2B7C1EBE" w14:textId="049B8337" w:rsidR="008C7654" w:rsidRPr="00FA2A84" w:rsidRDefault="00421C94">
            <w:pPr>
              <w:spacing w:before="40" w:after="40"/>
              <w:jc w:val="center"/>
              <w:rPr>
                <w:sz w:val="20"/>
                <w:szCs w:val="20"/>
              </w:rPr>
            </w:pPr>
            <w:r w:rsidRPr="00337C3E">
              <w:t>2.76</w:t>
            </w:r>
          </w:p>
        </w:tc>
        <w:tc>
          <w:tcPr>
            <w:tcW w:w="894" w:type="dxa"/>
            <w:tcBorders>
              <w:bottom w:val="double" w:sz="4" w:space="0" w:color="auto"/>
            </w:tcBorders>
            <w:vAlign w:val="center"/>
          </w:tcPr>
          <w:p w14:paraId="53B41E1D" w14:textId="5D058ADA" w:rsidR="008C7654" w:rsidRPr="00FA2A84" w:rsidRDefault="00421C94">
            <w:pPr>
              <w:spacing w:before="40" w:after="40"/>
              <w:jc w:val="center"/>
              <w:rPr>
                <w:sz w:val="20"/>
                <w:szCs w:val="20"/>
              </w:rPr>
            </w:pPr>
            <w:r w:rsidRPr="00337C3E">
              <w:t>2.89</w:t>
            </w:r>
          </w:p>
        </w:tc>
        <w:tc>
          <w:tcPr>
            <w:tcW w:w="894" w:type="dxa"/>
            <w:tcBorders>
              <w:bottom w:val="double" w:sz="4" w:space="0" w:color="auto"/>
            </w:tcBorders>
            <w:vAlign w:val="center"/>
          </w:tcPr>
          <w:p w14:paraId="3FF41620" w14:textId="38ACBE0A" w:rsidR="008C7654" w:rsidRPr="00FA2A84" w:rsidRDefault="00421C94">
            <w:pPr>
              <w:spacing w:before="40" w:after="40"/>
              <w:jc w:val="center"/>
              <w:rPr>
                <w:sz w:val="20"/>
                <w:szCs w:val="20"/>
              </w:rPr>
            </w:pPr>
            <w:r w:rsidRPr="00337C3E">
              <w:t>2.90</w:t>
            </w:r>
          </w:p>
        </w:tc>
        <w:tc>
          <w:tcPr>
            <w:tcW w:w="894" w:type="dxa"/>
            <w:tcBorders>
              <w:bottom w:val="double" w:sz="4" w:space="0" w:color="auto"/>
            </w:tcBorders>
            <w:vAlign w:val="center"/>
          </w:tcPr>
          <w:p w14:paraId="1201B06E" w14:textId="56034E3D" w:rsidR="008C7654" w:rsidRPr="00FA2A84" w:rsidRDefault="00421C94">
            <w:pPr>
              <w:spacing w:before="40" w:after="40"/>
              <w:jc w:val="center"/>
              <w:rPr>
                <w:sz w:val="20"/>
                <w:szCs w:val="20"/>
              </w:rPr>
            </w:pPr>
            <w:r w:rsidRPr="00337C3E">
              <w:t>2.72</w:t>
            </w:r>
          </w:p>
        </w:tc>
        <w:tc>
          <w:tcPr>
            <w:tcW w:w="894" w:type="dxa"/>
            <w:tcBorders>
              <w:bottom w:val="double" w:sz="4" w:space="0" w:color="auto"/>
            </w:tcBorders>
            <w:vAlign w:val="center"/>
          </w:tcPr>
          <w:p w14:paraId="65DA2787" w14:textId="57DD545F" w:rsidR="008C7654" w:rsidRPr="00FA2A84" w:rsidRDefault="00421C94">
            <w:pPr>
              <w:spacing w:before="40" w:after="40"/>
              <w:jc w:val="center"/>
              <w:rPr>
                <w:sz w:val="20"/>
                <w:szCs w:val="20"/>
              </w:rPr>
            </w:pPr>
            <w:r w:rsidRPr="00337C3E">
              <w:t>2.84</w:t>
            </w:r>
          </w:p>
        </w:tc>
      </w:tr>
      <w:tr w:rsidR="00B54521" w:rsidRPr="00416C2F" w14:paraId="2BBAB5ED" w14:textId="77777777" w:rsidTr="00ED1FA9">
        <w:tc>
          <w:tcPr>
            <w:tcW w:w="615" w:type="dxa"/>
            <w:vMerge w:val="restart"/>
            <w:tcBorders>
              <w:top w:val="double" w:sz="4" w:space="0" w:color="auto"/>
            </w:tcBorders>
            <w:vAlign w:val="center"/>
          </w:tcPr>
          <w:p w14:paraId="01919802" w14:textId="77777777" w:rsidR="008C7654" w:rsidRPr="00416C2F" w:rsidRDefault="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49812EC3" w14:textId="77777777" w:rsidR="008C7654" w:rsidRPr="00FA2A84" w:rsidRDefault="008C7654">
            <w:pPr>
              <w:spacing w:before="40" w:after="40"/>
              <w:jc w:val="center"/>
              <w:rPr>
                <w:rFonts w:cs="Arial"/>
                <w:color w:val="000000"/>
                <w:sz w:val="20"/>
                <w:szCs w:val="20"/>
              </w:rPr>
            </w:pPr>
            <w:r w:rsidRPr="00FA2A84">
              <w:rPr>
                <w:sz w:val="20"/>
                <w:szCs w:val="20"/>
              </w:rPr>
              <w:t>9</w:t>
            </w:r>
          </w:p>
        </w:tc>
        <w:tc>
          <w:tcPr>
            <w:tcW w:w="616" w:type="dxa"/>
            <w:tcBorders>
              <w:top w:val="double" w:sz="4" w:space="0" w:color="auto"/>
              <w:right w:val="double" w:sz="4" w:space="0" w:color="auto"/>
            </w:tcBorders>
            <w:vAlign w:val="center"/>
          </w:tcPr>
          <w:p w14:paraId="7BEBC4DB" w14:textId="77777777" w:rsidR="008C7654" w:rsidRPr="00337C3E" w:rsidRDefault="008C7654">
            <w:pPr>
              <w:spacing w:before="40" w:after="40"/>
              <w:jc w:val="center"/>
              <w:rPr>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EEBFEF2" w14:textId="60FAB506" w:rsidR="008C7654" w:rsidRPr="00337C3E" w:rsidRDefault="00421C94">
            <w:pPr>
              <w:spacing w:before="40" w:after="40"/>
              <w:jc w:val="center"/>
              <w:rPr>
                <w:sz w:val="20"/>
                <w:szCs w:val="20"/>
              </w:rPr>
            </w:pPr>
            <w:r w:rsidRPr="00337C3E">
              <w:t>2.62</w:t>
            </w:r>
          </w:p>
        </w:tc>
        <w:tc>
          <w:tcPr>
            <w:tcW w:w="995" w:type="dxa"/>
            <w:tcBorders>
              <w:top w:val="double" w:sz="4" w:space="0" w:color="auto"/>
              <w:left w:val="double" w:sz="4" w:space="0" w:color="auto"/>
            </w:tcBorders>
            <w:vAlign w:val="center"/>
          </w:tcPr>
          <w:p w14:paraId="5EA04747" w14:textId="0CFF9255" w:rsidR="008C7654" w:rsidRPr="00FA2A84" w:rsidRDefault="00421C94">
            <w:pPr>
              <w:spacing w:before="40" w:after="40"/>
              <w:jc w:val="center"/>
              <w:rPr>
                <w:sz w:val="20"/>
                <w:szCs w:val="20"/>
              </w:rPr>
            </w:pPr>
            <w:r w:rsidRPr="00337C3E">
              <w:t>2.56</w:t>
            </w:r>
          </w:p>
        </w:tc>
        <w:tc>
          <w:tcPr>
            <w:tcW w:w="894" w:type="dxa"/>
            <w:tcBorders>
              <w:top w:val="double" w:sz="4" w:space="0" w:color="auto"/>
            </w:tcBorders>
            <w:vAlign w:val="center"/>
          </w:tcPr>
          <w:p w14:paraId="45DB65EE" w14:textId="439D709D" w:rsidR="008C7654" w:rsidRPr="00FA2A84" w:rsidRDefault="00421C94">
            <w:pPr>
              <w:spacing w:before="40" w:after="40"/>
              <w:jc w:val="center"/>
              <w:rPr>
                <w:sz w:val="20"/>
                <w:szCs w:val="20"/>
              </w:rPr>
            </w:pPr>
            <w:r w:rsidRPr="00337C3E">
              <w:t>2.55</w:t>
            </w:r>
          </w:p>
        </w:tc>
        <w:tc>
          <w:tcPr>
            <w:tcW w:w="894" w:type="dxa"/>
            <w:tcBorders>
              <w:top w:val="double" w:sz="4" w:space="0" w:color="auto"/>
            </w:tcBorders>
            <w:vAlign w:val="center"/>
          </w:tcPr>
          <w:p w14:paraId="0CE22DF6" w14:textId="09F6178C" w:rsidR="008C7654" w:rsidRPr="00FA2A84" w:rsidRDefault="00421C94">
            <w:pPr>
              <w:spacing w:before="40" w:after="40"/>
              <w:jc w:val="center"/>
              <w:rPr>
                <w:sz w:val="20"/>
                <w:szCs w:val="20"/>
              </w:rPr>
            </w:pPr>
            <w:r w:rsidRPr="00337C3E">
              <w:t>2.58</w:t>
            </w:r>
          </w:p>
        </w:tc>
        <w:tc>
          <w:tcPr>
            <w:tcW w:w="894" w:type="dxa"/>
            <w:tcBorders>
              <w:top w:val="double" w:sz="4" w:space="0" w:color="auto"/>
            </w:tcBorders>
            <w:vAlign w:val="center"/>
          </w:tcPr>
          <w:p w14:paraId="5C09E951" w14:textId="40F20789" w:rsidR="008C7654" w:rsidRPr="00FA2A84" w:rsidRDefault="00421C94">
            <w:pPr>
              <w:spacing w:before="40" w:after="40"/>
              <w:jc w:val="center"/>
              <w:rPr>
                <w:sz w:val="20"/>
                <w:szCs w:val="20"/>
              </w:rPr>
            </w:pPr>
            <w:r w:rsidRPr="00337C3E">
              <w:t>2.52</w:t>
            </w:r>
          </w:p>
        </w:tc>
        <w:tc>
          <w:tcPr>
            <w:tcW w:w="894" w:type="dxa"/>
            <w:tcBorders>
              <w:top w:val="double" w:sz="4" w:space="0" w:color="auto"/>
            </w:tcBorders>
            <w:vAlign w:val="center"/>
          </w:tcPr>
          <w:p w14:paraId="0348B60D" w14:textId="2017FD05" w:rsidR="008C7654" w:rsidRPr="00FA2A84" w:rsidRDefault="00421C94">
            <w:pPr>
              <w:spacing w:before="40" w:after="40"/>
              <w:jc w:val="center"/>
              <w:rPr>
                <w:sz w:val="20"/>
                <w:szCs w:val="20"/>
              </w:rPr>
            </w:pPr>
            <w:r w:rsidRPr="00337C3E">
              <w:t>2.60</w:t>
            </w:r>
          </w:p>
        </w:tc>
        <w:tc>
          <w:tcPr>
            <w:tcW w:w="894" w:type="dxa"/>
            <w:tcBorders>
              <w:top w:val="double" w:sz="4" w:space="0" w:color="auto"/>
            </w:tcBorders>
            <w:vAlign w:val="center"/>
          </w:tcPr>
          <w:p w14:paraId="177CBA3C" w14:textId="53527205" w:rsidR="008C7654" w:rsidRPr="00FA2A84" w:rsidRDefault="00421C94">
            <w:pPr>
              <w:spacing w:before="40" w:after="40"/>
              <w:jc w:val="center"/>
              <w:rPr>
                <w:sz w:val="20"/>
                <w:szCs w:val="20"/>
              </w:rPr>
            </w:pPr>
            <w:r w:rsidRPr="00337C3E">
              <w:t>2.62</w:t>
            </w:r>
          </w:p>
        </w:tc>
        <w:tc>
          <w:tcPr>
            <w:tcW w:w="894" w:type="dxa"/>
            <w:tcBorders>
              <w:top w:val="double" w:sz="4" w:space="0" w:color="auto"/>
            </w:tcBorders>
            <w:vAlign w:val="center"/>
          </w:tcPr>
          <w:p w14:paraId="27015B67" w14:textId="1CED156A" w:rsidR="008C7654" w:rsidRPr="00FA2A84" w:rsidRDefault="00421C94">
            <w:pPr>
              <w:spacing w:before="40" w:after="40"/>
              <w:jc w:val="center"/>
              <w:rPr>
                <w:sz w:val="20"/>
                <w:szCs w:val="20"/>
              </w:rPr>
            </w:pPr>
            <w:r w:rsidRPr="00337C3E">
              <w:t>2.52</w:t>
            </w:r>
          </w:p>
        </w:tc>
        <w:tc>
          <w:tcPr>
            <w:tcW w:w="894" w:type="dxa"/>
            <w:tcBorders>
              <w:top w:val="double" w:sz="4" w:space="0" w:color="auto"/>
            </w:tcBorders>
            <w:vAlign w:val="center"/>
          </w:tcPr>
          <w:p w14:paraId="7A1C5375" w14:textId="4E5B570D" w:rsidR="008C7654" w:rsidRPr="00FA2A84" w:rsidRDefault="00421C94">
            <w:pPr>
              <w:spacing w:before="40" w:after="40"/>
              <w:jc w:val="center"/>
              <w:rPr>
                <w:sz w:val="20"/>
                <w:szCs w:val="20"/>
              </w:rPr>
            </w:pPr>
            <w:r w:rsidRPr="00337C3E">
              <w:t>2.54</w:t>
            </w:r>
          </w:p>
        </w:tc>
      </w:tr>
      <w:tr w:rsidR="00C87D4C" w:rsidRPr="00416C2F" w14:paraId="6AB6CB4B" w14:textId="77777777" w:rsidTr="00ED1FA9">
        <w:tc>
          <w:tcPr>
            <w:tcW w:w="615" w:type="dxa"/>
            <w:vMerge/>
            <w:vAlign w:val="center"/>
          </w:tcPr>
          <w:p w14:paraId="34E219D8" w14:textId="77777777" w:rsidR="00421C94" w:rsidRPr="00FA2A84" w:rsidRDefault="00421C94" w:rsidP="00421C94">
            <w:pPr>
              <w:spacing w:before="40" w:after="40"/>
              <w:jc w:val="center"/>
              <w:rPr>
                <w:rFonts w:cs="Arial"/>
                <w:color w:val="000000"/>
                <w:sz w:val="20"/>
                <w:szCs w:val="20"/>
              </w:rPr>
            </w:pPr>
          </w:p>
        </w:tc>
        <w:tc>
          <w:tcPr>
            <w:tcW w:w="615" w:type="dxa"/>
            <w:vMerge/>
            <w:vAlign w:val="center"/>
          </w:tcPr>
          <w:p w14:paraId="610637A7"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4691E6BF" w14:textId="77777777" w:rsidR="00421C94" w:rsidRPr="00337C3E" w:rsidRDefault="00421C94" w:rsidP="00421C94">
            <w:pPr>
              <w:spacing w:before="40" w:after="40"/>
              <w:jc w:val="center"/>
              <w:rPr>
                <w:sz w:val="20"/>
                <w:szCs w:val="20"/>
              </w:rPr>
            </w:pPr>
            <w:r w:rsidRPr="00FA2A84">
              <w:rPr>
                <w:sz w:val="20"/>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664E087F" w14:textId="77777777" w:rsidR="00421C94" w:rsidRPr="00FA2A84" w:rsidDel="00F86573" w:rsidRDefault="00421C94" w:rsidP="00421C94">
            <w:pPr>
              <w:spacing w:before="40" w:after="40"/>
              <w:jc w:val="center"/>
              <w:rPr>
                <w:sz w:val="20"/>
                <w:szCs w:val="20"/>
              </w:rPr>
            </w:pPr>
          </w:p>
        </w:tc>
        <w:tc>
          <w:tcPr>
            <w:tcW w:w="995" w:type="dxa"/>
            <w:tcBorders>
              <w:left w:val="double" w:sz="4" w:space="0" w:color="auto"/>
            </w:tcBorders>
            <w:vAlign w:val="center"/>
          </w:tcPr>
          <w:p w14:paraId="5AA8EB8B" w14:textId="21277BDF" w:rsidR="00421C94" w:rsidRPr="00FA2A84" w:rsidDel="00F86573" w:rsidRDefault="00421C94" w:rsidP="00421C94">
            <w:pPr>
              <w:spacing w:before="40" w:after="40"/>
              <w:jc w:val="center"/>
              <w:rPr>
                <w:sz w:val="20"/>
                <w:szCs w:val="20"/>
              </w:rPr>
            </w:pPr>
            <w:r w:rsidRPr="00337C3E">
              <w:t>2.91</w:t>
            </w:r>
          </w:p>
        </w:tc>
        <w:tc>
          <w:tcPr>
            <w:tcW w:w="894" w:type="dxa"/>
            <w:vAlign w:val="center"/>
          </w:tcPr>
          <w:p w14:paraId="1D61138E" w14:textId="02C7CDF1" w:rsidR="00421C94" w:rsidRPr="00FA2A84" w:rsidDel="00F86573" w:rsidRDefault="00421C94" w:rsidP="00421C94">
            <w:pPr>
              <w:spacing w:before="40" w:after="40"/>
              <w:jc w:val="center"/>
              <w:rPr>
                <w:sz w:val="20"/>
                <w:szCs w:val="20"/>
              </w:rPr>
            </w:pPr>
            <w:r w:rsidRPr="00337C3E">
              <w:t>2.87</w:t>
            </w:r>
          </w:p>
        </w:tc>
        <w:tc>
          <w:tcPr>
            <w:tcW w:w="894" w:type="dxa"/>
            <w:vAlign w:val="center"/>
          </w:tcPr>
          <w:p w14:paraId="3038032E" w14:textId="4634454E" w:rsidR="00421C94" w:rsidRPr="00FA2A84" w:rsidDel="00F86573" w:rsidRDefault="00421C94" w:rsidP="00421C94">
            <w:pPr>
              <w:spacing w:before="40" w:after="40"/>
              <w:jc w:val="center"/>
              <w:rPr>
                <w:sz w:val="20"/>
                <w:szCs w:val="20"/>
              </w:rPr>
            </w:pPr>
            <w:r w:rsidRPr="00337C3E">
              <w:t>2.91</w:t>
            </w:r>
          </w:p>
        </w:tc>
        <w:tc>
          <w:tcPr>
            <w:tcW w:w="894" w:type="dxa"/>
            <w:vAlign w:val="center"/>
          </w:tcPr>
          <w:p w14:paraId="6FDED852" w14:textId="5E53A85D" w:rsidR="00421C94" w:rsidRPr="00FA2A84" w:rsidDel="00F86573" w:rsidRDefault="00421C94" w:rsidP="00421C94">
            <w:pPr>
              <w:spacing w:before="40" w:after="40"/>
              <w:jc w:val="center"/>
              <w:rPr>
                <w:sz w:val="20"/>
                <w:szCs w:val="20"/>
              </w:rPr>
            </w:pPr>
            <w:r w:rsidRPr="00337C3E">
              <w:t>2.98</w:t>
            </w:r>
          </w:p>
        </w:tc>
        <w:tc>
          <w:tcPr>
            <w:tcW w:w="894" w:type="dxa"/>
            <w:vAlign w:val="center"/>
          </w:tcPr>
          <w:p w14:paraId="531DAF1C" w14:textId="4A6EDF43" w:rsidR="00421C94" w:rsidRPr="00FA2A84" w:rsidDel="00F86573" w:rsidRDefault="00421C94" w:rsidP="00421C94">
            <w:pPr>
              <w:spacing w:before="40" w:after="40"/>
              <w:jc w:val="center"/>
              <w:rPr>
                <w:sz w:val="20"/>
                <w:szCs w:val="20"/>
              </w:rPr>
            </w:pPr>
            <w:r w:rsidRPr="00337C3E">
              <w:t>2.89</w:t>
            </w:r>
          </w:p>
        </w:tc>
        <w:tc>
          <w:tcPr>
            <w:tcW w:w="894" w:type="dxa"/>
            <w:vAlign w:val="center"/>
          </w:tcPr>
          <w:p w14:paraId="34D39F9D" w14:textId="1A77E143" w:rsidR="00421C94" w:rsidRPr="00FA2A84" w:rsidDel="00F86573" w:rsidRDefault="00421C94" w:rsidP="00421C94">
            <w:pPr>
              <w:spacing w:before="40" w:after="40"/>
              <w:jc w:val="center"/>
              <w:rPr>
                <w:sz w:val="20"/>
                <w:szCs w:val="20"/>
              </w:rPr>
            </w:pPr>
            <w:r w:rsidRPr="00337C3E">
              <w:t>2.89</w:t>
            </w:r>
          </w:p>
        </w:tc>
        <w:tc>
          <w:tcPr>
            <w:tcW w:w="894" w:type="dxa"/>
            <w:vAlign w:val="center"/>
          </w:tcPr>
          <w:p w14:paraId="359F06BA" w14:textId="04098B9A" w:rsidR="00421C94" w:rsidRPr="00FA2A84" w:rsidDel="00F86573" w:rsidRDefault="00421C94" w:rsidP="00421C94">
            <w:pPr>
              <w:spacing w:before="40" w:after="40"/>
              <w:jc w:val="center"/>
              <w:rPr>
                <w:sz w:val="20"/>
                <w:szCs w:val="20"/>
              </w:rPr>
            </w:pPr>
            <w:r w:rsidRPr="00337C3E">
              <w:t>2.96</w:t>
            </w:r>
          </w:p>
        </w:tc>
        <w:tc>
          <w:tcPr>
            <w:tcW w:w="894" w:type="dxa"/>
            <w:vAlign w:val="center"/>
          </w:tcPr>
          <w:p w14:paraId="30D1EC5B" w14:textId="7D3D58A0" w:rsidR="00421C94" w:rsidRPr="00FA2A84" w:rsidDel="00F86573" w:rsidRDefault="00421C94" w:rsidP="00421C94">
            <w:pPr>
              <w:spacing w:before="40" w:after="40"/>
              <w:jc w:val="center"/>
              <w:rPr>
                <w:sz w:val="20"/>
                <w:szCs w:val="20"/>
              </w:rPr>
            </w:pPr>
            <w:r w:rsidRPr="00337C3E">
              <w:t>2.89</w:t>
            </w:r>
          </w:p>
        </w:tc>
      </w:tr>
      <w:tr w:rsidR="00C87D4C" w:rsidRPr="00416C2F" w14:paraId="43FB34C0" w14:textId="77777777" w:rsidTr="00ED1FA9">
        <w:tc>
          <w:tcPr>
            <w:tcW w:w="615" w:type="dxa"/>
            <w:vMerge/>
            <w:vAlign w:val="center"/>
          </w:tcPr>
          <w:p w14:paraId="44FA1019" w14:textId="77777777" w:rsidR="00421C94" w:rsidRPr="00FA2A84" w:rsidRDefault="00421C94" w:rsidP="00421C94">
            <w:pPr>
              <w:spacing w:before="40" w:after="40"/>
              <w:jc w:val="center"/>
              <w:rPr>
                <w:rFonts w:cs="Arial"/>
                <w:color w:val="000000"/>
                <w:sz w:val="20"/>
                <w:szCs w:val="20"/>
              </w:rPr>
            </w:pPr>
          </w:p>
        </w:tc>
        <w:tc>
          <w:tcPr>
            <w:tcW w:w="615" w:type="dxa"/>
            <w:vMerge/>
            <w:vAlign w:val="center"/>
          </w:tcPr>
          <w:p w14:paraId="48487609"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1EE50F2A" w14:textId="77777777" w:rsidR="00421C94" w:rsidRPr="00337C3E" w:rsidRDefault="00421C94" w:rsidP="00421C94">
            <w:pPr>
              <w:spacing w:before="40" w:after="40"/>
              <w:jc w:val="center"/>
              <w:rPr>
                <w:sz w:val="20"/>
                <w:szCs w:val="20"/>
              </w:rPr>
            </w:pPr>
            <w:r w:rsidRPr="00FA2A84">
              <w:rPr>
                <w:sz w:val="20"/>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54837435" w14:textId="77777777" w:rsidR="00421C94" w:rsidRPr="00FA2A84" w:rsidDel="00F86573" w:rsidRDefault="00421C94" w:rsidP="00421C94">
            <w:pPr>
              <w:spacing w:before="40" w:after="40"/>
              <w:jc w:val="center"/>
              <w:rPr>
                <w:sz w:val="20"/>
                <w:szCs w:val="20"/>
              </w:rPr>
            </w:pPr>
          </w:p>
        </w:tc>
        <w:tc>
          <w:tcPr>
            <w:tcW w:w="995" w:type="dxa"/>
            <w:tcBorders>
              <w:left w:val="double" w:sz="4" w:space="0" w:color="auto"/>
            </w:tcBorders>
            <w:vAlign w:val="center"/>
          </w:tcPr>
          <w:p w14:paraId="520DE6B3" w14:textId="357DEF7B" w:rsidR="00421C94" w:rsidRPr="00FA2A84" w:rsidDel="00F86573" w:rsidRDefault="00421C94" w:rsidP="00421C94">
            <w:pPr>
              <w:spacing w:before="40" w:after="40"/>
              <w:jc w:val="center"/>
              <w:rPr>
                <w:sz w:val="20"/>
                <w:szCs w:val="20"/>
              </w:rPr>
            </w:pPr>
            <w:r w:rsidRPr="00337C3E">
              <w:t>3.46</w:t>
            </w:r>
          </w:p>
        </w:tc>
        <w:tc>
          <w:tcPr>
            <w:tcW w:w="894" w:type="dxa"/>
            <w:vAlign w:val="center"/>
          </w:tcPr>
          <w:p w14:paraId="7A584BDF" w14:textId="3B59172D" w:rsidR="00421C94" w:rsidRPr="00FA2A84" w:rsidDel="00F86573" w:rsidRDefault="00421C94" w:rsidP="00421C94">
            <w:pPr>
              <w:spacing w:before="40" w:after="40"/>
              <w:jc w:val="center"/>
              <w:rPr>
                <w:sz w:val="20"/>
                <w:szCs w:val="20"/>
              </w:rPr>
            </w:pPr>
            <w:r w:rsidRPr="00337C3E">
              <w:t>3.69</w:t>
            </w:r>
          </w:p>
        </w:tc>
        <w:tc>
          <w:tcPr>
            <w:tcW w:w="894" w:type="dxa"/>
            <w:vAlign w:val="center"/>
          </w:tcPr>
          <w:p w14:paraId="2863AAF7" w14:textId="63DAFCDA" w:rsidR="00421C94" w:rsidRPr="00FA2A84" w:rsidDel="00F86573" w:rsidRDefault="00421C94" w:rsidP="00421C94">
            <w:pPr>
              <w:spacing w:before="40" w:after="40"/>
              <w:jc w:val="center"/>
              <w:rPr>
                <w:sz w:val="20"/>
                <w:szCs w:val="20"/>
              </w:rPr>
            </w:pPr>
            <w:r w:rsidRPr="00337C3E">
              <w:t>3.49</w:t>
            </w:r>
          </w:p>
        </w:tc>
        <w:tc>
          <w:tcPr>
            <w:tcW w:w="894" w:type="dxa"/>
            <w:vAlign w:val="center"/>
          </w:tcPr>
          <w:p w14:paraId="12A29070" w14:textId="6323196D" w:rsidR="00421C94" w:rsidRPr="00FA2A84" w:rsidDel="00F86573" w:rsidRDefault="00421C94" w:rsidP="00421C94">
            <w:pPr>
              <w:spacing w:before="40" w:after="40"/>
              <w:jc w:val="center"/>
              <w:rPr>
                <w:sz w:val="20"/>
                <w:szCs w:val="20"/>
              </w:rPr>
            </w:pPr>
            <w:r w:rsidRPr="00337C3E">
              <w:t>3.46</w:t>
            </w:r>
          </w:p>
        </w:tc>
        <w:tc>
          <w:tcPr>
            <w:tcW w:w="894" w:type="dxa"/>
            <w:vAlign w:val="center"/>
          </w:tcPr>
          <w:p w14:paraId="018BCFD7" w14:textId="54934975" w:rsidR="00421C94" w:rsidRPr="00FA2A84" w:rsidDel="00F86573" w:rsidRDefault="00421C94" w:rsidP="00421C94">
            <w:pPr>
              <w:spacing w:before="40" w:after="40"/>
              <w:jc w:val="center"/>
              <w:rPr>
                <w:sz w:val="20"/>
                <w:szCs w:val="20"/>
              </w:rPr>
            </w:pPr>
            <w:r w:rsidRPr="00337C3E">
              <w:t>3.42</w:t>
            </w:r>
          </w:p>
        </w:tc>
        <w:tc>
          <w:tcPr>
            <w:tcW w:w="894" w:type="dxa"/>
            <w:vAlign w:val="center"/>
          </w:tcPr>
          <w:p w14:paraId="6BB11297" w14:textId="3175E5B2" w:rsidR="00421C94" w:rsidRPr="00FA2A84" w:rsidDel="00F86573" w:rsidRDefault="00421C94" w:rsidP="00421C94">
            <w:pPr>
              <w:spacing w:before="40" w:after="40"/>
              <w:jc w:val="center"/>
              <w:rPr>
                <w:sz w:val="20"/>
                <w:szCs w:val="20"/>
              </w:rPr>
            </w:pPr>
            <w:r w:rsidRPr="00337C3E">
              <w:t>3.46</w:t>
            </w:r>
          </w:p>
        </w:tc>
        <w:tc>
          <w:tcPr>
            <w:tcW w:w="894" w:type="dxa"/>
            <w:vAlign w:val="center"/>
          </w:tcPr>
          <w:p w14:paraId="03232080" w14:textId="12F9AF7D" w:rsidR="00421C94" w:rsidRPr="00FA2A84" w:rsidDel="00F86573" w:rsidRDefault="00421C94" w:rsidP="00421C94">
            <w:pPr>
              <w:spacing w:before="40" w:after="40"/>
              <w:jc w:val="center"/>
              <w:rPr>
                <w:sz w:val="20"/>
                <w:szCs w:val="20"/>
              </w:rPr>
            </w:pPr>
            <w:r w:rsidRPr="00337C3E">
              <w:t>3.35</w:t>
            </w:r>
          </w:p>
        </w:tc>
        <w:tc>
          <w:tcPr>
            <w:tcW w:w="894" w:type="dxa"/>
            <w:vAlign w:val="center"/>
          </w:tcPr>
          <w:p w14:paraId="75A26DE4" w14:textId="0FCE0F60" w:rsidR="00421C94" w:rsidRPr="00FA2A84" w:rsidDel="00F86573" w:rsidRDefault="00421C94" w:rsidP="00421C94">
            <w:pPr>
              <w:spacing w:before="40" w:after="40"/>
              <w:jc w:val="center"/>
              <w:rPr>
                <w:sz w:val="20"/>
                <w:szCs w:val="20"/>
              </w:rPr>
            </w:pPr>
            <w:r w:rsidRPr="00337C3E">
              <w:t>3.40</w:t>
            </w:r>
          </w:p>
        </w:tc>
      </w:tr>
    </w:tbl>
    <w:p w14:paraId="1631688C" w14:textId="77777777" w:rsidR="008C7654" w:rsidRDefault="008C7654" w:rsidP="008C7654"/>
    <w:p w14:paraId="483080D6" w14:textId="77777777" w:rsidR="008C7654" w:rsidRDefault="008C7654" w:rsidP="008C7654"/>
    <w:p w14:paraId="1AB49154" w14:textId="1223209C" w:rsidR="00643098" w:rsidRDefault="00643098" w:rsidP="00643098">
      <w:pPr>
        <w:pStyle w:val="Heading5"/>
      </w:pPr>
      <w:r>
        <w:rPr>
          <w:rFonts w:ascii="Calibri" w:eastAsiaTheme="minorEastAsia" w:hAnsi="Calibri" w:cstheme="minorBidi"/>
        </w:rPr>
        <w:t>Train with one channel estimator, test with a different estimator</w:t>
      </w:r>
    </w:p>
    <w:p w14:paraId="664D4DB4" w14:textId="51102F85" w:rsidR="00A8139E" w:rsidRDefault="00A8139E" w:rsidP="00836F9C">
      <w:r>
        <w:t xml:space="preserve">In this subsection, it is tested whether the sample-based </w:t>
      </w:r>
      <w:r w:rsidR="00480141">
        <w:t>measurement</w:t>
      </w:r>
      <w:r>
        <w:t xml:space="preserve"> suffers from sensitivity of path detection method</w:t>
      </w:r>
      <w:r w:rsidR="00480141">
        <w:t>,</w:t>
      </w:r>
      <w:r w:rsidR="00E4349C">
        <w:t xml:space="preserve"> if the start of N</w:t>
      </w:r>
      <w:r w:rsidR="00E4349C" w:rsidRPr="00E4349C">
        <w:rPr>
          <w:vertAlign w:val="subscript"/>
        </w:rPr>
        <w:t>t</w:t>
      </w:r>
      <w:r w:rsidR="00E4349C">
        <w:t xml:space="preserve"> samples require a path detection step</w:t>
      </w:r>
      <w:r>
        <w:t xml:space="preserve">. Recall that path-based measurement suffers from the lack of robustness with channel estimator algorithm, as analyzed in details in section </w:t>
      </w:r>
      <w:r w:rsidR="00500110">
        <w:fldChar w:fldCharType="begin"/>
      </w:r>
      <w:r w:rsidR="00500110">
        <w:instrText xml:space="preserve"> REF _Ref163068290 \r </w:instrText>
      </w:r>
      <w:r w:rsidR="00500110">
        <w:fldChar w:fldCharType="separate"/>
      </w:r>
      <w:r w:rsidR="00850DA1">
        <w:t>3.1.2.2</w:t>
      </w:r>
      <w:r w:rsidR="00500110">
        <w:fldChar w:fldCharType="end"/>
      </w:r>
      <w:r>
        <w:t>.</w:t>
      </w:r>
    </w:p>
    <w:p w14:paraId="57935B15" w14:textId="49654B48" w:rsidR="00643098" w:rsidRDefault="00A8139E" w:rsidP="00836F9C">
      <w:r>
        <w:t xml:space="preserve">Analogous to the evaluation results shown in </w:t>
      </w:r>
      <w:r w:rsidR="00500110">
        <w:fldChar w:fldCharType="begin"/>
      </w:r>
      <w:r w:rsidR="00500110">
        <w:instrText xml:space="preserve"> REF _Ref162432273 </w:instrText>
      </w:r>
      <w:r w:rsidR="00500110">
        <w:fldChar w:fldCharType="separate"/>
      </w:r>
      <w:r w:rsidR="00850DA1" w:rsidRPr="00E215F0">
        <w:t xml:space="preserve">Figure </w:t>
      </w:r>
      <w:r w:rsidR="00850DA1">
        <w:rPr>
          <w:noProof/>
        </w:rPr>
        <w:t>11</w:t>
      </w:r>
      <w:r w:rsidR="00500110">
        <w:rPr>
          <w:noProof/>
        </w:rPr>
        <w:fldChar w:fldCharType="end"/>
      </w:r>
      <w:r>
        <w:t xml:space="preserve"> for path-based measurement, the same exercise is done for sample-based measurement, with the results </w:t>
      </w:r>
      <w:r w:rsidR="00E91973">
        <w:t xml:space="preserve">plotted </w:t>
      </w:r>
      <w:r>
        <w:t xml:space="preserve">in </w:t>
      </w:r>
      <w:r w:rsidR="00500110">
        <w:fldChar w:fldCharType="begin"/>
      </w:r>
      <w:r w:rsidR="00500110">
        <w:instrText xml:space="preserve"> REF _Ref178705641 </w:instrText>
      </w:r>
      <w:r w:rsidR="00500110">
        <w:fldChar w:fldCharType="separate"/>
      </w:r>
      <w:r w:rsidR="00850DA1" w:rsidRPr="00E215F0">
        <w:t xml:space="preserve">Figure </w:t>
      </w:r>
      <w:r w:rsidR="00850DA1">
        <w:rPr>
          <w:noProof/>
        </w:rPr>
        <w:t>3</w:t>
      </w:r>
      <w:r w:rsidR="00500110">
        <w:rPr>
          <w:noProof/>
        </w:rPr>
        <w:fldChar w:fldCharType="end"/>
      </w:r>
      <w:r>
        <w:t>. This show</w:t>
      </w:r>
      <w:r w:rsidR="004E2310">
        <w:t>s</w:t>
      </w:r>
      <w:r>
        <w:t xml:space="preserve"> </w:t>
      </w:r>
      <w:r w:rsidR="00354B31">
        <w:t xml:space="preserve">a </w:t>
      </w:r>
      <w:r>
        <w:t>clear contrast in the model performance.</w:t>
      </w:r>
    </w:p>
    <w:p w14:paraId="33CE9352" w14:textId="478B39D2" w:rsidR="00A8139E" w:rsidRDefault="00500110" w:rsidP="00A8139E">
      <w:pPr>
        <w:pStyle w:val="ListParagraph"/>
        <w:numPr>
          <w:ilvl w:val="1"/>
          <w:numId w:val="2"/>
        </w:numPr>
        <w:ind w:left="720"/>
      </w:pPr>
      <w:r>
        <w:fldChar w:fldCharType="begin"/>
      </w:r>
      <w:r>
        <w:instrText xml:space="preserve"> REF _Ref162432273 </w:instrText>
      </w:r>
      <w:r>
        <w:fldChar w:fldCharType="separate"/>
      </w:r>
      <w:r w:rsidR="00850DA1" w:rsidRPr="00E215F0">
        <w:t xml:space="preserve">Figure </w:t>
      </w:r>
      <w:r w:rsidR="00850DA1">
        <w:rPr>
          <w:noProof/>
        </w:rPr>
        <w:t>11</w:t>
      </w:r>
      <w:r>
        <w:rPr>
          <w:noProof/>
        </w:rPr>
        <w:fldChar w:fldCharType="end"/>
      </w:r>
      <w:r w:rsidR="00A8139E">
        <w:t xml:space="preserve"> demonstrates that path-based measurement </w:t>
      </w:r>
      <w:r w:rsidR="00E91973">
        <w:t>requires that the model input is generated using the same channel estimator between training data collection and model inference. Otherwise, the model suffers from a varying amount of performance degradation.</w:t>
      </w:r>
      <w:r w:rsidR="00A8139E">
        <w:t xml:space="preserve"> </w:t>
      </w:r>
    </w:p>
    <w:p w14:paraId="2F39A24A" w14:textId="1A382D39" w:rsidR="00E91973" w:rsidRDefault="00500110" w:rsidP="00A8139E">
      <w:pPr>
        <w:pStyle w:val="ListParagraph"/>
        <w:numPr>
          <w:ilvl w:val="1"/>
          <w:numId w:val="2"/>
        </w:numPr>
        <w:ind w:left="720"/>
      </w:pPr>
      <w:r>
        <w:fldChar w:fldCharType="begin"/>
      </w:r>
      <w:r>
        <w:instrText xml:space="preserve"> REF _Ref178705641 </w:instrText>
      </w:r>
      <w:r>
        <w:fldChar w:fldCharType="separate"/>
      </w:r>
      <w:r w:rsidR="00850DA1" w:rsidRPr="00E215F0">
        <w:t xml:space="preserve">Figure </w:t>
      </w:r>
      <w:r w:rsidR="00850DA1">
        <w:rPr>
          <w:noProof/>
        </w:rPr>
        <w:t>3</w:t>
      </w:r>
      <w:r>
        <w:rPr>
          <w:noProof/>
        </w:rPr>
        <w:fldChar w:fldCharType="end"/>
      </w:r>
      <w:r w:rsidR="00E91973">
        <w:t xml:space="preserve"> demonstrates that sample-based measurement as described in </w:t>
      </w:r>
      <w:r w:rsidR="008B2BB0">
        <w:t xml:space="preserve">section </w:t>
      </w:r>
      <w:r w:rsidR="008B2BB0">
        <w:fldChar w:fldCharType="begin"/>
      </w:r>
      <w:r w:rsidR="008B2BB0">
        <w:instrText xml:space="preserve"> REF _Ref178959366 \r </w:instrText>
      </w:r>
      <w:r w:rsidR="008B2BB0">
        <w:fldChar w:fldCharType="separate"/>
      </w:r>
      <w:r w:rsidR="00850DA1">
        <w:t>3.1.1.1</w:t>
      </w:r>
      <w:r w:rsidR="008B2BB0">
        <w:fldChar w:fldCharType="end"/>
      </w:r>
      <w:r w:rsidR="00E91973">
        <w:t xml:space="preserve"> is robust to channel estimator algorithm. The model does not suffer any performance degradation even </w:t>
      </w:r>
      <w:r w:rsidR="00354B31">
        <w:t>when</w:t>
      </w:r>
      <w:r w:rsidR="00E91973">
        <w:t xml:space="preserve"> different channel estimator is used between training data collection and model inference</w:t>
      </w:r>
      <w:r w:rsidR="00FF4EB6">
        <w:t xml:space="preserve"> for determining the start of N</w:t>
      </w:r>
      <w:r w:rsidR="00FF4EB6" w:rsidRPr="00E4349C">
        <w:rPr>
          <w:vertAlign w:val="subscript"/>
        </w:rPr>
        <w:t>t</w:t>
      </w:r>
      <w:r w:rsidR="00FF4EB6">
        <w:t xml:space="preserve"> samples</w:t>
      </w:r>
      <w:r w:rsidR="00E91973">
        <w:t>.</w:t>
      </w:r>
    </w:p>
    <w:p w14:paraId="4721A876" w14:textId="357EB4EC" w:rsidR="004C23A9" w:rsidRDefault="004C23A9" w:rsidP="00836F9C">
      <w:r>
        <w:t>This evaluation results confirms that the sample-based measurement has a big advantage over path-based measurement. For both training data collection stage and model inference stage, there is no need to consider the impact from different vendors’ implementation of channel estimation algorithm.</w:t>
      </w:r>
    </w:p>
    <w:p w14:paraId="69FFB6C8" w14:textId="65114E3B" w:rsidR="004C23A9" w:rsidRDefault="004C23A9" w:rsidP="004C23A9">
      <w:pPr>
        <w:pStyle w:val="Observation"/>
      </w:pPr>
      <w:bookmarkStart w:id="229" w:name="_Toc178961838"/>
      <w:r>
        <w:lastRenderedPageBreak/>
        <w:t>Unlike path-based measurement, sample-based measurement is robust to channel estimation algorithm, even though the start of N</w:t>
      </w:r>
      <w:r w:rsidRPr="00E4349C">
        <w:rPr>
          <w:vertAlign w:val="subscript"/>
        </w:rPr>
        <w:t>t</w:t>
      </w:r>
      <w:r>
        <w:t xml:space="preserve"> </w:t>
      </w:r>
      <w:r w:rsidR="005B04D6">
        <w:t xml:space="preserve">consecutive </w:t>
      </w:r>
      <w:r>
        <w:t xml:space="preserve">samples </w:t>
      </w:r>
      <w:r w:rsidR="005B04D6">
        <w:t>is determined using the first detected path.</w:t>
      </w:r>
      <w:bookmarkEnd w:id="229"/>
    </w:p>
    <w:p w14:paraId="0AC546F9" w14:textId="73E5F3B2" w:rsidR="00B91295" w:rsidRDefault="000D1976" w:rsidP="00643098">
      <w:pPr>
        <w:jc w:val="center"/>
      </w:pPr>
      <w:r>
        <w:rPr>
          <w:noProof/>
        </w:rPr>
        <w:drawing>
          <wp:inline distT="0" distB="0" distL="0" distR="0" wp14:anchorId="03597D6A" wp14:editId="7E94B4CB">
            <wp:extent cx="3602736" cy="2810468"/>
            <wp:effectExtent l="0" t="0" r="0" b="9525"/>
            <wp:docPr id="6978401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2736" cy="2810468"/>
                    </a:xfrm>
                    <a:prstGeom prst="rect">
                      <a:avLst/>
                    </a:prstGeom>
                    <a:noFill/>
                  </pic:spPr>
                </pic:pic>
              </a:graphicData>
            </a:graphic>
          </wp:inline>
        </w:drawing>
      </w:r>
    </w:p>
    <w:p w14:paraId="71B90570" w14:textId="5268ACEE" w:rsidR="00643098" w:rsidRDefault="00643098" w:rsidP="00B91295">
      <w:pPr>
        <w:pStyle w:val="Caption"/>
        <w:rPr>
          <w:lang w:eastAsia="ja-JP"/>
        </w:rPr>
      </w:pPr>
      <w:bookmarkStart w:id="230" w:name="_Ref178705641"/>
      <w:r w:rsidRPr="00E215F0">
        <w:t xml:space="preserve">Figure </w:t>
      </w:r>
      <w:r w:rsidR="00500110">
        <w:fldChar w:fldCharType="begin"/>
      </w:r>
      <w:r w:rsidR="00500110">
        <w:instrText xml:space="preserve"> SEQ Figure \* ARABIC </w:instrText>
      </w:r>
      <w:r w:rsidR="00500110">
        <w:fldChar w:fldCharType="separate"/>
      </w:r>
      <w:r w:rsidR="00850DA1">
        <w:rPr>
          <w:noProof/>
        </w:rPr>
        <w:t>3</w:t>
      </w:r>
      <w:r w:rsidR="00500110">
        <w:rPr>
          <w:noProof/>
        </w:rPr>
        <w:fldChar w:fldCharType="end"/>
      </w:r>
      <w:bookmarkEnd w:id="230"/>
      <w:r>
        <w:t xml:space="preserve"> CDF of 2D positioning errors of a </w:t>
      </w:r>
      <m:oMath>
        <m:sSub>
          <m:sSubPr>
            <m:ctrlPr>
              <w:rPr>
                <w:rFonts w:ascii="Cambria Math" w:hAnsi="Cambria Math"/>
                <w:bCs/>
                <w:i/>
                <w:iCs/>
                <w:lang w:eastAsia="ja-JP"/>
              </w:rPr>
            </m:ctrlPr>
          </m:sSubPr>
          <m:e>
            <m:r>
              <m:rPr>
                <m:sty m:val="bi"/>
              </m:rPr>
              <w:rPr>
                <w:rFonts w:ascii="Cambria Math" w:hAnsi="Cambria Math"/>
                <w:lang w:eastAsia="ja-JP"/>
              </w:rPr>
              <m:t>M</m:t>
            </m:r>
          </m:e>
          <m:sub>
            <m:r>
              <m:rPr>
                <m:sty m:val="bi"/>
              </m:rPr>
              <w:rPr>
                <w:rFonts w:ascii="Cambria Math" w:hAnsi="Cambria Math"/>
                <w:lang w:eastAsia="ja-JP"/>
              </w:rPr>
              <m:t>t</m:t>
            </m:r>
          </m:sub>
        </m:sSub>
        <m:r>
          <m:rPr>
            <m:sty m:val="bi"/>
          </m:rPr>
          <w:rPr>
            <w:rFonts w:ascii="Cambria Math" w:hAnsi="Cambria Math"/>
            <w:lang w:eastAsia="ja-JP"/>
          </w:rPr>
          <m:t>=64</m:t>
        </m:r>
      </m:oMath>
      <w:r>
        <w:rPr>
          <w:lang w:eastAsia="ja-JP"/>
        </w:rPr>
        <w:t xml:space="preserve">,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=9</m:t>
        </m:r>
      </m:oMath>
      <w:r>
        <w:rPr>
          <w:lang w:eastAsia="ja-JP"/>
        </w:rPr>
        <w:t xml:space="preserve"> and </w:t>
      </w:r>
      <m:oMath>
        <m:sSub>
          <m:sSubPr>
            <m:ctrlPr>
              <w:rPr>
                <w:rFonts w:ascii="Cambria Math" w:hAnsi="Cambria Math"/>
                <w:bCs/>
                <w:i/>
                <w:iCs/>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=9</m:t>
        </m:r>
      </m:oMath>
      <w:r>
        <w:t xml:space="preserve"> model trained on PDP sample reports with the first detected path, </w:t>
      </w:r>
      <m:oMath>
        <m:r>
          <m:rPr>
            <m:sty m:val="bi"/>
          </m:rPr>
          <w:rPr>
            <w:rFonts w:ascii="Cambria Math" w:hAnsi="Cambria Math"/>
          </w:rPr>
          <m:t> </m:t>
        </m:r>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τ</m:t>
                </m:r>
              </m:e>
            </m:acc>
          </m:e>
          <m:sub>
            <m:r>
              <m:rPr>
                <m:sty m:val="bi"/>
              </m:rPr>
              <w:rPr>
                <w:rFonts w:ascii="Cambria Math" w:hAnsi="Cambria Math"/>
              </w:rPr>
              <m:t>1</m:t>
            </m:r>
          </m:sub>
        </m:sSub>
      </m:oMath>
      <w:r>
        <w:t xml:space="preserve">, from channel estimator G and tested on sample reports with the first detected path, </w:t>
      </w:r>
      <m:oMath>
        <m:r>
          <m:rPr>
            <m:sty m:val="bi"/>
          </m:rPr>
          <w:rPr>
            <w:rFonts w:ascii="Cambria Math" w:hAnsi="Cambria Math"/>
          </w:rPr>
          <m:t> </m:t>
        </m:r>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τ</m:t>
                </m:r>
              </m:e>
            </m:acc>
          </m:e>
          <m:sub>
            <m:r>
              <m:rPr>
                <m:sty m:val="bi"/>
              </m:rPr>
              <w:rPr>
                <w:rFonts w:ascii="Cambria Math" w:hAnsi="Cambria Math"/>
              </w:rPr>
              <m:t>1</m:t>
            </m:r>
          </m:sub>
        </m:sSub>
      </m:oMath>
      <w:r>
        <w:t xml:space="preserve">, from </w:t>
      </w:r>
      <w:r>
        <w:rPr>
          <w:i/>
          <w:iCs/>
          <w:u w:val="single"/>
        </w:rPr>
        <w:t>different</w:t>
      </w:r>
      <w:r>
        <w:t xml:space="preserve"> channel estimators in the </w:t>
      </w:r>
      <w:r>
        <w:rPr>
          <w:lang w:eastAsia="ja-JP"/>
        </w:rPr>
        <w:t>{60%, 6m, 2m} InF-DH scenario</w:t>
      </w:r>
      <w:r>
        <w:t>.</w:t>
      </w:r>
    </w:p>
    <w:p w14:paraId="5E82E7E8" w14:textId="77777777" w:rsidR="00836F9C" w:rsidRPr="00714D4A" w:rsidRDefault="00836F9C" w:rsidP="00836F9C"/>
    <w:p w14:paraId="40565D0B" w14:textId="5E5CC758" w:rsidR="00523E1B" w:rsidRDefault="00523E1B" w:rsidP="00523E1B">
      <w:pPr>
        <w:pStyle w:val="Heading5"/>
        <w:rPr>
          <w:rFonts w:ascii="Calibri" w:eastAsiaTheme="minorEastAsia" w:hAnsi="Calibri" w:cstheme="minorBidi"/>
        </w:rPr>
      </w:pPr>
      <w:r>
        <w:rPr>
          <w:rFonts w:ascii="Calibri" w:eastAsiaTheme="minorEastAsia" w:hAnsi="Calibri" w:cstheme="minorBidi"/>
        </w:rPr>
        <w:t>Selected N</w:t>
      </w:r>
      <w:r w:rsidRPr="00523E1B">
        <w:rPr>
          <w:rFonts w:ascii="Calibri" w:eastAsiaTheme="minorEastAsia" w:hAnsi="Calibri" w:cstheme="minorBidi"/>
          <w:vertAlign w:val="subscript"/>
        </w:rPr>
        <w:t>t</w:t>
      </w:r>
      <w:r>
        <w:rPr>
          <w:rFonts w:ascii="Calibri" w:eastAsiaTheme="minorEastAsia" w:hAnsi="Calibri" w:cstheme="minorBidi"/>
        </w:rPr>
        <w:t>’ samples from the list of N</w:t>
      </w:r>
      <w:r w:rsidRPr="00523E1B">
        <w:rPr>
          <w:rFonts w:ascii="Calibri" w:eastAsiaTheme="minorEastAsia" w:hAnsi="Calibri" w:cstheme="minorBidi"/>
          <w:vertAlign w:val="subscript"/>
        </w:rPr>
        <w:t>t</w:t>
      </w:r>
      <w:r>
        <w:rPr>
          <w:rFonts w:ascii="Calibri" w:eastAsiaTheme="minorEastAsia" w:hAnsi="Calibri" w:cstheme="minorBidi"/>
        </w:rPr>
        <w:t xml:space="preserve"> consecutive samples</w:t>
      </w:r>
    </w:p>
    <w:p w14:paraId="6D870640" w14:textId="69219902" w:rsidR="00ED1FA9" w:rsidRDefault="00ED1FA9" w:rsidP="00ED1FA9">
      <w:r>
        <w:rPr>
          <w:lang w:val="en-GB"/>
        </w:rPr>
        <w:t xml:space="preserve">In the following, two exemplary channel measurements are shown, one for a LoS link between a simulated TRP-UE link, the other for a NLoS link. </w:t>
      </w:r>
      <w:r w:rsidR="00F559CE">
        <w:rPr>
          <w:lang w:val="en-GB"/>
        </w:rPr>
        <w:t xml:space="preserve">The </w:t>
      </w:r>
      <w:r>
        <w:t>selected N</w:t>
      </w:r>
      <w:r w:rsidRPr="00523E1B">
        <w:rPr>
          <w:vertAlign w:val="subscript"/>
        </w:rPr>
        <w:t>t</w:t>
      </w:r>
      <w:r>
        <w:t>’ samples from the list of N</w:t>
      </w:r>
      <w:r w:rsidRPr="00523E1B">
        <w:rPr>
          <w:vertAlign w:val="subscript"/>
        </w:rPr>
        <w:t>t</w:t>
      </w:r>
      <w:r>
        <w:t xml:space="preserve"> consecutive samples are illustrated. </w:t>
      </w:r>
    </w:p>
    <w:p w14:paraId="11659745" w14:textId="124E0E58" w:rsidR="00ED1FA9" w:rsidRDefault="00ED1FA9" w:rsidP="00ED1FA9">
      <w:r>
        <w:t>The two versions of N</w:t>
      </w:r>
      <w:r w:rsidRPr="00523E1B">
        <w:rPr>
          <w:vertAlign w:val="subscript"/>
        </w:rPr>
        <w:t>t</w:t>
      </w:r>
      <w:r>
        <w:t>’ samples of channel measurements are:</w:t>
      </w:r>
    </w:p>
    <w:p w14:paraId="12CD2D55" w14:textId="3FEE42B9" w:rsidR="00ED1FA9" w:rsidRDefault="00ED1FA9" w:rsidP="00117C1D">
      <w:pPr>
        <w:ind w:left="720" w:hanging="360"/>
      </w:pPr>
      <w:r>
        <w:rPr>
          <w:lang w:val="en-GB"/>
        </w:rPr>
        <w:t xml:space="preserve">(a). Select </w:t>
      </w:r>
      <w:r>
        <w:t>N</w:t>
      </w:r>
      <w:r w:rsidRPr="00523E1B">
        <w:rPr>
          <w:vertAlign w:val="subscript"/>
        </w:rPr>
        <w:t>t</w:t>
      </w:r>
      <w:r>
        <w:t xml:space="preserve">’ samples with </w:t>
      </w:r>
      <w:r w:rsidRPr="00152498">
        <w:t xml:space="preserve">the highest power from the </w:t>
      </w:r>
      <w:r>
        <w:t>ID</w:t>
      </w:r>
      <w:r w:rsidRPr="00152498">
        <w:t>FT window of siz</w:t>
      </w:r>
      <w:r>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t xml:space="preserve">. This corresponds to the performance bound of sample-based measurement, whose performance are green-highlighted in section </w:t>
      </w:r>
      <w:r w:rsidR="00500110">
        <w:fldChar w:fldCharType="begin"/>
      </w:r>
      <w:r w:rsidR="00500110">
        <w:instrText xml:space="preserve"> REF _Ref178707507 \r </w:instrText>
      </w:r>
      <w:r w:rsidR="00500110">
        <w:fldChar w:fldCharType="separate"/>
      </w:r>
      <w:r w:rsidR="00850DA1">
        <w:t>3.1.1.3.1</w:t>
      </w:r>
      <w:r w:rsidR="00500110">
        <w:fldChar w:fldCharType="end"/>
      </w:r>
      <w:r w:rsidR="00AF746A">
        <w:t>.</w:t>
      </w:r>
    </w:p>
    <w:p w14:paraId="3F5DE98A" w14:textId="1B6017C8" w:rsidR="00AF746A" w:rsidRDefault="00AF746A" w:rsidP="00117C1D">
      <w:pPr>
        <w:ind w:left="720" w:hanging="360"/>
        <w:rPr>
          <w:lang w:val="en-GB"/>
        </w:rPr>
      </w:pPr>
      <w:r>
        <w:t xml:space="preserve">(b). </w:t>
      </w:r>
      <w:r>
        <w:rPr>
          <w:lang w:val="en-GB"/>
        </w:rPr>
        <w:t xml:space="preserve">Select </w:t>
      </w:r>
      <w:r>
        <w:t>N</w:t>
      </w:r>
      <w:r w:rsidRPr="00523E1B">
        <w:rPr>
          <w:vertAlign w:val="subscript"/>
        </w:rPr>
        <w:t>t</w:t>
      </w:r>
      <w:r>
        <w:t xml:space="preserve">’ samples with </w:t>
      </w:r>
      <w:r w:rsidRPr="00152498">
        <w:t xml:space="preserve">the highest power from the </w:t>
      </w:r>
      <w:r>
        <w:t>list of N</w:t>
      </w:r>
      <w:r w:rsidRPr="004D3536">
        <w:rPr>
          <w:vertAlign w:val="subscript"/>
        </w:rPr>
        <w:t>t</w:t>
      </w:r>
      <w:r>
        <w:t xml:space="preserve"> consecutive samples, where the list starts with the first detected path (i.e., </w:t>
      </w:r>
      <w:r>
        <w:sym w:font="Symbol" w:char="F064"/>
      </w:r>
      <w:r>
        <w:t xml:space="preserve">=0). The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t xml:space="preserve"> samples in the IDFT window but are not selected are set to zero to illustrate the measurements </w:t>
      </w:r>
      <w:r w:rsidR="00824569">
        <w:t xml:space="preserve">as </w:t>
      </w:r>
      <w:r>
        <w:t>seen by the AI/ML model.</w:t>
      </w:r>
    </w:p>
    <w:p w14:paraId="71DECAF6" w14:textId="77777777" w:rsidR="00ED1FA9" w:rsidRPr="00ED1FA9" w:rsidRDefault="00ED1FA9" w:rsidP="00ED1FA9">
      <w:pPr>
        <w:rPr>
          <w:lang w:val="en-GB"/>
        </w:rPr>
      </w:pPr>
    </w:p>
    <w:p w14:paraId="4B402847" w14:textId="4AC964D3" w:rsidR="00643098" w:rsidRDefault="00F559CE" w:rsidP="00836F9C">
      <w:r>
        <w:t xml:space="preserve">The examples demonstrate that </w:t>
      </w:r>
      <w:r w:rsidR="00793BAF">
        <w:t xml:space="preserve">(b), i.e., </w:t>
      </w:r>
      <w:r>
        <w:t xml:space="preserve">the method described in section </w:t>
      </w:r>
      <w:r w:rsidR="008B2BB0">
        <w:fldChar w:fldCharType="begin"/>
      </w:r>
      <w:r w:rsidR="008B2BB0">
        <w:instrText xml:space="preserve"> REF _Ref178959405 \r </w:instrText>
      </w:r>
      <w:r w:rsidR="008B2BB0">
        <w:fldChar w:fldCharType="separate"/>
      </w:r>
      <w:r w:rsidR="00850DA1">
        <w:t>3.1.1.1</w:t>
      </w:r>
      <w:r w:rsidR="008B2BB0">
        <w:fldChar w:fldCharType="end"/>
      </w:r>
      <w:r w:rsidR="00793BAF">
        <w:t>,</w:t>
      </w:r>
      <w:r w:rsidR="00B03641">
        <w:t xml:space="preserve"> does shrink the channel measurements, sometimes substantially, as shown in </w:t>
      </w:r>
      <w:r w:rsidR="00500110">
        <w:fldChar w:fldCharType="begin"/>
      </w:r>
      <w:r w:rsidR="00500110">
        <w:instrText xml:space="preserve"> REF _Ref178709521 </w:instrText>
      </w:r>
      <w:r w:rsidR="00500110">
        <w:fldChar w:fldCharType="separate"/>
      </w:r>
      <w:r w:rsidR="00850DA1" w:rsidRPr="00E215F0">
        <w:t xml:space="preserve">Figure </w:t>
      </w:r>
      <w:r w:rsidR="00850DA1">
        <w:rPr>
          <w:noProof/>
        </w:rPr>
        <w:t>5</w:t>
      </w:r>
      <w:r w:rsidR="00500110">
        <w:rPr>
          <w:noProof/>
        </w:rPr>
        <w:fldChar w:fldCharType="end"/>
      </w:r>
      <w:r w:rsidR="00B03641">
        <w:t xml:space="preserve">. However, the evaluation results in section </w:t>
      </w:r>
      <w:r w:rsidR="00500110">
        <w:fldChar w:fldCharType="begin"/>
      </w:r>
      <w:r w:rsidR="00500110">
        <w:instrText xml:space="preserve"> REF _Ref178707507 \r </w:instrText>
      </w:r>
      <w:r w:rsidR="00500110">
        <w:fldChar w:fldCharType="separate"/>
      </w:r>
      <w:r w:rsidR="00850DA1">
        <w:t>3.1.1.3.1</w:t>
      </w:r>
      <w:r w:rsidR="00500110">
        <w:fldChar w:fldCharType="end"/>
      </w:r>
      <w:r w:rsidR="00B03641">
        <w:t xml:space="preserve"> shows that the AI/ML model shows little or no performance degradation</w:t>
      </w:r>
      <w:r w:rsidR="002B2FCF">
        <w:t xml:space="preserve"> when</w:t>
      </w:r>
      <w:r w:rsidR="00B03641">
        <w:t xml:space="preserve"> </w:t>
      </w:r>
      <w:r w:rsidR="002B2FCF">
        <w:t>N</w:t>
      </w:r>
      <w:r w:rsidR="002B2FCF" w:rsidRPr="004D3536">
        <w:rPr>
          <w:vertAlign w:val="subscript"/>
        </w:rPr>
        <w:t>t</w:t>
      </w:r>
      <w:r w:rsidR="00B03641">
        <w:t xml:space="preserve"> </w:t>
      </w:r>
      <w:r w:rsidR="002B2FCF">
        <w:t>is sufficiently large (e.g., N</w:t>
      </w:r>
      <w:r w:rsidR="002B2FCF" w:rsidRPr="002B2FCF">
        <w:rPr>
          <w:vertAlign w:val="subscript"/>
        </w:rPr>
        <w:t>t</w:t>
      </w:r>
      <w:r w:rsidR="002B2FCF">
        <w:t xml:space="preserve"> &gt;=16) and enough TRPs are active (e.g., &gt;=6 active TRPs). Thus, the method described in section </w:t>
      </w:r>
      <w:r w:rsidR="008B2BB0">
        <w:fldChar w:fldCharType="begin"/>
      </w:r>
      <w:r w:rsidR="008B2BB0">
        <w:instrText xml:space="preserve"> REF _Ref178959405 \r </w:instrText>
      </w:r>
      <w:r w:rsidR="008B2BB0">
        <w:fldChar w:fldCharType="separate"/>
      </w:r>
      <w:r w:rsidR="00850DA1">
        <w:t>3.1.1.1</w:t>
      </w:r>
      <w:r w:rsidR="008B2BB0">
        <w:fldChar w:fldCharType="end"/>
      </w:r>
      <w:r w:rsidR="002B2FCF">
        <w:t xml:space="preserve"> can be viewed as a</w:t>
      </w:r>
      <w:r w:rsidR="00692A76">
        <w:t>n efficient</w:t>
      </w:r>
      <w:r w:rsidR="002B2FCF">
        <w:t xml:space="preserve"> way to perform feature engineering</w:t>
      </w:r>
      <w:r w:rsidR="00270FE0">
        <w:t>,</w:t>
      </w:r>
      <w:r w:rsidR="002B2FCF">
        <w:t xml:space="preserve"> </w:t>
      </w:r>
      <w:r w:rsidR="00270FE0">
        <w:t>which</w:t>
      </w:r>
      <w:r w:rsidR="002B2FCF">
        <w:t xml:space="preserve"> extract the most important finger-printing information from the </w:t>
      </w:r>
      <w:r w:rsidR="00270FE0">
        <w:t>channel measurements.</w:t>
      </w:r>
    </w:p>
    <w:tbl>
      <w:tblPr>
        <w:tblStyle w:val="TableGrid"/>
        <w:tblW w:w="0" w:type="auto"/>
        <w:tblLook w:val="04A0" w:firstRow="1" w:lastRow="0" w:firstColumn="1" w:lastColumn="0" w:noHBand="0" w:noVBand="1"/>
      </w:tblPr>
      <w:tblGrid>
        <w:gridCol w:w="4981"/>
        <w:gridCol w:w="4981"/>
      </w:tblGrid>
      <w:tr w:rsidR="008E4E1C" w14:paraId="08ECC962" w14:textId="77777777" w:rsidTr="00AF746A">
        <w:tc>
          <w:tcPr>
            <w:tcW w:w="4981" w:type="dxa"/>
            <w:tcBorders>
              <w:top w:val="nil"/>
              <w:left w:val="nil"/>
              <w:bottom w:val="nil"/>
              <w:right w:val="nil"/>
            </w:tcBorders>
          </w:tcPr>
          <w:p w14:paraId="3CE28008" w14:textId="780D43F2" w:rsidR="008E4E1C" w:rsidRDefault="00233A73" w:rsidP="00836F9C">
            <w:r>
              <w:rPr>
                <w:noProof/>
              </w:rPr>
              <w:lastRenderedPageBreak/>
              <w:drawing>
                <wp:inline distT="0" distB="0" distL="0" distR="0" wp14:anchorId="241F46B9" wp14:editId="26200686">
                  <wp:extent cx="2944368" cy="2362310"/>
                  <wp:effectExtent l="0" t="0" r="8890" b="0"/>
                  <wp:docPr id="6054551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4368" cy="2362310"/>
                          </a:xfrm>
                          <a:prstGeom prst="rect">
                            <a:avLst/>
                          </a:prstGeom>
                          <a:noFill/>
                        </pic:spPr>
                      </pic:pic>
                    </a:graphicData>
                  </a:graphic>
                </wp:inline>
              </w:drawing>
            </w:r>
          </w:p>
        </w:tc>
        <w:tc>
          <w:tcPr>
            <w:tcW w:w="4981" w:type="dxa"/>
            <w:tcBorders>
              <w:top w:val="nil"/>
              <w:left w:val="nil"/>
              <w:bottom w:val="nil"/>
              <w:right w:val="nil"/>
            </w:tcBorders>
          </w:tcPr>
          <w:p w14:paraId="58567C56" w14:textId="3FCF20F5" w:rsidR="008E4E1C" w:rsidRDefault="006373C4" w:rsidP="00836F9C">
            <w:r>
              <w:rPr>
                <w:noProof/>
              </w:rPr>
              <w:drawing>
                <wp:inline distT="0" distB="0" distL="0" distR="0" wp14:anchorId="716D32EB" wp14:editId="1E246A12">
                  <wp:extent cx="2944368" cy="2362310"/>
                  <wp:effectExtent l="0" t="0" r="8890" b="0"/>
                  <wp:docPr id="1538310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4368" cy="2362310"/>
                          </a:xfrm>
                          <a:prstGeom prst="rect">
                            <a:avLst/>
                          </a:prstGeom>
                          <a:noFill/>
                        </pic:spPr>
                      </pic:pic>
                    </a:graphicData>
                  </a:graphic>
                </wp:inline>
              </w:drawing>
            </w:r>
          </w:p>
        </w:tc>
      </w:tr>
      <w:tr w:rsidR="008E4E1C" w14:paraId="1C0329EA" w14:textId="77777777" w:rsidTr="00B03641">
        <w:tc>
          <w:tcPr>
            <w:tcW w:w="4981" w:type="dxa"/>
            <w:tcBorders>
              <w:top w:val="nil"/>
              <w:left w:val="nil"/>
              <w:bottom w:val="nil"/>
              <w:right w:val="nil"/>
            </w:tcBorders>
            <w:shd w:val="clear" w:color="auto" w:fill="E2EFD9" w:themeFill="accent6" w:themeFillTint="33"/>
          </w:tcPr>
          <w:p w14:paraId="1F6E6D22" w14:textId="7DB2FCD8" w:rsidR="008E4E1C" w:rsidRDefault="00AF746A" w:rsidP="00D35F36">
            <w:pPr>
              <w:pStyle w:val="ListParagraph"/>
              <w:numPr>
                <w:ilvl w:val="0"/>
                <w:numId w:val="87"/>
              </w:numPr>
            </w:pPr>
            <w:r>
              <w:t xml:space="preserve">Select </w:t>
            </w:r>
            <w:r>
              <w:rPr>
                <w:rFonts w:ascii="Calibri" w:eastAsiaTheme="minorEastAsia" w:hAnsi="Calibri" w:cstheme="minorBidi"/>
              </w:rPr>
              <w:t>N</w:t>
            </w:r>
            <w:r w:rsidRPr="00523E1B">
              <w:rPr>
                <w:rFonts w:ascii="Calibri" w:eastAsiaTheme="minorEastAsia" w:hAnsi="Calibri" w:cstheme="minorBidi"/>
                <w:vertAlign w:val="subscript"/>
              </w:rPr>
              <w:t>t</w:t>
            </w:r>
            <w:r>
              <w:rPr>
                <w:rFonts w:ascii="Calibri" w:eastAsiaTheme="minorEastAsia" w:hAnsi="Calibri" w:cstheme="minorBidi"/>
              </w:rPr>
              <w:t xml:space="preserve">’ </w:t>
            </w:r>
            <w:r>
              <w:t>samples in IDFT window</w:t>
            </w:r>
          </w:p>
        </w:tc>
        <w:tc>
          <w:tcPr>
            <w:tcW w:w="4981" w:type="dxa"/>
            <w:tcBorders>
              <w:top w:val="nil"/>
              <w:left w:val="nil"/>
              <w:bottom w:val="nil"/>
              <w:right w:val="nil"/>
            </w:tcBorders>
            <w:shd w:val="clear" w:color="auto" w:fill="D9E2F3" w:themeFill="accent1" w:themeFillTint="33"/>
          </w:tcPr>
          <w:p w14:paraId="6A5D6546" w14:textId="603B0EF6" w:rsidR="008E4E1C" w:rsidRDefault="00AF746A" w:rsidP="00D35F36">
            <w:pPr>
              <w:pStyle w:val="ListParagraph"/>
              <w:numPr>
                <w:ilvl w:val="0"/>
                <w:numId w:val="87"/>
              </w:numPr>
            </w:pPr>
            <w:r>
              <w:t xml:space="preserve">Select </w:t>
            </w:r>
            <w:r>
              <w:rPr>
                <w:rFonts w:ascii="Calibri" w:eastAsiaTheme="minorEastAsia" w:hAnsi="Calibri" w:cstheme="minorBidi"/>
              </w:rPr>
              <w:t>N</w:t>
            </w:r>
            <w:r w:rsidRPr="00523E1B">
              <w:rPr>
                <w:rFonts w:ascii="Calibri" w:eastAsiaTheme="minorEastAsia" w:hAnsi="Calibri" w:cstheme="minorBidi"/>
                <w:vertAlign w:val="subscript"/>
              </w:rPr>
              <w:t>t</w:t>
            </w:r>
            <w:r>
              <w:rPr>
                <w:rFonts w:ascii="Calibri" w:eastAsiaTheme="minorEastAsia" w:hAnsi="Calibri" w:cstheme="minorBidi"/>
              </w:rPr>
              <w:t xml:space="preserve">’ </w:t>
            </w:r>
            <w:r>
              <w:t>samples from the list of N</w:t>
            </w:r>
            <w:r w:rsidRPr="00AF746A">
              <w:rPr>
                <w:vertAlign w:val="subscript"/>
              </w:rPr>
              <w:t>t</w:t>
            </w:r>
            <w:r>
              <w:t xml:space="preserve"> samples starting with the first detected path</w:t>
            </w:r>
          </w:p>
        </w:tc>
      </w:tr>
    </w:tbl>
    <w:p w14:paraId="6C2616CE" w14:textId="6CCFC199" w:rsidR="00F559CE" w:rsidRDefault="00F559CE" w:rsidP="00F559CE">
      <w:pPr>
        <w:pStyle w:val="Caption"/>
        <w:jc w:val="center"/>
        <w:rPr>
          <w:lang w:eastAsia="ja-JP"/>
        </w:rPr>
      </w:pPr>
      <w:r w:rsidRPr="00E215F0">
        <w:t xml:space="preserve">Figure </w:t>
      </w:r>
      <w:r w:rsidR="00500110">
        <w:fldChar w:fldCharType="begin"/>
      </w:r>
      <w:r w:rsidR="00500110">
        <w:instrText xml:space="preserve"> SEQ Figure \* ARABIC </w:instrText>
      </w:r>
      <w:r w:rsidR="00500110">
        <w:fldChar w:fldCharType="separate"/>
      </w:r>
      <w:r w:rsidR="00850DA1">
        <w:rPr>
          <w:noProof/>
        </w:rPr>
        <w:t>4</w:t>
      </w:r>
      <w:r w:rsidR="00500110">
        <w:rPr>
          <w:noProof/>
        </w:rPr>
        <w:fldChar w:fldCharType="end"/>
      </w:r>
      <w:r>
        <w:rPr>
          <w:noProof/>
        </w:rPr>
        <w:t xml:space="preserve">. </w:t>
      </w:r>
      <w:r>
        <w:t>N</w:t>
      </w:r>
      <w:r w:rsidRPr="00523E1B">
        <w:rPr>
          <w:vertAlign w:val="subscript"/>
        </w:rPr>
        <w:t>t</w:t>
      </w:r>
      <w:r>
        <w:t xml:space="preserve">’ samples </w:t>
      </w:r>
      <w:r>
        <w:rPr>
          <w:noProof/>
        </w:rPr>
        <w:t>selected using two methods for a representative LoS link</w:t>
      </w:r>
      <w:r>
        <w:t xml:space="preserve">. </w:t>
      </w:r>
      <m:oMath>
        <m:sSub>
          <m:sSubPr>
            <m:ctrlPr>
              <w:rPr>
                <w:rFonts w:ascii="Cambria Math" w:hAnsi="Cambria Math"/>
                <w:bCs/>
                <w:i/>
                <w:iCs/>
                <w:lang w:eastAsia="ja-JP"/>
              </w:rPr>
            </m:ctrlPr>
          </m:sSubPr>
          <m:e>
            <m:r>
              <m:rPr>
                <m:sty m:val="bi"/>
              </m:rPr>
              <w:rPr>
                <w:rFonts w:ascii="Cambria Math" w:hAnsi="Cambria Math"/>
                <w:lang w:eastAsia="ja-JP"/>
              </w:rPr>
              <m:t>M</m:t>
            </m:r>
          </m:e>
          <m:sub>
            <m:r>
              <m:rPr>
                <m:sty m:val="bi"/>
              </m:rPr>
              <w:rPr>
                <w:rFonts w:ascii="Cambria Math" w:hAnsi="Cambria Math"/>
                <w:lang w:eastAsia="ja-JP"/>
              </w:rPr>
              <m:t>t</m:t>
            </m:r>
          </m:sub>
        </m:sSub>
      </m:oMath>
      <w:r>
        <w:t xml:space="preserve">=128, </w:t>
      </w:r>
      <m:oMath>
        <m:sSub>
          <m:sSubPr>
            <m:ctrlPr>
              <w:rPr>
                <w:rFonts w:ascii="Cambria Math" w:hAnsi="Cambria Math"/>
                <w:bCs/>
                <w:i/>
                <w:iCs/>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oMath>
      <w:r>
        <w:t xml:space="preserve">= 32,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oMath>
      <w:r>
        <w:t>=16.</w:t>
      </w:r>
    </w:p>
    <w:p w14:paraId="4B602D9D" w14:textId="77777777" w:rsidR="008E4E1C" w:rsidRDefault="008E4E1C" w:rsidP="00836F9C"/>
    <w:p w14:paraId="133BCEEE" w14:textId="2C33E67C" w:rsidR="008E4E1C" w:rsidRDefault="008E4E1C" w:rsidP="008E4E1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8E4E1C" w14:paraId="5B8BF8D3" w14:textId="77777777" w:rsidTr="00AF746A">
        <w:tc>
          <w:tcPr>
            <w:tcW w:w="4981" w:type="dxa"/>
          </w:tcPr>
          <w:p w14:paraId="6AAAE058" w14:textId="299B9FBB" w:rsidR="008E4E1C" w:rsidRDefault="000262F7">
            <w:r>
              <w:rPr>
                <w:noProof/>
              </w:rPr>
              <w:drawing>
                <wp:inline distT="0" distB="0" distL="0" distR="0" wp14:anchorId="7956E8F9" wp14:editId="619F724E">
                  <wp:extent cx="2944368" cy="2303014"/>
                  <wp:effectExtent l="0" t="0" r="8890" b="2540"/>
                  <wp:docPr id="21082498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4368" cy="2303014"/>
                          </a:xfrm>
                          <a:prstGeom prst="rect">
                            <a:avLst/>
                          </a:prstGeom>
                          <a:noFill/>
                        </pic:spPr>
                      </pic:pic>
                    </a:graphicData>
                  </a:graphic>
                </wp:inline>
              </w:drawing>
            </w:r>
          </w:p>
        </w:tc>
        <w:tc>
          <w:tcPr>
            <w:tcW w:w="4981" w:type="dxa"/>
          </w:tcPr>
          <w:p w14:paraId="386D7E1D" w14:textId="2703537D" w:rsidR="008E4E1C" w:rsidRDefault="009A4FAA">
            <w:r>
              <w:rPr>
                <w:noProof/>
              </w:rPr>
              <w:drawing>
                <wp:inline distT="0" distB="0" distL="0" distR="0" wp14:anchorId="0ADD662A" wp14:editId="3BC60777">
                  <wp:extent cx="2944368" cy="2303014"/>
                  <wp:effectExtent l="0" t="0" r="8890" b="2540"/>
                  <wp:docPr id="915332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4368" cy="2303014"/>
                          </a:xfrm>
                          <a:prstGeom prst="rect">
                            <a:avLst/>
                          </a:prstGeom>
                          <a:noFill/>
                        </pic:spPr>
                      </pic:pic>
                    </a:graphicData>
                  </a:graphic>
                </wp:inline>
              </w:drawing>
            </w:r>
          </w:p>
        </w:tc>
      </w:tr>
      <w:tr w:rsidR="00AF746A" w14:paraId="44DDF6B1" w14:textId="77777777" w:rsidTr="00B03641">
        <w:tc>
          <w:tcPr>
            <w:tcW w:w="4981" w:type="dxa"/>
            <w:shd w:val="clear" w:color="auto" w:fill="E2EFD9" w:themeFill="accent6" w:themeFillTint="33"/>
          </w:tcPr>
          <w:p w14:paraId="23D58BC6" w14:textId="76B2A2DC" w:rsidR="00AF746A" w:rsidRDefault="00C3624D" w:rsidP="00D35F36">
            <w:pPr>
              <w:pStyle w:val="ListParagraph"/>
              <w:numPr>
                <w:ilvl w:val="0"/>
                <w:numId w:val="88"/>
              </w:numPr>
            </w:pPr>
            <w:r>
              <w:t xml:space="preserve">Select </w:t>
            </w:r>
            <w:r>
              <w:rPr>
                <w:rFonts w:ascii="Calibri" w:eastAsiaTheme="minorEastAsia" w:hAnsi="Calibri" w:cstheme="minorBidi"/>
              </w:rPr>
              <w:t>N</w:t>
            </w:r>
            <w:r w:rsidRPr="00523E1B">
              <w:rPr>
                <w:rFonts w:ascii="Calibri" w:eastAsiaTheme="minorEastAsia" w:hAnsi="Calibri" w:cstheme="minorBidi"/>
                <w:vertAlign w:val="subscript"/>
              </w:rPr>
              <w:t>t</w:t>
            </w:r>
            <w:r>
              <w:rPr>
                <w:rFonts w:ascii="Calibri" w:eastAsiaTheme="minorEastAsia" w:hAnsi="Calibri" w:cstheme="minorBidi"/>
              </w:rPr>
              <w:t>’</w:t>
            </w:r>
            <w:r w:rsidR="00AF746A">
              <w:t xml:space="preserve"> samples in IDFT window</w:t>
            </w:r>
          </w:p>
        </w:tc>
        <w:tc>
          <w:tcPr>
            <w:tcW w:w="4981" w:type="dxa"/>
            <w:shd w:val="clear" w:color="auto" w:fill="D9E2F3" w:themeFill="accent1" w:themeFillTint="33"/>
          </w:tcPr>
          <w:p w14:paraId="525FEB98" w14:textId="4F4F53A6" w:rsidR="00AF746A" w:rsidRDefault="00C3624D" w:rsidP="00D35F36">
            <w:pPr>
              <w:pStyle w:val="ListParagraph"/>
              <w:numPr>
                <w:ilvl w:val="0"/>
                <w:numId w:val="88"/>
              </w:numPr>
            </w:pPr>
            <w:r>
              <w:t xml:space="preserve">Select </w:t>
            </w:r>
            <w:r>
              <w:rPr>
                <w:rFonts w:ascii="Calibri" w:eastAsiaTheme="minorEastAsia" w:hAnsi="Calibri" w:cstheme="minorBidi"/>
              </w:rPr>
              <w:t>N</w:t>
            </w:r>
            <w:r w:rsidRPr="00523E1B">
              <w:rPr>
                <w:rFonts w:ascii="Calibri" w:eastAsiaTheme="minorEastAsia" w:hAnsi="Calibri" w:cstheme="minorBidi"/>
                <w:vertAlign w:val="subscript"/>
              </w:rPr>
              <w:t>t</w:t>
            </w:r>
            <w:r>
              <w:rPr>
                <w:rFonts w:ascii="Calibri" w:eastAsiaTheme="minorEastAsia" w:hAnsi="Calibri" w:cstheme="minorBidi"/>
              </w:rPr>
              <w:t>’</w:t>
            </w:r>
            <w:r w:rsidR="00AF746A">
              <w:t xml:space="preserve"> samples </w:t>
            </w:r>
            <w:r>
              <w:t xml:space="preserve">from </w:t>
            </w:r>
            <w:r w:rsidR="00AF746A">
              <w:t>the list of N</w:t>
            </w:r>
            <w:r w:rsidR="00AF746A" w:rsidRPr="00AF746A">
              <w:rPr>
                <w:vertAlign w:val="subscript"/>
              </w:rPr>
              <w:t>t</w:t>
            </w:r>
            <w:r w:rsidR="00AF746A">
              <w:t xml:space="preserve"> samples starting with the first detected path</w:t>
            </w:r>
          </w:p>
        </w:tc>
      </w:tr>
    </w:tbl>
    <w:p w14:paraId="1BE95C70" w14:textId="7EC607BB" w:rsidR="00F559CE" w:rsidRDefault="00F559CE" w:rsidP="00F559CE">
      <w:pPr>
        <w:pStyle w:val="Caption"/>
        <w:jc w:val="center"/>
        <w:rPr>
          <w:lang w:eastAsia="ja-JP"/>
        </w:rPr>
      </w:pPr>
      <w:bookmarkStart w:id="231" w:name="_Ref178709521"/>
      <w:r w:rsidRPr="00E215F0">
        <w:t xml:space="preserve">Figure </w:t>
      </w:r>
      <w:r w:rsidR="00500110">
        <w:fldChar w:fldCharType="begin"/>
      </w:r>
      <w:r w:rsidR="00500110">
        <w:instrText xml:space="preserve"> SEQ Figure \* ARABIC </w:instrText>
      </w:r>
      <w:r w:rsidR="00500110">
        <w:fldChar w:fldCharType="separate"/>
      </w:r>
      <w:r w:rsidR="00850DA1">
        <w:rPr>
          <w:noProof/>
        </w:rPr>
        <w:t>5</w:t>
      </w:r>
      <w:r w:rsidR="00500110">
        <w:rPr>
          <w:noProof/>
        </w:rPr>
        <w:fldChar w:fldCharType="end"/>
      </w:r>
      <w:bookmarkEnd w:id="231"/>
      <w:r>
        <w:rPr>
          <w:noProof/>
        </w:rPr>
        <w:t xml:space="preserve">. </w:t>
      </w:r>
      <w:r>
        <w:t>N</w:t>
      </w:r>
      <w:r w:rsidRPr="00523E1B">
        <w:rPr>
          <w:vertAlign w:val="subscript"/>
        </w:rPr>
        <w:t>t</w:t>
      </w:r>
      <w:r>
        <w:t xml:space="preserve">’ samples </w:t>
      </w:r>
      <w:r>
        <w:rPr>
          <w:noProof/>
        </w:rPr>
        <w:t>selected using two methods for a representative NLoS link</w:t>
      </w:r>
      <w:r>
        <w:t xml:space="preserve">. </w:t>
      </w:r>
      <m:oMath>
        <m:sSub>
          <m:sSubPr>
            <m:ctrlPr>
              <w:rPr>
                <w:rFonts w:ascii="Cambria Math" w:hAnsi="Cambria Math"/>
                <w:bCs/>
                <w:i/>
                <w:iCs/>
                <w:lang w:eastAsia="ja-JP"/>
              </w:rPr>
            </m:ctrlPr>
          </m:sSubPr>
          <m:e>
            <m:r>
              <m:rPr>
                <m:sty m:val="bi"/>
              </m:rPr>
              <w:rPr>
                <w:rFonts w:ascii="Cambria Math" w:hAnsi="Cambria Math"/>
                <w:lang w:eastAsia="ja-JP"/>
              </w:rPr>
              <m:t>M</m:t>
            </m:r>
          </m:e>
          <m:sub>
            <m:r>
              <m:rPr>
                <m:sty m:val="bi"/>
              </m:rPr>
              <w:rPr>
                <w:rFonts w:ascii="Cambria Math" w:hAnsi="Cambria Math"/>
                <w:lang w:eastAsia="ja-JP"/>
              </w:rPr>
              <m:t>t</m:t>
            </m:r>
          </m:sub>
        </m:sSub>
      </m:oMath>
      <w:r>
        <w:t xml:space="preserve">=128, </w:t>
      </w:r>
      <m:oMath>
        <m:sSub>
          <m:sSubPr>
            <m:ctrlPr>
              <w:rPr>
                <w:rFonts w:ascii="Cambria Math" w:hAnsi="Cambria Math"/>
                <w:bCs/>
                <w:i/>
                <w:iCs/>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oMath>
      <w:r>
        <w:t xml:space="preserve">= 32,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oMath>
      <w:r>
        <w:t>=16.</w:t>
      </w:r>
    </w:p>
    <w:p w14:paraId="53D827E8" w14:textId="77777777" w:rsidR="008E4E1C" w:rsidRDefault="008E4E1C" w:rsidP="00836F9C"/>
    <w:p w14:paraId="64298740" w14:textId="77777777" w:rsidR="0093485E" w:rsidRPr="007F0727" w:rsidRDefault="0093485E" w:rsidP="00F60309">
      <w:pPr>
        <w:pStyle w:val="Heading4"/>
      </w:pPr>
      <w:bookmarkStart w:id="232" w:name="_Toc178704971"/>
      <w:bookmarkStart w:id="233" w:name="_Toc178705873"/>
      <w:bookmarkStart w:id="234" w:name="_Toc178708851"/>
      <w:bookmarkStart w:id="235" w:name="_Toc178772573"/>
      <w:bookmarkStart w:id="236" w:name="_Toc178704972"/>
      <w:bookmarkStart w:id="237" w:name="_Toc178705874"/>
      <w:bookmarkStart w:id="238" w:name="_Toc178708852"/>
      <w:bookmarkStart w:id="239" w:name="_Toc178772574"/>
      <w:bookmarkStart w:id="240" w:name="_Toc178704973"/>
      <w:bookmarkStart w:id="241" w:name="_Toc178705875"/>
      <w:bookmarkStart w:id="242" w:name="_Toc178708853"/>
      <w:bookmarkStart w:id="243" w:name="_Toc178772575"/>
      <w:bookmarkStart w:id="244" w:name="_Toc178704974"/>
      <w:bookmarkStart w:id="245" w:name="_Toc178705876"/>
      <w:bookmarkStart w:id="246" w:name="_Toc178708854"/>
      <w:bookmarkStart w:id="247" w:name="_Toc178772576"/>
      <w:bookmarkStart w:id="248" w:name="_Toc178704975"/>
      <w:bookmarkStart w:id="249" w:name="_Toc178705877"/>
      <w:bookmarkStart w:id="250" w:name="_Toc178708855"/>
      <w:bookmarkStart w:id="251" w:name="_Toc178772577"/>
      <w:bookmarkStart w:id="252" w:name="_Toc178704976"/>
      <w:bookmarkStart w:id="253" w:name="_Toc178705878"/>
      <w:bookmarkStart w:id="254" w:name="_Toc178708856"/>
      <w:bookmarkStart w:id="255" w:name="_Toc178772578"/>
      <w:bookmarkStart w:id="256" w:name="_Toc178704977"/>
      <w:bookmarkStart w:id="257" w:name="_Toc178705879"/>
      <w:bookmarkStart w:id="258" w:name="_Toc178708857"/>
      <w:bookmarkStart w:id="259" w:name="_Toc178772579"/>
      <w:bookmarkStart w:id="260" w:name="_Toc178704978"/>
      <w:bookmarkStart w:id="261" w:name="_Toc178705880"/>
      <w:bookmarkStart w:id="262" w:name="_Toc178708858"/>
      <w:bookmarkStart w:id="263" w:name="_Toc178772580"/>
      <w:bookmarkStart w:id="264" w:name="_Toc178704979"/>
      <w:bookmarkStart w:id="265" w:name="_Toc178705881"/>
      <w:bookmarkStart w:id="266" w:name="_Toc178708859"/>
      <w:bookmarkStart w:id="267" w:name="_Toc178772581"/>
      <w:bookmarkStart w:id="268" w:name="_Toc178704980"/>
      <w:bookmarkStart w:id="269" w:name="_Toc178705882"/>
      <w:bookmarkStart w:id="270" w:name="_Toc178708860"/>
      <w:bookmarkStart w:id="271" w:name="_Toc178772582"/>
      <w:bookmarkStart w:id="272" w:name="_Toc178704981"/>
      <w:bookmarkStart w:id="273" w:name="_Toc178705883"/>
      <w:bookmarkStart w:id="274" w:name="_Toc178708861"/>
      <w:bookmarkStart w:id="275" w:name="_Toc178772583"/>
      <w:bookmarkStart w:id="276" w:name="_Toc178704982"/>
      <w:bookmarkStart w:id="277" w:name="_Toc178705884"/>
      <w:bookmarkStart w:id="278" w:name="_Toc178708862"/>
      <w:bookmarkStart w:id="279" w:name="_Toc178772584"/>
      <w:bookmarkStart w:id="280" w:name="_Toc178704983"/>
      <w:bookmarkStart w:id="281" w:name="_Toc178705885"/>
      <w:bookmarkStart w:id="282" w:name="_Toc178708863"/>
      <w:bookmarkStart w:id="283" w:name="_Toc178772585"/>
      <w:bookmarkStart w:id="284" w:name="_Toc178704984"/>
      <w:bookmarkStart w:id="285" w:name="_Toc178705886"/>
      <w:bookmarkStart w:id="286" w:name="_Toc178708864"/>
      <w:bookmarkStart w:id="287" w:name="_Toc178772586"/>
      <w:bookmarkStart w:id="288" w:name="_Toc178704985"/>
      <w:bookmarkStart w:id="289" w:name="_Toc178705887"/>
      <w:bookmarkStart w:id="290" w:name="_Toc178708865"/>
      <w:bookmarkStart w:id="291" w:name="_Toc178772587"/>
      <w:bookmarkStart w:id="292" w:name="_Toc178704986"/>
      <w:bookmarkStart w:id="293" w:name="_Toc178705888"/>
      <w:bookmarkStart w:id="294" w:name="_Toc178708866"/>
      <w:bookmarkStart w:id="295" w:name="_Toc178772588"/>
      <w:bookmarkStart w:id="296" w:name="_Toc178704987"/>
      <w:bookmarkStart w:id="297" w:name="_Toc178705889"/>
      <w:bookmarkStart w:id="298" w:name="_Toc178708867"/>
      <w:bookmarkStart w:id="299" w:name="_Toc178772589"/>
      <w:bookmarkStart w:id="300" w:name="_Toc178704988"/>
      <w:bookmarkStart w:id="301" w:name="_Toc178705890"/>
      <w:bookmarkStart w:id="302" w:name="_Toc178708868"/>
      <w:bookmarkStart w:id="303" w:name="_Toc178772590"/>
      <w:bookmarkStart w:id="304" w:name="_Toc178704989"/>
      <w:bookmarkStart w:id="305" w:name="_Toc178705891"/>
      <w:bookmarkStart w:id="306" w:name="_Toc178708869"/>
      <w:bookmarkStart w:id="307" w:name="_Toc178772591"/>
      <w:bookmarkStart w:id="308" w:name="_Toc178704990"/>
      <w:bookmarkStart w:id="309" w:name="_Toc178705892"/>
      <w:bookmarkStart w:id="310" w:name="_Toc178708870"/>
      <w:bookmarkStart w:id="311" w:name="_Toc178772592"/>
      <w:bookmarkStart w:id="312" w:name="_Toc178704991"/>
      <w:bookmarkStart w:id="313" w:name="_Toc178705893"/>
      <w:bookmarkStart w:id="314" w:name="_Toc178708871"/>
      <w:bookmarkStart w:id="315" w:name="_Toc178772593"/>
      <w:bookmarkStart w:id="316" w:name="_Toc178704992"/>
      <w:bookmarkStart w:id="317" w:name="_Toc178705894"/>
      <w:bookmarkStart w:id="318" w:name="_Toc178708872"/>
      <w:bookmarkStart w:id="319" w:name="_Toc178772594"/>
      <w:bookmarkStart w:id="320" w:name="_Toc178704993"/>
      <w:bookmarkStart w:id="321" w:name="_Toc178705895"/>
      <w:bookmarkStart w:id="322" w:name="_Toc178708873"/>
      <w:bookmarkStart w:id="323" w:name="_Toc178772595"/>
      <w:bookmarkStart w:id="324" w:name="_Toc178704994"/>
      <w:bookmarkStart w:id="325" w:name="_Toc178705896"/>
      <w:bookmarkStart w:id="326" w:name="_Toc178708874"/>
      <w:bookmarkStart w:id="327" w:name="_Toc178772596"/>
      <w:bookmarkStart w:id="328" w:name="_Toc178704995"/>
      <w:bookmarkStart w:id="329" w:name="_Toc178705897"/>
      <w:bookmarkStart w:id="330" w:name="_Toc178708875"/>
      <w:bookmarkStart w:id="331" w:name="_Toc178772597"/>
      <w:bookmarkStart w:id="332" w:name="_Toc178704996"/>
      <w:bookmarkStart w:id="333" w:name="_Toc178705898"/>
      <w:bookmarkStart w:id="334" w:name="_Toc178708876"/>
      <w:bookmarkStart w:id="335" w:name="_Toc178772598"/>
      <w:bookmarkStart w:id="336" w:name="_Toc178704997"/>
      <w:bookmarkStart w:id="337" w:name="_Toc178705899"/>
      <w:bookmarkStart w:id="338" w:name="_Toc178708877"/>
      <w:bookmarkStart w:id="339" w:name="_Toc178772599"/>
      <w:bookmarkStart w:id="340" w:name="_Toc178704998"/>
      <w:bookmarkStart w:id="341" w:name="_Toc178705900"/>
      <w:bookmarkStart w:id="342" w:name="_Toc178708878"/>
      <w:bookmarkStart w:id="343" w:name="_Toc178772600"/>
      <w:bookmarkStart w:id="344" w:name="_Toc178704999"/>
      <w:bookmarkStart w:id="345" w:name="_Toc178705901"/>
      <w:bookmarkStart w:id="346" w:name="_Toc178708879"/>
      <w:bookmarkStart w:id="347" w:name="_Toc178772601"/>
      <w:bookmarkStart w:id="348" w:name="_Toc178705000"/>
      <w:bookmarkStart w:id="349" w:name="_Toc178705902"/>
      <w:bookmarkStart w:id="350" w:name="_Toc178708880"/>
      <w:bookmarkStart w:id="351" w:name="_Toc178772602"/>
      <w:bookmarkStart w:id="352" w:name="_Toc178705001"/>
      <w:bookmarkStart w:id="353" w:name="_Toc178705903"/>
      <w:bookmarkStart w:id="354" w:name="_Toc178708881"/>
      <w:bookmarkStart w:id="355" w:name="_Toc178772603"/>
      <w:bookmarkStart w:id="356" w:name="_Toc178705002"/>
      <w:bookmarkStart w:id="357" w:name="_Toc178705904"/>
      <w:bookmarkStart w:id="358" w:name="_Toc178708882"/>
      <w:bookmarkStart w:id="359" w:name="_Toc178772604"/>
      <w:bookmarkStart w:id="360" w:name="_Toc178705003"/>
      <w:bookmarkStart w:id="361" w:name="_Toc178705905"/>
      <w:bookmarkStart w:id="362" w:name="_Toc178708883"/>
      <w:bookmarkStart w:id="363" w:name="_Toc178772605"/>
      <w:bookmarkStart w:id="364" w:name="_Toc178705004"/>
      <w:bookmarkStart w:id="365" w:name="_Toc178705906"/>
      <w:bookmarkStart w:id="366" w:name="_Toc178708884"/>
      <w:bookmarkStart w:id="367" w:name="_Toc178772606"/>
      <w:bookmarkStart w:id="368" w:name="_Toc178705005"/>
      <w:bookmarkStart w:id="369" w:name="_Toc178705907"/>
      <w:bookmarkStart w:id="370" w:name="_Toc178708885"/>
      <w:bookmarkStart w:id="371" w:name="_Toc178772607"/>
      <w:bookmarkStart w:id="372" w:name="_Toc178705006"/>
      <w:bookmarkStart w:id="373" w:name="_Toc178705908"/>
      <w:bookmarkStart w:id="374" w:name="_Toc178708886"/>
      <w:bookmarkStart w:id="375" w:name="_Toc178772608"/>
      <w:bookmarkStart w:id="376" w:name="_Toc178705007"/>
      <w:bookmarkStart w:id="377" w:name="_Toc178705909"/>
      <w:bookmarkStart w:id="378" w:name="_Toc178708887"/>
      <w:bookmarkStart w:id="379" w:name="_Toc178772609"/>
      <w:bookmarkStart w:id="380" w:name="_Toc178705008"/>
      <w:bookmarkStart w:id="381" w:name="_Toc178705910"/>
      <w:bookmarkStart w:id="382" w:name="_Toc178708888"/>
      <w:bookmarkStart w:id="383" w:name="_Toc178772610"/>
      <w:bookmarkStart w:id="384" w:name="_Toc178705009"/>
      <w:bookmarkStart w:id="385" w:name="_Toc178705911"/>
      <w:bookmarkStart w:id="386" w:name="_Toc178708889"/>
      <w:bookmarkStart w:id="387" w:name="_Toc178772611"/>
      <w:bookmarkStart w:id="388" w:name="_Toc178705010"/>
      <w:bookmarkStart w:id="389" w:name="_Toc178705912"/>
      <w:bookmarkStart w:id="390" w:name="_Toc178708890"/>
      <w:bookmarkStart w:id="391" w:name="_Toc178772612"/>
      <w:bookmarkStart w:id="392" w:name="_Toc178705011"/>
      <w:bookmarkStart w:id="393" w:name="_Toc178705913"/>
      <w:bookmarkStart w:id="394" w:name="_Toc178708891"/>
      <w:bookmarkStart w:id="395" w:name="_Toc178772613"/>
      <w:bookmarkStart w:id="396" w:name="_Toc178705012"/>
      <w:bookmarkStart w:id="397" w:name="_Toc178705914"/>
      <w:bookmarkStart w:id="398" w:name="_Toc178708892"/>
      <w:bookmarkStart w:id="399" w:name="_Toc178772614"/>
      <w:bookmarkStart w:id="400" w:name="_Toc178705013"/>
      <w:bookmarkStart w:id="401" w:name="_Toc178705915"/>
      <w:bookmarkStart w:id="402" w:name="_Toc178708893"/>
      <w:bookmarkStart w:id="403" w:name="_Toc178772615"/>
      <w:bookmarkStart w:id="404" w:name="_Toc178705014"/>
      <w:bookmarkStart w:id="405" w:name="_Toc178705916"/>
      <w:bookmarkStart w:id="406" w:name="_Toc178708894"/>
      <w:bookmarkStart w:id="407" w:name="_Toc178772616"/>
      <w:bookmarkStart w:id="408" w:name="_Toc178705015"/>
      <w:bookmarkStart w:id="409" w:name="_Toc178705917"/>
      <w:bookmarkStart w:id="410" w:name="_Toc178708895"/>
      <w:bookmarkStart w:id="411" w:name="_Toc178772617"/>
      <w:bookmarkStart w:id="412" w:name="_Toc178705016"/>
      <w:bookmarkStart w:id="413" w:name="_Toc178705918"/>
      <w:bookmarkStart w:id="414" w:name="_Toc178708896"/>
      <w:bookmarkStart w:id="415" w:name="_Toc178772618"/>
      <w:bookmarkStart w:id="416" w:name="_Toc178705017"/>
      <w:bookmarkStart w:id="417" w:name="_Toc178705919"/>
      <w:bookmarkStart w:id="418" w:name="_Toc178708897"/>
      <w:bookmarkStart w:id="419" w:name="_Toc178772619"/>
      <w:bookmarkStart w:id="420" w:name="_Toc178705018"/>
      <w:bookmarkStart w:id="421" w:name="_Toc178705920"/>
      <w:bookmarkStart w:id="422" w:name="_Toc178708898"/>
      <w:bookmarkStart w:id="423" w:name="_Toc178772620"/>
      <w:bookmarkStart w:id="424" w:name="_Toc178705019"/>
      <w:bookmarkStart w:id="425" w:name="_Toc178705921"/>
      <w:bookmarkStart w:id="426" w:name="_Toc178708899"/>
      <w:bookmarkStart w:id="427" w:name="_Toc178772621"/>
      <w:bookmarkStart w:id="428" w:name="_Toc178705020"/>
      <w:bookmarkStart w:id="429" w:name="_Toc178705922"/>
      <w:bookmarkStart w:id="430" w:name="_Toc178708900"/>
      <w:bookmarkStart w:id="431" w:name="_Toc178772622"/>
      <w:bookmarkStart w:id="432" w:name="_Toc178705031"/>
      <w:bookmarkStart w:id="433" w:name="_Toc178705933"/>
      <w:bookmarkStart w:id="434" w:name="_Toc178708911"/>
      <w:bookmarkStart w:id="435" w:name="_Toc178772633"/>
      <w:bookmarkStart w:id="436" w:name="_Toc178705032"/>
      <w:bookmarkStart w:id="437" w:name="_Toc178705934"/>
      <w:bookmarkStart w:id="438" w:name="_Toc178708912"/>
      <w:bookmarkStart w:id="439" w:name="_Toc178772634"/>
      <w:bookmarkStart w:id="440" w:name="_Toc178705033"/>
      <w:bookmarkStart w:id="441" w:name="_Toc178705935"/>
      <w:bookmarkStart w:id="442" w:name="_Toc178708913"/>
      <w:bookmarkStart w:id="443" w:name="_Toc178772635"/>
      <w:bookmarkStart w:id="444" w:name="_Toc178705034"/>
      <w:bookmarkStart w:id="445" w:name="_Toc178705936"/>
      <w:bookmarkStart w:id="446" w:name="_Toc178708914"/>
      <w:bookmarkStart w:id="447" w:name="_Toc178772636"/>
      <w:bookmarkStart w:id="448" w:name="_Toc178705035"/>
      <w:bookmarkStart w:id="449" w:name="_Toc178705937"/>
      <w:bookmarkStart w:id="450" w:name="_Toc178708915"/>
      <w:bookmarkStart w:id="451" w:name="_Toc178772637"/>
      <w:bookmarkStart w:id="452" w:name="_Toc178705036"/>
      <w:bookmarkStart w:id="453" w:name="_Toc178705938"/>
      <w:bookmarkStart w:id="454" w:name="_Toc178708916"/>
      <w:bookmarkStart w:id="455" w:name="_Toc178772638"/>
      <w:bookmarkStart w:id="456" w:name="_Toc178705037"/>
      <w:bookmarkStart w:id="457" w:name="_Toc178705939"/>
      <w:bookmarkStart w:id="458" w:name="_Toc178708917"/>
      <w:bookmarkStart w:id="459" w:name="_Toc178772639"/>
      <w:bookmarkStart w:id="460" w:name="_Toc178705038"/>
      <w:bookmarkStart w:id="461" w:name="_Toc178705940"/>
      <w:bookmarkStart w:id="462" w:name="_Toc178708918"/>
      <w:bookmarkStart w:id="463" w:name="_Toc178772640"/>
      <w:bookmarkStart w:id="464" w:name="_Toc178705039"/>
      <w:bookmarkStart w:id="465" w:name="_Toc178705941"/>
      <w:bookmarkStart w:id="466" w:name="_Toc178708919"/>
      <w:bookmarkStart w:id="467" w:name="_Toc178772641"/>
      <w:bookmarkStart w:id="468" w:name="_Toc178705040"/>
      <w:bookmarkStart w:id="469" w:name="_Toc178705942"/>
      <w:bookmarkStart w:id="470" w:name="_Toc178708920"/>
      <w:bookmarkStart w:id="471" w:name="_Toc178772642"/>
      <w:bookmarkStart w:id="472" w:name="_Toc178705041"/>
      <w:bookmarkStart w:id="473" w:name="_Toc178705943"/>
      <w:bookmarkStart w:id="474" w:name="_Toc178708921"/>
      <w:bookmarkStart w:id="475" w:name="_Toc178772643"/>
      <w:bookmarkStart w:id="476" w:name="_Toc178705042"/>
      <w:bookmarkStart w:id="477" w:name="_Toc178705944"/>
      <w:bookmarkStart w:id="478" w:name="_Toc178708922"/>
      <w:bookmarkStart w:id="479" w:name="_Toc178772644"/>
      <w:bookmarkStart w:id="480" w:name="_Toc178705043"/>
      <w:bookmarkStart w:id="481" w:name="_Toc178705945"/>
      <w:bookmarkStart w:id="482" w:name="_Toc178708923"/>
      <w:bookmarkStart w:id="483" w:name="_Toc178772645"/>
      <w:bookmarkStart w:id="484" w:name="_Toc178705044"/>
      <w:bookmarkStart w:id="485" w:name="_Toc178705946"/>
      <w:bookmarkStart w:id="486" w:name="_Toc178708924"/>
      <w:bookmarkStart w:id="487" w:name="_Toc178772646"/>
      <w:bookmarkStart w:id="488" w:name="_Toc178705045"/>
      <w:bookmarkStart w:id="489" w:name="_Toc178705947"/>
      <w:bookmarkStart w:id="490" w:name="_Toc178708925"/>
      <w:bookmarkStart w:id="491" w:name="_Toc178772647"/>
      <w:bookmarkStart w:id="492" w:name="_Toc178705046"/>
      <w:bookmarkStart w:id="493" w:name="_Toc178705948"/>
      <w:bookmarkStart w:id="494" w:name="_Toc178708926"/>
      <w:bookmarkStart w:id="495" w:name="_Toc178772648"/>
      <w:bookmarkStart w:id="496" w:name="_Toc178705047"/>
      <w:bookmarkStart w:id="497" w:name="_Toc178705949"/>
      <w:bookmarkStart w:id="498" w:name="_Toc178708927"/>
      <w:bookmarkStart w:id="499" w:name="_Toc178772649"/>
      <w:bookmarkStart w:id="500" w:name="_Toc178705048"/>
      <w:bookmarkStart w:id="501" w:name="_Toc178705950"/>
      <w:bookmarkStart w:id="502" w:name="_Toc178708928"/>
      <w:bookmarkStart w:id="503" w:name="_Toc178772650"/>
      <w:bookmarkStart w:id="504" w:name="_Toc178705049"/>
      <w:bookmarkStart w:id="505" w:name="_Toc178705951"/>
      <w:bookmarkStart w:id="506" w:name="_Toc178708929"/>
      <w:bookmarkStart w:id="507" w:name="_Toc178772651"/>
      <w:bookmarkStart w:id="508" w:name="_Toc178705050"/>
      <w:bookmarkStart w:id="509" w:name="_Toc178705952"/>
      <w:bookmarkStart w:id="510" w:name="_Toc178708930"/>
      <w:bookmarkStart w:id="511" w:name="_Toc178772652"/>
      <w:bookmarkStart w:id="512" w:name="_Toc178705051"/>
      <w:bookmarkStart w:id="513" w:name="_Toc178705953"/>
      <w:bookmarkStart w:id="514" w:name="_Toc178708931"/>
      <w:bookmarkStart w:id="515" w:name="_Toc178772653"/>
      <w:bookmarkStart w:id="516" w:name="_Toc178705052"/>
      <w:bookmarkStart w:id="517" w:name="_Toc178705954"/>
      <w:bookmarkStart w:id="518" w:name="_Toc178708932"/>
      <w:bookmarkStart w:id="519" w:name="_Toc178772654"/>
      <w:bookmarkStart w:id="520" w:name="_Toc178705053"/>
      <w:bookmarkStart w:id="521" w:name="_Toc178705955"/>
      <w:bookmarkStart w:id="522" w:name="_Toc178708933"/>
      <w:bookmarkStart w:id="523" w:name="_Toc178772655"/>
      <w:bookmarkStart w:id="524" w:name="_Toc178705054"/>
      <w:bookmarkStart w:id="525" w:name="_Toc178705956"/>
      <w:bookmarkStart w:id="526" w:name="_Toc178708934"/>
      <w:bookmarkStart w:id="527" w:name="_Toc178772656"/>
      <w:bookmarkStart w:id="528" w:name="_Toc178705055"/>
      <w:bookmarkStart w:id="529" w:name="_Toc178705957"/>
      <w:bookmarkStart w:id="530" w:name="_Toc178708935"/>
      <w:bookmarkStart w:id="531" w:name="_Toc178772657"/>
      <w:bookmarkStart w:id="532" w:name="_Toc178705056"/>
      <w:bookmarkStart w:id="533" w:name="_Toc178705958"/>
      <w:bookmarkStart w:id="534" w:name="_Toc178708936"/>
      <w:bookmarkStart w:id="535" w:name="_Toc178772658"/>
      <w:bookmarkStart w:id="536" w:name="_Toc178705057"/>
      <w:bookmarkStart w:id="537" w:name="_Toc178705959"/>
      <w:bookmarkStart w:id="538" w:name="_Toc178708937"/>
      <w:bookmarkStart w:id="539" w:name="_Toc178772659"/>
      <w:bookmarkStart w:id="540" w:name="_Toc178705058"/>
      <w:bookmarkStart w:id="541" w:name="_Toc178705960"/>
      <w:bookmarkStart w:id="542" w:name="_Toc178708938"/>
      <w:bookmarkStart w:id="543" w:name="_Toc178772660"/>
      <w:bookmarkStart w:id="544" w:name="_Toc178705059"/>
      <w:bookmarkStart w:id="545" w:name="_Toc178705961"/>
      <w:bookmarkStart w:id="546" w:name="_Toc178708939"/>
      <w:bookmarkStart w:id="547" w:name="_Toc178772661"/>
      <w:bookmarkStart w:id="548" w:name="_Toc178705060"/>
      <w:bookmarkStart w:id="549" w:name="_Toc178705962"/>
      <w:bookmarkStart w:id="550" w:name="_Toc178708940"/>
      <w:bookmarkStart w:id="551" w:name="_Toc178772662"/>
      <w:bookmarkStart w:id="552" w:name="_Toc178705061"/>
      <w:bookmarkStart w:id="553" w:name="_Toc178705963"/>
      <w:bookmarkStart w:id="554" w:name="_Toc178708941"/>
      <w:bookmarkStart w:id="555" w:name="_Toc178772663"/>
      <w:bookmarkStart w:id="556" w:name="_Toc178705062"/>
      <w:bookmarkStart w:id="557" w:name="_Toc178705964"/>
      <w:bookmarkStart w:id="558" w:name="_Toc178708942"/>
      <w:bookmarkStart w:id="559" w:name="_Toc178772664"/>
      <w:bookmarkStart w:id="560" w:name="_Toc178705063"/>
      <w:bookmarkStart w:id="561" w:name="_Toc178705965"/>
      <w:bookmarkStart w:id="562" w:name="_Toc178708943"/>
      <w:bookmarkStart w:id="563" w:name="_Toc178772665"/>
      <w:bookmarkStart w:id="564" w:name="_Toc178705064"/>
      <w:bookmarkStart w:id="565" w:name="_Toc178705966"/>
      <w:bookmarkStart w:id="566" w:name="_Toc178708944"/>
      <w:bookmarkStart w:id="567" w:name="_Toc178772666"/>
      <w:bookmarkStart w:id="568" w:name="_Toc178705065"/>
      <w:bookmarkStart w:id="569" w:name="_Toc178705967"/>
      <w:bookmarkStart w:id="570" w:name="_Toc178708945"/>
      <w:bookmarkStart w:id="571" w:name="_Toc178772667"/>
      <w:bookmarkStart w:id="572" w:name="_Toc178705066"/>
      <w:bookmarkStart w:id="573" w:name="_Toc178705968"/>
      <w:bookmarkStart w:id="574" w:name="_Toc178708946"/>
      <w:bookmarkStart w:id="575" w:name="_Toc178772668"/>
      <w:bookmarkStart w:id="576" w:name="_Toc178705067"/>
      <w:bookmarkStart w:id="577" w:name="_Toc178705969"/>
      <w:bookmarkStart w:id="578" w:name="_Toc178708947"/>
      <w:bookmarkStart w:id="579" w:name="_Toc178772669"/>
      <w:bookmarkStart w:id="580" w:name="_Toc178705068"/>
      <w:bookmarkStart w:id="581" w:name="_Toc178705970"/>
      <w:bookmarkStart w:id="582" w:name="_Toc178708948"/>
      <w:bookmarkStart w:id="583" w:name="_Toc178772670"/>
      <w:bookmarkStart w:id="584" w:name="_Toc178705069"/>
      <w:bookmarkStart w:id="585" w:name="_Toc178705971"/>
      <w:bookmarkStart w:id="586" w:name="_Toc178708949"/>
      <w:bookmarkStart w:id="587" w:name="_Toc178772671"/>
      <w:bookmarkStart w:id="588" w:name="_Toc178705070"/>
      <w:bookmarkStart w:id="589" w:name="_Toc178705972"/>
      <w:bookmarkStart w:id="590" w:name="_Toc178708950"/>
      <w:bookmarkStart w:id="591" w:name="_Toc178772672"/>
      <w:bookmarkStart w:id="592" w:name="_Toc178705071"/>
      <w:bookmarkStart w:id="593" w:name="_Toc178705973"/>
      <w:bookmarkStart w:id="594" w:name="_Toc178708951"/>
      <w:bookmarkStart w:id="595" w:name="_Toc178772673"/>
      <w:bookmarkStart w:id="596" w:name="_Toc178705072"/>
      <w:bookmarkStart w:id="597" w:name="_Toc178705974"/>
      <w:bookmarkStart w:id="598" w:name="_Toc178708952"/>
      <w:bookmarkStart w:id="599" w:name="_Toc178772674"/>
      <w:bookmarkStart w:id="600" w:name="_Toc178705073"/>
      <w:bookmarkStart w:id="601" w:name="_Toc178705975"/>
      <w:bookmarkStart w:id="602" w:name="_Toc178708953"/>
      <w:bookmarkStart w:id="603" w:name="_Toc178772675"/>
      <w:bookmarkStart w:id="604" w:name="_Toc178705074"/>
      <w:bookmarkStart w:id="605" w:name="_Toc178705976"/>
      <w:bookmarkStart w:id="606" w:name="_Toc178708954"/>
      <w:bookmarkStart w:id="607" w:name="_Toc178772676"/>
      <w:bookmarkStart w:id="608" w:name="_Toc178705075"/>
      <w:bookmarkStart w:id="609" w:name="_Toc178705977"/>
      <w:bookmarkStart w:id="610" w:name="_Toc178708955"/>
      <w:bookmarkStart w:id="611" w:name="_Toc178772677"/>
      <w:bookmarkStart w:id="612" w:name="_Toc178705076"/>
      <w:bookmarkStart w:id="613" w:name="_Toc178705978"/>
      <w:bookmarkStart w:id="614" w:name="_Toc178708956"/>
      <w:bookmarkStart w:id="615" w:name="_Toc178772678"/>
      <w:bookmarkStart w:id="616" w:name="_Toc174135438"/>
      <w:bookmarkStart w:id="617" w:name="_Toc178705077"/>
      <w:bookmarkStart w:id="618" w:name="_Toc178705979"/>
      <w:bookmarkStart w:id="619" w:name="_Toc178708957"/>
      <w:bookmarkStart w:id="620" w:name="_Toc178772679"/>
      <w:bookmarkStart w:id="621" w:name="_Toc178705078"/>
      <w:bookmarkStart w:id="622" w:name="_Toc178705980"/>
      <w:bookmarkStart w:id="623" w:name="_Toc178708958"/>
      <w:bookmarkStart w:id="624" w:name="_Toc178772680"/>
      <w:bookmarkStart w:id="625" w:name="_Toc178705079"/>
      <w:bookmarkStart w:id="626" w:name="_Toc178705981"/>
      <w:bookmarkStart w:id="627" w:name="_Toc178708959"/>
      <w:bookmarkStart w:id="628" w:name="_Toc178772681"/>
      <w:bookmarkStart w:id="629" w:name="_Toc178705093"/>
      <w:bookmarkStart w:id="630" w:name="_Toc178705995"/>
      <w:bookmarkStart w:id="631" w:name="_Toc178708973"/>
      <w:bookmarkStart w:id="632" w:name="_Toc178772695"/>
      <w:bookmarkStart w:id="633" w:name="_Toc178705094"/>
      <w:bookmarkStart w:id="634" w:name="_Toc178705996"/>
      <w:bookmarkStart w:id="635" w:name="_Toc178708974"/>
      <w:bookmarkStart w:id="636" w:name="_Toc178772696"/>
      <w:bookmarkStart w:id="637" w:name="_Toc178705095"/>
      <w:bookmarkStart w:id="638" w:name="_Toc178705997"/>
      <w:bookmarkStart w:id="639" w:name="_Toc178708975"/>
      <w:bookmarkStart w:id="640" w:name="_Toc178772697"/>
      <w:bookmarkStart w:id="641" w:name="_Toc178705096"/>
      <w:bookmarkStart w:id="642" w:name="_Toc178705998"/>
      <w:bookmarkStart w:id="643" w:name="_Toc178708976"/>
      <w:bookmarkStart w:id="644" w:name="_Toc178772698"/>
      <w:bookmarkStart w:id="645" w:name="_Toc178705097"/>
      <w:bookmarkStart w:id="646" w:name="_Toc178705999"/>
      <w:bookmarkStart w:id="647" w:name="_Toc178708977"/>
      <w:bookmarkStart w:id="648" w:name="_Toc178772699"/>
      <w:bookmarkStart w:id="649" w:name="_Toc178705098"/>
      <w:bookmarkStart w:id="650" w:name="_Toc178706000"/>
      <w:bookmarkStart w:id="651" w:name="_Toc178708978"/>
      <w:bookmarkStart w:id="652" w:name="_Toc178772700"/>
      <w:bookmarkStart w:id="653" w:name="_Toc178705099"/>
      <w:bookmarkStart w:id="654" w:name="_Toc178706001"/>
      <w:bookmarkStart w:id="655" w:name="_Toc178708979"/>
      <w:bookmarkStart w:id="656" w:name="_Toc178772701"/>
      <w:bookmarkStart w:id="657" w:name="_Toc178705100"/>
      <w:bookmarkStart w:id="658" w:name="_Toc178706002"/>
      <w:bookmarkStart w:id="659" w:name="_Toc178708980"/>
      <w:bookmarkStart w:id="660" w:name="_Toc178772702"/>
      <w:bookmarkStart w:id="661" w:name="_Toc178705101"/>
      <w:bookmarkStart w:id="662" w:name="_Toc178706003"/>
      <w:bookmarkStart w:id="663" w:name="_Toc178708981"/>
      <w:bookmarkStart w:id="664" w:name="_Toc178772703"/>
      <w:bookmarkStart w:id="665" w:name="_Toc178705102"/>
      <w:bookmarkStart w:id="666" w:name="_Toc178706004"/>
      <w:bookmarkStart w:id="667" w:name="_Toc178708982"/>
      <w:bookmarkStart w:id="668" w:name="_Toc178772704"/>
      <w:bookmarkStart w:id="669" w:name="_Toc178705103"/>
      <w:bookmarkStart w:id="670" w:name="_Toc178706005"/>
      <w:bookmarkStart w:id="671" w:name="_Toc178708983"/>
      <w:bookmarkStart w:id="672" w:name="_Toc178772705"/>
      <w:bookmarkStart w:id="673" w:name="_Toc178705104"/>
      <w:bookmarkStart w:id="674" w:name="_Toc178706006"/>
      <w:bookmarkStart w:id="675" w:name="_Toc178708984"/>
      <w:bookmarkStart w:id="676" w:name="_Toc178772706"/>
      <w:bookmarkStart w:id="677" w:name="_Toc178705105"/>
      <w:bookmarkStart w:id="678" w:name="_Toc178706007"/>
      <w:bookmarkStart w:id="679" w:name="_Toc178708985"/>
      <w:bookmarkStart w:id="680" w:name="_Toc178772707"/>
      <w:bookmarkStart w:id="681" w:name="_Toc178705106"/>
      <w:bookmarkStart w:id="682" w:name="_Toc178706008"/>
      <w:bookmarkStart w:id="683" w:name="_Toc178708986"/>
      <w:bookmarkStart w:id="684" w:name="_Toc178772708"/>
      <w:bookmarkStart w:id="685" w:name="_Toc178705107"/>
      <w:bookmarkStart w:id="686" w:name="_Toc178706009"/>
      <w:bookmarkStart w:id="687" w:name="_Toc178708987"/>
      <w:bookmarkStart w:id="688" w:name="_Toc178772709"/>
      <w:bookmarkStart w:id="689" w:name="_Toc178705108"/>
      <w:bookmarkStart w:id="690" w:name="_Toc178706010"/>
      <w:bookmarkStart w:id="691" w:name="_Toc178708988"/>
      <w:bookmarkStart w:id="692" w:name="_Toc178772710"/>
      <w:bookmarkStart w:id="693" w:name="_Toc178705109"/>
      <w:bookmarkStart w:id="694" w:name="_Toc178706011"/>
      <w:bookmarkStart w:id="695" w:name="_Toc178708989"/>
      <w:bookmarkStart w:id="696" w:name="_Toc178772711"/>
      <w:bookmarkStart w:id="697" w:name="_Toc178705110"/>
      <w:bookmarkStart w:id="698" w:name="_Toc178706012"/>
      <w:bookmarkStart w:id="699" w:name="_Toc178708990"/>
      <w:bookmarkStart w:id="700" w:name="_Toc178772712"/>
      <w:bookmarkStart w:id="701" w:name="_Toc178705111"/>
      <w:bookmarkStart w:id="702" w:name="_Toc178706013"/>
      <w:bookmarkStart w:id="703" w:name="_Toc178708991"/>
      <w:bookmarkStart w:id="704" w:name="_Toc178772713"/>
      <w:bookmarkStart w:id="705" w:name="_Toc178705112"/>
      <w:bookmarkStart w:id="706" w:name="_Toc178706014"/>
      <w:bookmarkStart w:id="707" w:name="_Toc178708992"/>
      <w:bookmarkStart w:id="708" w:name="_Toc178772714"/>
      <w:bookmarkStart w:id="709" w:name="_Toc178705113"/>
      <w:bookmarkStart w:id="710" w:name="_Toc178706015"/>
      <w:bookmarkStart w:id="711" w:name="_Toc178708993"/>
      <w:bookmarkStart w:id="712" w:name="_Toc178772715"/>
      <w:bookmarkStart w:id="713" w:name="_Toc178705114"/>
      <w:bookmarkStart w:id="714" w:name="_Toc178706016"/>
      <w:bookmarkStart w:id="715" w:name="_Toc178708994"/>
      <w:bookmarkStart w:id="716" w:name="_Toc178772716"/>
      <w:bookmarkStart w:id="717" w:name="_Toc178705115"/>
      <w:bookmarkStart w:id="718" w:name="_Toc178706017"/>
      <w:bookmarkStart w:id="719" w:name="_Toc178708995"/>
      <w:bookmarkStart w:id="720" w:name="_Toc178772717"/>
      <w:bookmarkStart w:id="721" w:name="_Toc178705116"/>
      <w:bookmarkStart w:id="722" w:name="_Toc178706018"/>
      <w:bookmarkStart w:id="723" w:name="_Toc178708996"/>
      <w:bookmarkStart w:id="724" w:name="_Toc178772718"/>
      <w:bookmarkStart w:id="725" w:name="_Toc178705117"/>
      <w:bookmarkStart w:id="726" w:name="_Toc178706019"/>
      <w:bookmarkStart w:id="727" w:name="_Toc178708997"/>
      <w:bookmarkStart w:id="728" w:name="_Toc178772719"/>
      <w:bookmarkStart w:id="729" w:name="_Toc178705118"/>
      <w:bookmarkStart w:id="730" w:name="_Toc178706020"/>
      <w:bookmarkStart w:id="731" w:name="_Toc178708998"/>
      <w:bookmarkStart w:id="732" w:name="_Toc178772720"/>
      <w:bookmarkStart w:id="733" w:name="_Toc178705143"/>
      <w:bookmarkStart w:id="734" w:name="_Toc178706045"/>
      <w:bookmarkStart w:id="735" w:name="_Toc178709023"/>
      <w:bookmarkStart w:id="736" w:name="_Toc178772745"/>
      <w:bookmarkStart w:id="737" w:name="_Toc178705144"/>
      <w:bookmarkStart w:id="738" w:name="_Toc178706046"/>
      <w:bookmarkStart w:id="739" w:name="_Toc178709024"/>
      <w:bookmarkStart w:id="740" w:name="_Toc178772746"/>
      <w:bookmarkStart w:id="741" w:name="_Toc178705145"/>
      <w:bookmarkStart w:id="742" w:name="_Toc178706047"/>
      <w:bookmarkStart w:id="743" w:name="_Toc178709025"/>
      <w:bookmarkStart w:id="744" w:name="_Toc178772747"/>
      <w:bookmarkStart w:id="745" w:name="_Toc178705146"/>
      <w:bookmarkStart w:id="746" w:name="_Toc178706048"/>
      <w:bookmarkStart w:id="747" w:name="_Toc178709026"/>
      <w:bookmarkStart w:id="748" w:name="_Toc178772748"/>
      <w:bookmarkStart w:id="749" w:name="_Toc178705147"/>
      <w:bookmarkStart w:id="750" w:name="_Toc178706049"/>
      <w:bookmarkStart w:id="751" w:name="_Toc178709027"/>
      <w:bookmarkStart w:id="752" w:name="_Toc178772749"/>
      <w:bookmarkStart w:id="753" w:name="_Toc178705148"/>
      <w:bookmarkStart w:id="754" w:name="_Toc178706050"/>
      <w:bookmarkStart w:id="755" w:name="_Toc178709028"/>
      <w:bookmarkStart w:id="756" w:name="_Toc178772750"/>
      <w:bookmarkStart w:id="757" w:name="_Toc178705149"/>
      <w:bookmarkStart w:id="758" w:name="_Toc178706051"/>
      <w:bookmarkStart w:id="759" w:name="_Toc178709029"/>
      <w:bookmarkStart w:id="760" w:name="_Toc178772751"/>
      <w:bookmarkStart w:id="761" w:name="_Toc173851133"/>
      <w:bookmarkStart w:id="762" w:name="_Toc173940885"/>
      <w:bookmarkStart w:id="763" w:name="_Toc173851134"/>
      <w:bookmarkStart w:id="764" w:name="_Toc173940886"/>
      <w:bookmarkStart w:id="765" w:name="_Toc178705150"/>
      <w:bookmarkStart w:id="766" w:name="_Toc178706052"/>
      <w:bookmarkStart w:id="767" w:name="_Toc178709030"/>
      <w:bookmarkStart w:id="768" w:name="_Toc178772752"/>
      <w:bookmarkStart w:id="769" w:name="_Ref172109443"/>
      <w:bookmarkStart w:id="770" w:name="_Toc178961646"/>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t>Issue of timing error when generating measurement</w:t>
      </w:r>
      <w:bookmarkEnd w:id="769"/>
      <w:bookmarkEnd w:id="770"/>
    </w:p>
    <w:p w14:paraId="28367D71" w14:textId="58293D2A" w:rsidR="0093485E" w:rsidRDefault="0093485E" w:rsidP="0093485E">
      <w:r>
        <w:t xml:space="preserve">One issue that have been debated by companies is the impact of timing error when measurements are generated. Two </w:t>
      </w:r>
      <w:r w:rsidR="00204528">
        <w:t xml:space="preserve">issues </w:t>
      </w:r>
      <w:r>
        <w:t>were suggested:</w:t>
      </w:r>
    </w:p>
    <w:p w14:paraId="4D770DB3" w14:textId="1D15F47A" w:rsidR="0093485E" w:rsidRPr="001B4A11" w:rsidRDefault="00B52B57" w:rsidP="002B65AA">
      <w:pPr>
        <w:ind w:firstLine="360"/>
      </w:pPr>
      <w:r>
        <w:t xml:space="preserve">Issue (1): </w:t>
      </w:r>
      <w:r w:rsidR="0093485E">
        <w:t>Timing error can cause two sample-based measurements to be distinct from each other</w:t>
      </w:r>
      <w:r w:rsidR="001419B5">
        <w:t xml:space="preserve">, which leads to ambiguity in </w:t>
      </w:r>
      <w:r w:rsidR="003B2F8D">
        <w:t>sample-based measurement report</w:t>
      </w:r>
      <w:r w:rsidR="0093485E">
        <w:t xml:space="preserve">. When the model is fed with </w:t>
      </w:r>
      <w:r w:rsidR="00D85CA3">
        <w:t xml:space="preserve">sample-based </w:t>
      </w:r>
      <w:r w:rsidR="0093485E">
        <w:t>measurements</w:t>
      </w:r>
      <w:r w:rsidR="003B2F8D">
        <w:t xml:space="preserve"> with different timing errors</w:t>
      </w:r>
      <w:r w:rsidR="0093485E">
        <w:t>, the model cannot perform well.</w:t>
      </w:r>
    </w:p>
    <w:p w14:paraId="6B5567F6" w14:textId="7A844ACB" w:rsidR="0093485E" w:rsidRPr="001B4A11" w:rsidRDefault="00B52B57" w:rsidP="002B65AA">
      <w:pPr>
        <w:ind w:left="720" w:hanging="360"/>
      </w:pPr>
      <w:r>
        <w:t xml:space="preserve">Issue (2): </w:t>
      </w:r>
      <w:r w:rsidR="0093485E">
        <w:t>Path-based measurement is robust to timing error in measurement generation, while sample-based measurement is sensitive to timing error.</w:t>
      </w:r>
    </w:p>
    <w:p w14:paraId="468243B3" w14:textId="411C537E" w:rsidR="0093485E" w:rsidRDefault="00141143" w:rsidP="0093485E">
      <w:r>
        <w:lastRenderedPageBreak/>
        <w:t xml:space="preserve">In the following sub-sections, we provide analysis and evaluation results to clarify </w:t>
      </w:r>
      <w:r w:rsidR="00277AD9">
        <w:t>why these issues are in practice not seen</w:t>
      </w:r>
      <w:r>
        <w:t>.</w:t>
      </w:r>
    </w:p>
    <w:p w14:paraId="62FAD868" w14:textId="2C8C0C9A" w:rsidR="001E66E7" w:rsidRPr="001419B5" w:rsidRDefault="00277AD9" w:rsidP="00F60309">
      <w:pPr>
        <w:pStyle w:val="Heading5"/>
      </w:pPr>
      <w:r>
        <w:t>Issue</w:t>
      </w:r>
      <w:r w:rsidR="001E66E7" w:rsidRPr="001419B5">
        <w:t xml:space="preserve"> (1)</w:t>
      </w:r>
      <w:r w:rsidR="001419B5">
        <w:t>: timing</w:t>
      </w:r>
      <w:r w:rsidR="00D85CA3">
        <w:t xml:space="preserve"> </w:t>
      </w:r>
      <w:r w:rsidR="001419B5">
        <w:t xml:space="preserve">error causes </w:t>
      </w:r>
      <w:r w:rsidR="003B2F8D">
        <w:t xml:space="preserve">devastating </w:t>
      </w:r>
      <w:r w:rsidR="001419B5">
        <w:t xml:space="preserve">ambiguity in sample-based measurement </w:t>
      </w:r>
    </w:p>
    <w:p w14:paraId="49CCCDA2" w14:textId="651918D2" w:rsidR="00D43A27" w:rsidRDefault="001E66E7" w:rsidP="0093485E">
      <w:r>
        <w:t xml:space="preserve">Regarding </w:t>
      </w:r>
      <w:r w:rsidR="00277AD9">
        <w:t xml:space="preserve">issue </w:t>
      </w:r>
      <w:r>
        <w:t>(1), it is true to observe that timing error causes the receiver to generate distinct sample-based measurements</w:t>
      </w:r>
      <w:r w:rsidR="00D32804">
        <w:t xml:space="preserve">. </w:t>
      </w:r>
    </w:p>
    <w:p w14:paraId="4572B0F8" w14:textId="633B5963" w:rsidR="00A8021F" w:rsidRDefault="001C6D31" w:rsidP="00D35F36">
      <w:pPr>
        <w:pStyle w:val="ListParagraph"/>
        <w:numPr>
          <w:ilvl w:val="0"/>
          <w:numId w:val="72"/>
        </w:numPr>
        <w:rPr>
          <w:rFonts w:ascii="Cambria Math" w:hAnsi="Cambria Math"/>
        </w:rPr>
      </w:pPr>
      <w:r w:rsidRPr="40F85430">
        <w:t xml:space="preserve">In </w:t>
      </w:r>
      <w:r w:rsidR="00AA4497">
        <w:fldChar w:fldCharType="begin"/>
      </w:r>
      <w:r w:rsidR="00AA4497">
        <w:instrText xml:space="preserve"> REF _Ref178959463 </w:instrText>
      </w:r>
      <w:r w:rsidR="00AA4497">
        <w:fldChar w:fldCharType="separate"/>
      </w:r>
      <w:r w:rsidR="00850DA1" w:rsidRPr="00E215F0">
        <w:t xml:space="preserve">Figure </w:t>
      </w:r>
      <w:r w:rsidR="00850DA1">
        <w:rPr>
          <w:noProof/>
        </w:rPr>
        <w:t>6</w:t>
      </w:r>
      <w:r w:rsidR="00AA4497">
        <w:fldChar w:fldCharType="end"/>
      </w:r>
      <w:r w:rsidRPr="40F85430">
        <w:t xml:space="preserve"> (a),</w:t>
      </w:r>
      <w:r w:rsidR="00994CF1" w:rsidRPr="40F85430">
        <w:t xml:space="preserve"> we plot the </w:t>
      </w:r>
      <w:r w:rsidR="002340EA" w:rsidRPr="40F85430">
        <w:t xml:space="preserve">TD PDP of a three-tap channel with delays at </w:t>
      </w:r>
      <w:r w:rsidR="00A06B4B" w:rsidRPr="40F85430">
        <w:t xml:space="preserve">92.97, 112.26  151.65 ns (or, equivalently </w:t>
      </w:r>
      <w:r w:rsidR="00B01A75" w:rsidRPr="40F85430">
        <w:t xml:space="preserve">at 11.42, 13.79, 18.64 taps </w:t>
      </w:r>
      <w:r w:rsidR="00E473FF" w:rsidRPr="40F85430">
        <w:t>at 122.</w:t>
      </w:r>
      <w:r w:rsidR="008C5EBB" w:rsidRPr="40F85430">
        <w:t>8</w:t>
      </w:r>
      <w:r w:rsidR="00E473FF" w:rsidRPr="40F85430">
        <w:t>8 MHz sampling rate)</w:t>
      </w:r>
      <w:r w:rsidR="004B4EF9" w:rsidRPr="40F85430">
        <w:t xml:space="preserve"> and gains of </w:t>
      </w:r>
      <m:oMath>
        <m:r>
          <w:rPr>
            <w:rFonts w:ascii="Cambria Math" w:hAnsi="Cambria Math"/>
          </w:rPr>
          <m:t>[0.63+3.83j, -3.38+4.27j, 0.047-0.93j] ×</m:t>
        </m:r>
        <m:sSup>
          <m:sSupPr>
            <m:ctrlPr>
              <w:rPr>
                <w:rFonts w:ascii="Cambria Math" w:hAnsi="Cambria Math"/>
                <w:i/>
              </w:rPr>
            </m:ctrlPr>
          </m:sSupPr>
          <m:e>
            <m:r>
              <w:rPr>
                <w:rFonts w:ascii="Cambria Math" w:hAnsi="Cambria Math"/>
              </w:rPr>
              <m:t>10</m:t>
            </m:r>
          </m:e>
          <m:sup>
            <m:r>
              <w:rPr>
                <w:rFonts w:ascii="Cambria Math" w:hAnsi="Cambria Math"/>
              </w:rPr>
              <m:t>-7</m:t>
            </m:r>
          </m:sup>
        </m:sSup>
      </m:oMath>
      <w:r w:rsidR="00E55D07" w:rsidRPr="40F85430">
        <w:rPr>
          <w:rFonts w:ascii="Cambria Math" w:hAnsi="Cambria Math"/>
        </w:rPr>
        <w:t>.</w:t>
      </w:r>
    </w:p>
    <w:p w14:paraId="7F17CCD7" w14:textId="42068ED0" w:rsidR="006E73FF" w:rsidRDefault="006E73FF" w:rsidP="00D35F36">
      <w:pPr>
        <w:pStyle w:val="ListParagraph"/>
        <w:numPr>
          <w:ilvl w:val="0"/>
          <w:numId w:val="72"/>
        </w:numPr>
      </w:pPr>
      <w:r>
        <w:t xml:space="preserve">In </w:t>
      </w:r>
      <w:r w:rsidR="00AA4497">
        <w:fldChar w:fldCharType="begin"/>
      </w:r>
      <w:r w:rsidR="00AA4497">
        <w:instrText xml:space="preserve"> REF _Ref178959463 </w:instrText>
      </w:r>
      <w:r w:rsidR="00AA4497">
        <w:fldChar w:fldCharType="separate"/>
      </w:r>
      <w:r w:rsidR="00850DA1" w:rsidRPr="00E215F0">
        <w:t xml:space="preserve">Figure </w:t>
      </w:r>
      <w:r w:rsidR="00850DA1">
        <w:rPr>
          <w:noProof/>
        </w:rPr>
        <w:t>6</w:t>
      </w:r>
      <w:r w:rsidR="00AA4497">
        <w:fldChar w:fldCharType="end"/>
      </w:r>
      <w:r>
        <w:t xml:space="preserve"> (b), we plot the TD PDP of the same three-tap channel but with </w:t>
      </w:r>
      <w:r w:rsidR="0046315C">
        <w:rPr>
          <w:rFonts w:cs="Arial"/>
        </w:rPr>
        <w:t>−</w:t>
      </w:r>
      <w:r w:rsidR="0046315C">
        <w:t>3.8 ns timing error.</w:t>
      </w:r>
    </w:p>
    <w:p w14:paraId="3FE3B11F" w14:textId="40DEAB8F" w:rsidR="0046315C" w:rsidRDefault="0046315C" w:rsidP="00D35F36">
      <w:pPr>
        <w:pStyle w:val="ListParagraph"/>
        <w:numPr>
          <w:ilvl w:val="0"/>
          <w:numId w:val="72"/>
        </w:numPr>
      </w:pPr>
      <w:r>
        <w:t xml:space="preserve">In </w:t>
      </w:r>
      <w:r w:rsidR="00AA4497">
        <w:fldChar w:fldCharType="begin"/>
      </w:r>
      <w:r w:rsidR="00AA4497">
        <w:instrText xml:space="preserve"> REF _Ref178959463 </w:instrText>
      </w:r>
      <w:r w:rsidR="00AA4497">
        <w:fldChar w:fldCharType="separate"/>
      </w:r>
      <w:r w:rsidR="00850DA1" w:rsidRPr="00E215F0">
        <w:t xml:space="preserve">Figure </w:t>
      </w:r>
      <w:r w:rsidR="00850DA1">
        <w:rPr>
          <w:noProof/>
        </w:rPr>
        <w:t>6</w:t>
      </w:r>
      <w:r w:rsidR="00AA4497">
        <w:fldChar w:fldCharType="end"/>
      </w:r>
      <w:r>
        <w:t xml:space="preserve"> (c), we plot the TD PDP of the same three-tap channel but with +</w:t>
      </w:r>
      <w:r>
        <w:rPr>
          <w:rFonts w:cs="Arial"/>
        </w:rPr>
        <w:t>18.7</w:t>
      </w:r>
      <w:r>
        <w:t xml:space="preserve"> ns timing error.</w:t>
      </w:r>
    </w:p>
    <w:p w14:paraId="0E6C0345" w14:textId="20C4EAF7" w:rsidR="0093485E" w:rsidRDefault="003E274A" w:rsidP="0093485E">
      <w:r>
        <w:t>It can be observed that,</w:t>
      </w:r>
    </w:p>
    <w:p w14:paraId="3F8C65CE" w14:textId="3D76C977" w:rsidR="003E274A" w:rsidRDefault="003E274A" w:rsidP="00D35F36">
      <w:pPr>
        <w:pStyle w:val="ListParagraph"/>
        <w:numPr>
          <w:ilvl w:val="0"/>
          <w:numId w:val="73"/>
        </w:numPr>
      </w:pPr>
      <w:r>
        <w:t xml:space="preserve">The </w:t>
      </w:r>
      <w:r w:rsidR="00372D01">
        <w:t xml:space="preserve">shapes of </w:t>
      </w:r>
      <w:r>
        <w:t>continuous PDP response</w:t>
      </w:r>
      <w:r w:rsidR="00372D01">
        <w:t>s</w:t>
      </w:r>
      <w:r>
        <w:t xml:space="preserve"> </w:t>
      </w:r>
      <w:r w:rsidR="00372D01">
        <w:t xml:space="preserve">remain the same </w:t>
      </w:r>
      <w:r w:rsidR="004272BE">
        <w:t>and are just shifted in time according to the timing errors.</w:t>
      </w:r>
    </w:p>
    <w:p w14:paraId="08C32E8A" w14:textId="6A3C651D" w:rsidR="004272BE" w:rsidRDefault="00663066" w:rsidP="00D35F36">
      <w:pPr>
        <w:pStyle w:val="ListParagraph"/>
        <w:numPr>
          <w:ilvl w:val="0"/>
          <w:numId w:val="73"/>
        </w:numPr>
      </w:pPr>
      <w:r>
        <w:t xml:space="preserve">The discrete PDP samples </w:t>
      </w:r>
      <w:r w:rsidR="00DC50C4">
        <w:t xml:space="preserve">however </w:t>
      </w:r>
      <w:r w:rsidR="00EF658E">
        <w:t xml:space="preserve">appear to be </w:t>
      </w:r>
      <w:r w:rsidR="002C6D4A">
        <w:t>rather differen</w:t>
      </w:r>
      <w:r w:rsidR="00EF658E">
        <w:t>t.</w:t>
      </w:r>
      <w:r w:rsidR="00145966">
        <w:t xml:space="preserve"> For instance,</w:t>
      </w:r>
    </w:p>
    <w:p w14:paraId="0306EE61" w14:textId="4F3619CC" w:rsidR="003A70DB" w:rsidRDefault="003A70DB" w:rsidP="00D35F36">
      <w:pPr>
        <w:pStyle w:val="ListParagraph"/>
        <w:numPr>
          <w:ilvl w:val="1"/>
          <w:numId w:val="73"/>
        </w:numPr>
      </w:pPr>
      <w:r>
        <w:t xml:space="preserve">The four strongest samples </w:t>
      </w:r>
      <w:r w:rsidR="007B69D3">
        <w:t xml:space="preserve">in </w:t>
      </w:r>
      <w:r w:rsidR="00AA4497">
        <w:fldChar w:fldCharType="begin"/>
      </w:r>
      <w:r w:rsidR="00AA4497">
        <w:instrText xml:space="preserve"> REF _Ref178959463 </w:instrText>
      </w:r>
      <w:r w:rsidR="00AA4497">
        <w:fldChar w:fldCharType="separate"/>
      </w:r>
      <w:r w:rsidR="00850DA1" w:rsidRPr="00E215F0">
        <w:t xml:space="preserve">Figure </w:t>
      </w:r>
      <w:r w:rsidR="00850DA1">
        <w:rPr>
          <w:noProof/>
        </w:rPr>
        <w:t>6</w:t>
      </w:r>
      <w:r w:rsidR="00AA4497">
        <w:fldChar w:fldCharType="end"/>
      </w:r>
      <w:r w:rsidR="007B69D3">
        <w:t xml:space="preserve"> (a) </w:t>
      </w:r>
      <w:r w:rsidR="00DF6925">
        <w:t xml:space="preserve">have the magnitudes of </w:t>
      </w:r>
      <m:oMath>
        <m:d>
          <m:dPr>
            <m:begChr m:val="["/>
            <m:endChr m:val="]"/>
            <m:ctrlPr>
              <w:rPr>
                <w:rFonts w:ascii="Cambria Math" w:hAnsi="Cambria Math"/>
                <w:i/>
              </w:rPr>
            </m:ctrlPr>
          </m:dPr>
          <m:e>
            <m:r>
              <w:rPr>
                <w:rFonts w:ascii="Cambria Math" w:hAnsi="Cambria Math"/>
              </w:rPr>
              <m:t>3.5, 2.1, 2.1, 5.3</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r w:rsidR="00937D0C">
        <w:t xml:space="preserve"> at </w:t>
      </w:r>
      <w:r w:rsidR="00427F79">
        <w:t>sample #11, 12, 13, 14.</w:t>
      </w:r>
    </w:p>
    <w:p w14:paraId="0AE2D4FC" w14:textId="07768385" w:rsidR="00427F79" w:rsidRDefault="007B69D3" w:rsidP="00D35F36">
      <w:pPr>
        <w:pStyle w:val="ListParagraph"/>
        <w:numPr>
          <w:ilvl w:val="1"/>
          <w:numId w:val="73"/>
        </w:numPr>
      </w:pPr>
      <w:r>
        <w:t xml:space="preserve">The four strongest samples in </w:t>
      </w:r>
      <w:r w:rsidR="00AA4497">
        <w:fldChar w:fldCharType="begin"/>
      </w:r>
      <w:r w:rsidR="00AA4497">
        <w:instrText xml:space="preserve"> REF _Ref178959463 </w:instrText>
      </w:r>
      <w:r w:rsidR="00AA4497">
        <w:fldChar w:fldCharType="separate"/>
      </w:r>
      <w:r w:rsidR="00850DA1" w:rsidRPr="00E215F0">
        <w:t xml:space="preserve">Figure </w:t>
      </w:r>
      <w:r w:rsidR="00850DA1">
        <w:rPr>
          <w:noProof/>
        </w:rPr>
        <w:t>6</w:t>
      </w:r>
      <w:r w:rsidR="00AA4497">
        <w:fldChar w:fldCharType="end"/>
      </w:r>
      <w:r>
        <w:t xml:space="preserve"> (</w:t>
      </w:r>
      <w:r w:rsidR="00221CB0">
        <w:t>b</w:t>
      </w:r>
      <w:r>
        <w:t xml:space="preserve">) have the magnitudes of </w:t>
      </w:r>
      <m:oMath>
        <m:d>
          <m:dPr>
            <m:begChr m:val="["/>
            <m:endChr m:val="]"/>
            <m:ctrlPr>
              <w:rPr>
                <w:rFonts w:ascii="Cambria Math" w:hAnsi="Cambria Math"/>
                <w:i/>
              </w:rPr>
            </m:ctrlPr>
          </m:dPr>
          <m:e>
            <m:r>
              <w:rPr>
                <w:rFonts w:ascii="Cambria Math" w:hAnsi="Cambria Math"/>
              </w:rPr>
              <m:t>1.5,  3.6, 4.4, 3.6</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r>
        <w:t xml:space="preserve"> at sample #1</w:t>
      </w:r>
      <w:r w:rsidR="00E1652F">
        <w:t>0</w:t>
      </w:r>
      <w:r>
        <w:t>, 1</w:t>
      </w:r>
      <w:r w:rsidR="00E1652F">
        <w:t>1</w:t>
      </w:r>
      <w:r>
        <w:t>, 13, 14.</w:t>
      </w:r>
    </w:p>
    <w:p w14:paraId="2806FA9B" w14:textId="64668B9D" w:rsidR="007B69D3" w:rsidRDefault="007B69D3" w:rsidP="00D35F36">
      <w:pPr>
        <w:pStyle w:val="ListParagraph"/>
        <w:numPr>
          <w:ilvl w:val="1"/>
          <w:numId w:val="73"/>
        </w:numPr>
      </w:pPr>
      <w:r>
        <w:t xml:space="preserve">The four strongest samples in </w:t>
      </w:r>
      <w:r w:rsidR="00AA4497">
        <w:fldChar w:fldCharType="begin"/>
      </w:r>
      <w:r w:rsidR="00AA4497">
        <w:instrText xml:space="preserve"> REF _Ref178959463 </w:instrText>
      </w:r>
      <w:r w:rsidR="00AA4497">
        <w:fldChar w:fldCharType="separate"/>
      </w:r>
      <w:r w:rsidR="00850DA1" w:rsidRPr="00E215F0">
        <w:t xml:space="preserve">Figure </w:t>
      </w:r>
      <w:r w:rsidR="00850DA1">
        <w:rPr>
          <w:noProof/>
        </w:rPr>
        <w:t>6</w:t>
      </w:r>
      <w:r w:rsidR="00AA4497">
        <w:fldChar w:fldCharType="end"/>
      </w:r>
      <w:r>
        <w:t xml:space="preserve"> (</w:t>
      </w:r>
      <w:r w:rsidR="00221CB0">
        <w:t>c</w:t>
      </w:r>
      <w:r>
        <w:t xml:space="preserve">) have the magnitudes of </w:t>
      </w:r>
      <m:oMath>
        <m:d>
          <m:dPr>
            <m:begChr m:val="["/>
            <m:endChr m:val="]"/>
            <m:ctrlPr>
              <w:rPr>
                <w:rFonts w:ascii="Cambria Math" w:hAnsi="Cambria Math"/>
                <w:i/>
              </w:rPr>
            </m:ctrlPr>
          </m:dPr>
          <m:e>
            <m:r>
              <w:rPr>
                <w:rFonts w:ascii="Cambria Math" w:hAnsi="Cambria Math"/>
              </w:rPr>
              <m:t>2.6, 3.1, 5.1, 2.2</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r>
        <w:t xml:space="preserve"> at sample #1</w:t>
      </w:r>
      <w:r w:rsidR="00491ED6">
        <w:t>3</w:t>
      </w:r>
      <w:r>
        <w:t>, 1</w:t>
      </w:r>
      <w:r w:rsidR="00491ED6">
        <w:t>4</w:t>
      </w:r>
      <w:r>
        <w:t>, 1</w:t>
      </w:r>
      <w:r w:rsidR="00491ED6">
        <w:t>6</w:t>
      </w:r>
      <w:r>
        <w:t>, 1</w:t>
      </w:r>
      <w:r w:rsidR="00E668D1">
        <w:t>7</w:t>
      </w:r>
      <w:r>
        <w:t>.</w:t>
      </w:r>
    </w:p>
    <w:p w14:paraId="6A9DF5DA" w14:textId="60D11B5A" w:rsidR="00046D66" w:rsidRDefault="00C16CED" w:rsidP="00046D66">
      <w:r>
        <w:t xml:space="preserve">While the </w:t>
      </w:r>
      <w:r w:rsidR="0002493C">
        <w:t xml:space="preserve">PDP samples appear different with different </w:t>
      </w:r>
      <w:r w:rsidR="002B2483">
        <w:t xml:space="preserve">timing errors, </w:t>
      </w:r>
      <w:r w:rsidR="00AD397E">
        <w:t xml:space="preserve">they are conveying </w:t>
      </w:r>
      <w:r w:rsidR="00013DEB">
        <w:t xml:space="preserve">the same </w:t>
      </w:r>
      <w:r w:rsidR="00C60E2E">
        <w:t xml:space="preserve">magnitude and time shift information </w:t>
      </w:r>
      <w:r w:rsidR="006021C4">
        <w:t xml:space="preserve">as the continuous PDP response though at coarse levels (caused by finite sampling rates). </w:t>
      </w:r>
      <w:r w:rsidR="00361D75">
        <w:t>Nonetheless</w:t>
      </w:r>
      <w:r w:rsidR="006021C4">
        <w:t xml:space="preserve">, </w:t>
      </w:r>
      <w:r w:rsidR="004034A7">
        <w:t>evaluations have been performed in Rel-18 study item stage, where it was shown by several companies that generalization capability is achievable by providing the proper training dataset</w:t>
      </w:r>
      <w:r w:rsidR="00DA1E34">
        <w:t xml:space="preserve"> containing timing errors to train the ML model</w:t>
      </w:r>
      <w:r w:rsidR="00433F3F">
        <w:t>s</w:t>
      </w:r>
      <w:r w:rsidR="004034A7">
        <w:t>.</w:t>
      </w:r>
      <w:r w:rsidR="00433F3F">
        <w:t xml:space="preserve"> On the other hand, </w:t>
      </w:r>
      <w:r w:rsidR="00361D75">
        <w:t>i</w:t>
      </w:r>
      <w:r w:rsidR="00046D66">
        <w:t xml:space="preserve">f the model is not trained to handle time error, then positioning accuracy is affected. </w:t>
      </w:r>
    </w:p>
    <w:p w14:paraId="6CB0DD43" w14:textId="40998853" w:rsidR="00B840C4" w:rsidRDefault="00B840C4" w:rsidP="00F60309">
      <w:pPr>
        <w:jc w:val="center"/>
      </w:pPr>
      <w:r w:rsidRPr="00B840C4">
        <w:rPr>
          <w:noProof/>
        </w:rPr>
        <w:drawing>
          <wp:inline distT="0" distB="0" distL="0" distR="0" wp14:anchorId="1A760126" wp14:editId="57FF4648">
            <wp:extent cx="3145536" cy="2359152"/>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5536" cy="2359152"/>
                    </a:xfrm>
                    <a:prstGeom prst="rect">
                      <a:avLst/>
                    </a:prstGeom>
                    <a:noFill/>
                    <a:ln>
                      <a:noFill/>
                    </a:ln>
                  </pic:spPr>
                </pic:pic>
              </a:graphicData>
            </a:graphic>
          </wp:inline>
        </w:drawing>
      </w:r>
      <w:r w:rsidR="00DD6D00">
        <w:br/>
        <w:t>(a) no timing error</w:t>
      </w:r>
      <w:r w:rsidR="0093554C">
        <w:br/>
      </w:r>
      <w:r w:rsidR="0024230A" w:rsidRPr="0024230A">
        <w:rPr>
          <w:noProof/>
        </w:rPr>
        <w:lastRenderedPageBreak/>
        <w:drawing>
          <wp:inline distT="0" distB="0" distL="0" distR="0" wp14:anchorId="09D41365" wp14:editId="740124A3">
            <wp:extent cx="3145536" cy="2359152"/>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5536" cy="2359152"/>
                    </a:xfrm>
                    <a:prstGeom prst="rect">
                      <a:avLst/>
                    </a:prstGeom>
                    <a:noFill/>
                    <a:ln>
                      <a:noFill/>
                    </a:ln>
                  </pic:spPr>
                </pic:pic>
              </a:graphicData>
            </a:graphic>
          </wp:inline>
        </w:drawing>
      </w:r>
      <w:r w:rsidR="006643A6" w:rsidRPr="006643A6">
        <w:rPr>
          <w:noProof/>
        </w:rPr>
        <w:drawing>
          <wp:inline distT="0" distB="0" distL="0" distR="0" wp14:anchorId="1C6B5975" wp14:editId="7C46B863">
            <wp:extent cx="3145536" cy="2359152"/>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5536" cy="2359152"/>
                    </a:xfrm>
                    <a:prstGeom prst="rect">
                      <a:avLst/>
                    </a:prstGeom>
                    <a:noFill/>
                    <a:ln>
                      <a:noFill/>
                    </a:ln>
                  </pic:spPr>
                </pic:pic>
              </a:graphicData>
            </a:graphic>
          </wp:inline>
        </w:drawing>
      </w:r>
      <w:r w:rsidR="00947B03">
        <w:br/>
        <w:t xml:space="preserve">(b) </w:t>
      </w:r>
      <w:r w:rsidR="003F59FE">
        <w:rPr>
          <w:rFonts w:cs="Arial"/>
        </w:rPr>
        <w:t>−</w:t>
      </w:r>
      <w:r w:rsidR="00947B03">
        <w:t>3.8 ns timing error</w:t>
      </w:r>
      <w:r w:rsidR="00947B03">
        <w:tab/>
      </w:r>
      <w:r w:rsidR="00947B03">
        <w:tab/>
      </w:r>
      <w:r w:rsidR="00947B03">
        <w:tab/>
      </w:r>
      <w:r w:rsidR="00947B03">
        <w:tab/>
      </w:r>
      <w:r w:rsidR="00947B03">
        <w:tab/>
        <w:t xml:space="preserve">(c) </w:t>
      </w:r>
      <w:r w:rsidR="0046315C">
        <w:t>+</w:t>
      </w:r>
      <w:r w:rsidR="00947B03">
        <w:t>18.7 ns timing error</w:t>
      </w:r>
    </w:p>
    <w:p w14:paraId="12F95B42" w14:textId="7D4D4165" w:rsidR="001D6DA3" w:rsidRDefault="001D6DA3" w:rsidP="00F60309">
      <w:pPr>
        <w:pStyle w:val="Caption"/>
        <w:jc w:val="center"/>
        <w:rPr>
          <w:lang w:eastAsia="ja-JP"/>
        </w:rPr>
      </w:pPr>
      <w:bookmarkStart w:id="771" w:name="_Ref178959463"/>
      <w:r w:rsidRPr="00E215F0">
        <w:t xml:space="preserve">Figure </w:t>
      </w:r>
      <w:r w:rsidR="00500110">
        <w:fldChar w:fldCharType="begin"/>
      </w:r>
      <w:r w:rsidR="00500110">
        <w:instrText xml:space="preserve"> SEQ Figure \* ARABIC </w:instrText>
      </w:r>
      <w:r w:rsidR="00500110">
        <w:fldChar w:fldCharType="separate"/>
      </w:r>
      <w:r w:rsidR="00850DA1">
        <w:rPr>
          <w:noProof/>
        </w:rPr>
        <w:t>6</w:t>
      </w:r>
      <w:r w:rsidR="00500110">
        <w:rPr>
          <w:noProof/>
        </w:rPr>
        <w:fldChar w:fldCharType="end"/>
      </w:r>
      <w:bookmarkEnd w:id="771"/>
      <w:r>
        <w:t xml:space="preserve"> </w:t>
      </w:r>
      <w:r w:rsidR="009E503F">
        <w:t>PDP samples with or without timing errors.</w:t>
      </w:r>
    </w:p>
    <w:p w14:paraId="2E0970AB" w14:textId="77777777" w:rsidR="001D6DA3" w:rsidRDefault="001D6DA3" w:rsidP="003B2F8D"/>
    <w:p w14:paraId="556EDFE4" w14:textId="200BB4E8" w:rsidR="001419B5" w:rsidRDefault="001419B5" w:rsidP="0093485E">
      <w:r>
        <w:t xml:space="preserve">As an example, R1-2306454 </w:t>
      </w:r>
      <w:r w:rsidR="00500110">
        <w:fldChar w:fldCharType="begin"/>
      </w:r>
      <w:r w:rsidR="00500110">
        <w:instrText xml:space="preserve"> REF _Ref172113551 \r </w:instrText>
      </w:r>
      <w:r w:rsidR="00500110">
        <w:fldChar w:fldCharType="separate"/>
      </w:r>
      <w:r w:rsidR="00850DA1">
        <w:t>[6]</w:t>
      </w:r>
      <w:r w:rsidR="00500110">
        <w:fldChar w:fldCharType="end"/>
      </w:r>
      <w:r>
        <w:t xml:space="preserve"> provided the following evaluation results for sample-based measurements, which shows that the model can be trained to have generalization capability over timing error. Even though the sample-based measurement appear</w:t>
      </w:r>
      <w:r w:rsidR="00020A5F">
        <w:t>s</w:t>
      </w:r>
      <w:r>
        <w:t xml:space="preserve"> different with different timing error, the AI/ML model is able to learn from the training dataset and extract the correct information to position the UE.</w:t>
      </w:r>
      <w:r w:rsidR="003B2F8D">
        <w:t xml:space="preserve"> Indeed, random timing error can be artificially injected to the training data samples as a data augmentation strategy, even if the collected training data samples do not contain a wide range of timing errors.</w:t>
      </w:r>
    </w:p>
    <w:p w14:paraId="758238EF" w14:textId="2CBAA9EF" w:rsidR="001419B5" w:rsidRPr="00C47670" w:rsidRDefault="001419B5" w:rsidP="001419B5">
      <w:pPr>
        <w:spacing w:before="120"/>
        <w:rPr>
          <w:rFonts w:eastAsia="Malgun Gothic" w:cs="Malgun Gothic"/>
          <w:b/>
        </w:rPr>
      </w:pPr>
      <w:r w:rsidRPr="00C47670">
        <w:rPr>
          <w:rFonts w:eastAsia="Malgun Gothic" w:cs="Malgun Gothic"/>
          <w:b/>
          <w:lang w:eastAsia="en-GB"/>
        </w:rPr>
        <w:t>R1-2306454: Table 45</w:t>
      </w:r>
      <w:r w:rsidR="00FC5CA3">
        <w:rPr>
          <w:rFonts w:eastAsia="Malgun Gothic" w:cs="Malgun Gothic"/>
          <w:b/>
          <w:lang w:eastAsia="en-GB"/>
        </w:rPr>
        <w:t>.</w:t>
      </w:r>
      <w:r w:rsidRPr="00C47670">
        <w:rPr>
          <w:rFonts w:eastAsia="Malgun Gothic" w:cs="Malgun Gothic"/>
          <w:b/>
          <w:lang w:eastAsia="en-GB"/>
        </w:rPr>
        <w:t xml:space="preserve"> </w:t>
      </w:r>
      <w:r w:rsidRPr="00C47670">
        <w:rPr>
          <w:rFonts w:eastAsia="Malgun Gothic" w:cs="Malgun Gothic"/>
          <w:b/>
        </w:rPr>
        <w:t xml:space="preserve">90%tile </w:t>
      </w:r>
      <w:r w:rsidRPr="00C47670">
        <w:rPr>
          <w:rFonts w:eastAsia="Malgun Gothic" w:cs="Malgun Gothic"/>
          <w:b/>
          <w:lang w:eastAsia="en-GB"/>
        </w:rPr>
        <w:t xml:space="preserve">2D positioning accuracy using </w:t>
      </w:r>
      <w:r w:rsidRPr="00C47670">
        <w:rPr>
          <w:rFonts w:eastAsia="Malgun Gothic" w:cs="Malgun Gothic"/>
          <w:b/>
        </w:rPr>
        <w:t xml:space="preserve">PDP </w:t>
      </w:r>
      <w:r w:rsidRPr="00C47670">
        <w:rPr>
          <w:rFonts w:eastAsia="Malgun Gothic" w:cs="Malgun Gothic"/>
          <w:b/>
          <w:lang w:eastAsia="en-GB"/>
        </w:rPr>
        <w:t xml:space="preserve">inputs for </w:t>
      </w:r>
      <w:r w:rsidRPr="00C47670">
        <w:rPr>
          <w:rFonts w:eastAsia="Malgun Gothic" w:cs="Malgun Gothic"/>
          <w:b/>
        </w:rPr>
        <w:t xml:space="preserve">different UE synchronization STD [ns] </w:t>
      </w:r>
      <w:r w:rsidRPr="00C47670">
        <w:rPr>
          <w:rFonts w:eastAsia="Malgun Gothic" w:cs="Malgun Gothic"/>
          <w:b/>
          <w:lang w:eastAsia="en-GB"/>
        </w:rPr>
        <w:t xml:space="preserve">in the </w:t>
      </w:r>
      <w:r w:rsidRPr="00C47670">
        <w:rPr>
          <w:rFonts w:eastAsia="Malgun Gothic" w:cs="Malgun Gothic"/>
          <w:b/>
        </w:rPr>
        <w:t>{60%, 6m, 2m} InF-DH scenario</w:t>
      </w:r>
      <w:r w:rsidRPr="00C47670">
        <w:rPr>
          <w:rFonts w:eastAsia="Malgun Gothic" w:cs="Malgun Gothic"/>
          <w:b/>
          <w:lang w:eastAsia="en-GB"/>
        </w:rPr>
        <w:t xml:space="preserve"> for small model (Model I) trained with different </w:t>
      </w:r>
      <w:r w:rsidRPr="00C47670">
        <w:rPr>
          <w:rFonts w:eastAsia="Malgun Gothic" w:cs="Malgun Gothic"/>
          <w:b/>
        </w:rPr>
        <w:t>UE synchronization STD [ns]</w:t>
      </w:r>
      <w:r w:rsidRPr="00C47670">
        <w:rPr>
          <w:rFonts w:eastAsia="Malgun Gothic" w:cs="Malgun Gothic"/>
          <w:b/>
          <w:lang w:eastAsia="en-GB"/>
        </w:rPr>
        <w:t>.</w:t>
      </w:r>
    </w:p>
    <w:tbl>
      <w:tblPr>
        <w:tblStyle w:val="TableGrid4"/>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1419B5" w:rsidRPr="00D85CA3" w14:paraId="08CA3C47" w14:textId="77777777" w:rsidTr="000D5F4C">
        <w:tc>
          <w:tcPr>
            <w:tcW w:w="1255" w:type="dxa"/>
            <w:vMerge w:val="restart"/>
            <w:vAlign w:val="center"/>
          </w:tcPr>
          <w:p w14:paraId="5F5BEF3A" w14:textId="77777777" w:rsidR="001419B5" w:rsidRPr="00F60309" w:rsidRDefault="001419B5" w:rsidP="001419B5">
            <w:pPr>
              <w:spacing w:before="60" w:after="60"/>
              <w:jc w:val="center"/>
              <w:rPr>
                <w:rFonts w:eastAsia="Wingdings"/>
                <w:sz w:val="20"/>
                <w:szCs w:val="20"/>
              </w:rPr>
            </w:pPr>
            <w:r w:rsidRPr="009B5B8E">
              <w:rPr>
                <w:rFonts w:eastAsia="Wingdings"/>
                <w:szCs w:val="20"/>
              </w:rPr>
              <w:t>Model details</w:t>
            </w:r>
          </w:p>
        </w:tc>
        <w:tc>
          <w:tcPr>
            <w:tcW w:w="1440" w:type="dxa"/>
            <w:vMerge w:val="restart"/>
            <w:vAlign w:val="center"/>
          </w:tcPr>
          <w:p w14:paraId="64F57729" w14:textId="77777777" w:rsidR="001419B5" w:rsidRPr="00F60309" w:rsidRDefault="001419B5" w:rsidP="001419B5">
            <w:pPr>
              <w:spacing w:before="60" w:after="60"/>
              <w:jc w:val="center"/>
              <w:rPr>
                <w:rFonts w:eastAsia="Wingdings"/>
                <w:sz w:val="20"/>
                <w:szCs w:val="20"/>
              </w:rPr>
            </w:pPr>
            <w:r w:rsidRPr="009B5B8E">
              <w:rPr>
                <w:rFonts w:eastAsia="Wingdings"/>
                <w:szCs w:val="20"/>
              </w:rPr>
              <w:t>Positioning approach</w:t>
            </w:r>
          </w:p>
        </w:tc>
        <w:tc>
          <w:tcPr>
            <w:tcW w:w="1170" w:type="dxa"/>
            <w:vMerge w:val="restart"/>
            <w:vAlign w:val="center"/>
          </w:tcPr>
          <w:p w14:paraId="37E939BC" w14:textId="77777777" w:rsidR="001419B5" w:rsidRPr="00F60309" w:rsidRDefault="001419B5" w:rsidP="001419B5">
            <w:pPr>
              <w:spacing w:before="60" w:after="60"/>
              <w:jc w:val="center"/>
              <w:rPr>
                <w:rFonts w:eastAsia="Wingdings"/>
                <w:sz w:val="20"/>
                <w:szCs w:val="20"/>
              </w:rPr>
            </w:pPr>
            <w:r w:rsidRPr="00D85CA3">
              <w:rPr>
                <w:rFonts w:eastAsia="Wingdings"/>
                <w:sz w:val="20"/>
                <w:szCs w:val="20"/>
              </w:rPr>
              <w:t>Model complexity</w:t>
            </w:r>
            <w:r w:rsidRPr="00443FAA">
              <w:rPr>
                <w:rFonts w:eastAsia="Wingdings"/>
                <w:szCs w:val="20"/>
              </w:rPr>
              <w:br/>
            </w:r>
            <w:r w:rsidRPr="009B5B8E">
              <w:rPr>
                <w:rFonts w:eastAsia="Wingdings"/>
                <w:szCs w:val="20"/>
              </w:rPr>
              <w:t>[# paras]</w:t>
            </w:r>
          </w:p>
        </w:tc>
        <w:tc>
          <w:tcPr>
            <w:tcW w:w="1440" w:type="dxa"/>
            <w:vMerge w:val="restart"/>
            <w:vAlign w:val="center"/>
          </w:tcPr>
          <w:p w14:paraId="0958B2F9" w14:textId="77777777" w:rsidR="001419B5" w:rsidRPr="00F60309" w:rsidRDefault="001419B5" w:rsidP="001419B5">
            <w:pPr>
              <w:spacing w:before="60" w:after="60"/>
              <w:jc w:val="center"/>
              <w:rPr>
                <w:rFonts w:eastAsia="Wingdings"/>
                <w:sz w:val="20"/>
                <w:szCs w:val="20"/>
              </w:rPr>
            </w:pPr>
            <w:r w:rsidRPr="00D85CA3">
              <w:rPr>
                <w:rFonts w:eastAsia="Wingdings"/>
                <w:sz w:val="20"/>
                <w:szCs w:val="20"/>
              </w:rPr>
              <w:t>Computational complexity</w:t>
            </w:r>
            <w:r w:rsidRPr="00D85CA3">
              <w:rPr>
                <w:rFonts w:eastAsia="Wingdings"/>
                <w:sz w:val="20"/>
                <w:szCs w:val="20"/>
              </w:rPr>
              <w:br/>
            </w:r>
            <w:r w:rsidRPr="009B5B8E">
              <w:rPr>
                <w:rFonts w:eastAsia="Wingdings"/>
                <w:szCs w:val="20"/>
              </w:rPr>
              <w:t>[FLOPs]</w:t>
            </w:r>
          </w:p>
        </w:tc>
        <w:tc>
          <w:tcPr>
            <w:tcW w:w="4657" w:type="dxa"/>
            <w:gridSpan w:val="5"/>
            <w:vAlign w:val="center"/>
          </w:tcPr>
          <w:p w14:paraId="2AD6AD7C" w14:textId="77777777" w:rsidR="001419B5" w:rsidRPr="00F60309" w:rsidRDefault="001419B5" w:rsidP="001419B5">
            <w:pPr>
              <w:spacing w:before="60" w:after="60"/>
              <w:jc w:val="center"/>
              <w:rPr>
                <w:rFonts w:eastAsia="Wingdings"/>
                <w:sz w:val="20"/>
                <w:szCs w:val="20"/>
              </w:rPr>
            </w:pPr>
            <w:r w:rsidRPr="009B5B8E">
              <w:rPr>
                <w:rFonts w:eastAsia="Wingdings"/>
                <w:szCs w:val="20"/>
              </w:rPr>
              <w:t>90%tile 2D positioning error [m]</w:t>
            </w:r>
            <w:r w:rsidRPr="009B5B8E">
              <w:rPr>
                <w:rFonts w:eastAsia="Wingdings"/>
                <w:szCs w:val="20"/>
              </w:rPr>
              <w:br/>
              <w:t>with different UE timing error STD in {60%, 6m, 2m} InF-DH</w:t>
            </w:r>
          </w:p>
        </w:tc>
      </w:tr>
      <w:tr w:rsidR="001419B5" w:rsidRPr="00D85CA3" w14:paraId="31885BFE" w14:textId="77777777" w:rsidTr="000D5F4C">
        <w:tc>
          <w:tcPr>
            <w:tcW w:w="1255" w:type="dxa"/>
            <w:vMerge/>
            <w:tcBorders>
              <w:bottom w:val="double" w:sz="4" w:space="0" w:color="auto"/>
            </w:tcBorders>
            <w:vAlign w:val="center"/>
          </w:tcPr>
          <w:p w14:paraId="5177152E" w14:textId="77777777" w:rsidR="001419B5" w:rsidRPr="00F60309" w:rsidRDefault="001419B5" w:rsidP="001419B5">
            <w:pPr>
              <w:spacing w:before="60" w:after="60"/>
              <w:jc w:val="center"/>
              <w:rPr>
                <w:rFonts w:eastAsia="Wingdings"/>
                <w:sz w:val="20"/>
                <w:szCs w:val="20"/>
              </w:rPr>
            </w:pPr>
          </w:p>
        </w:tc>
        <w:tc>
          <w:tcPr>
            <w:tcW w:w="1440" w:type="dxa"/>
            <w:vMerge/>
            <w:tcBorders>
              <w:bottom w:val="double" w:sz="4" w:space="0" w:color="auto"/>
            </w:tcBorders>
            <w:vAlign w:val="center"/>
          </w:tcPr>
          <w:p w14:paraId="6074780D" w14:textId="77777777" w:rsidR="001419B5" w:rsidRPr="00F60309" w:rsidRDefault="001419B5" w:rsidP="001419B5">
            <w:pPr>
              <w:spacing w:before="60" w:after="60"/>
              <w:jc w:val="center"/>
              <w:rPr>
                <w:rFonts w:eastAsia="Wingdings"/>
                <w:sz w:val="20"/>
                <w:szCs w:val="20"/>
              </w:rPr>
            </w:pPr>
          </w:p>
        </w:tc>
        <w:tc>
          <w:tcPr>
            <w:tcW w:w="1170" w:type="dxa"/>
            <w:vMerge/>
            <w:tcBorders>
              <w:bottom w:val="double" w:sz="4" w:space="0" w:color="auto"/>
            </w:tcBorders>
            <w:vAlign w:val="center"/>
          </w:tcPr>
          <w:p w14:paraId="6F2E6B9A" w14:textId="77777777" w:rsidR="001419B5" w:rsidRPr="00F60309" w:rsidRDefault="001419B5" w:rsidP="001419B5">
            <w:pPr>
              <w:spacing w:before="60" w:after="60"/>
              <w:jc w:val="center"/>
              <w:rPr>
                <w:rFonts w:eastAsia="Wingdings"/>
                <w:sz w:val="20"/>
                <w:szCs w:val="20"/>
              </w:rPr>
            </w:pPr>
          </w:p>
        </w:tc>
        <w:tc>
          <w:tcPr>
            <w:tcW w:w="1440" w:type="dxa"/>
            <w:vMerge/>
            <w:tcBorders>
              <w:bottom w:val="double" w:sz="4" w:space="0" w:color="auto"/>
            </w:tcBorders>
            <w:vAlign w:val="center"/>
          </w:tcPr>
          <w:p w14:paraId="62E2EDD3" w14:textId="77777777" w:rsidR="001419B5" w:rsidRPr="00F60309" w:rsidRDefault="001419B5" w:rsidP="001419B5">
            <w:pPr>
              <w:spacing w:before="60" w:after="60"/>
              <w:jc w:val="center"/>
              <w:rPr>
                <w:rFonts w:eastAsia="Wingdings"/>
                <w:sz w:val="20"/>
                <w:szCs w:val="20"/>
              </w:rPr>
            </w:pPr>
          </w:p>
        </w:tc>
        <w:tc>
          <w:tcPr>
            <w:tcW w:w="931" w:type="dxa"/>
            <w:tcBorders>
              <w:bottom w:val="double" w:sz="4" w:space="0" w:color="auto"/>
            </w:tcBorders>
            <w:vAlign w:val="center"/>
          </w:tcPr>
          <w:p w14:paraId="36CAB3A9"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0 ns</w:t>
            </w:r>
          </w:p>
        </w:tc>
        <w:tc>
          <w:tcPr>
            <w:tcW w:w="931" w:type="dxa"/>
            <w:tcBorders>
              <w:bottom w:val="double" w:sz="4" w:space="0" w:color="auto"/>
            </w:tcBorders>
            <w:vAlign w:val="center"/>
          </w:tcPr>
          <w:p w14:paraId="195B257A"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5 ns</w:t>
            </w:r>
          </w:p>
        </w:tc>
        <w:tc>
          <w:tcPr>
            <w:tcW w:w="932" w:type="dxa"/>
            <w:tcBorders>
              <w:bottom w:val="double" w:sz="4" w:space="0" w:color="auto"/>
            </w:tcBorders>
            <w:vAlign w:val="center"/>
          </w:tcPr>
          <w:p w14:paraId="58B96CF2"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10 ns</w:t>
            </w:r>
          </w:p>
        </w:tc>
        <w:tc>
          <w:tcPr>
            <w:tcW w:w="931" w:type="dxa"/>
            <w:tcBorders>
              <w:bottom w:val="double" w:sz="4" w:space="0" w:color="auto"/>
            </w:tcBorders>
            <w:vAlign w:val="center"/>
          </w:tcPr>
          <w:p w14:paraId="5C955F85"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25 ns</w:t>
            </w:r>
          </w:p>
        </w:tc>
        <w:tc>
          <w:tcPr>
            <w:tcW w:w="932" w:type="dxa"/>
            <w:tcBorders>
              <w:bottom w:val="double" w:sz="4" w:space="0" w:color="auto"/>
            </w:tcBorders>
            <w:vAlign w:val="center"/>
          </w:tcPr>
          <w:p w14:paraId="697E68D3"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50 ns</w:t>
            </w:r>
          </w:p>
        </w:tc>
      </w:tr>
      <w:tr w:rsidR="001123D0" w:rsidRPr="00D85CA3" w14:paraId="037C0553" w14:textId="77777777" w:rsidTr="00AB63AE">
        <w:trPr>
          <w:trHeight w:val="469"/>
        </w:trPr>
        <w:tc>
          <w:tcPr>
            <w:tcW w:w="1255" w:type="dxa"/>
            <w:vMerge w:val="restart"/>
            <w:tcBorders>
              <w:top w:val="double" w:sz="4" w:space="0" w:color="auto"/>
            </w:tcBorders>
            <w:vAlign w:val="center"/>
          </w:tcPr>
          <w:p w14:paraId="573DE3FB" w14:textId="77777777" w:rsidR="001419B5" w:rsidRPr="00F60309" w:rsidRDefault="001419B5" w:rsidP="001419B5">
            <w:pPr>
              <w:spacing w:before="60" w:after="60"/>
              <w:jc w:val="center"/>
              <w:rPr>
                <w:rFonts w:eastAsia="Wingdings"/>
                <w:sz w:val="20"/>
                <w:szCs w:val="20"/>
              </w:rPr>
            </w:pPr>
            <w:r w:rsidRPr="009B5B8E">
              <w:rPr>
                <w:rFonts w:eastAsia="Wingdings"/>
                <w:szCs w:val="20"/>
              </w:rPr>
              <w:t xml:space="preserve">PDP trained with </w:t>
            </w:r>
            <w:r w:rsidRPr="00F60309">
              <w:rPr>
                <w:rFonts w:eastAsia="Wingdings"/>
                <w:color w:val="FF0000"/>
                <w:szCs w:val="20"/>
              </w:rPr>
              <w:t>0 ns</w:t>
            </w:r>
          </w:p>
        </w:tc>
        <w:tc>
          <w:tcPr>
            <w:tcW w:w="1440" w:type="dxa"/>
            <w:vAlign w:val="center"/>
          </w:tcPr>
          <w:p w14:paraId="7C6003AC" w14:textId="77777777" w:rsidR="001419B5" w:rsidRPr="00F60309" w:rsidRDefault="001419B5" w:rsidP="001419B5">
            <w:pPr>
              <w:spacing w:before="60" w:after="60"/>
              <w:jc w:val="center"/>
              <w:rPr>
                <w:rFonts w:eastAsia="Wingdings"/>
                <w:sz w:val="20"/>
                <w:szCs w:val="20"/>
              </w:rPr>
            </w:pPr>
            <w:r w:rsidRPr="009B5B8E">
              <w:rPr>
                <w:rFonts w:eastAsia="Wingdings"/>
                <w:szCs w:val="20"/>
              </w:rPr>
              <w:t>Cent. Assist.</w:t>
            </w:r>
          </w:p>
        </w:tc>
        <w:tc>
          <w:tcPr>
            <w:tcW w:w="1170" w:type="dxa"/>
            <w:vAlign w:val="center"/>
          </w:tcPr>
          <w:p w14:paraId="0A79E87B"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vAlign w:val="center"/>
          </w:tcPr>
          <w:p w14:paraId="01D86811"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shd w:val="clear" w:color="auto" w:fill="92D050"/>
            <w:vAlign w:val="center"/>
          </w:tcPr>
          <w:p w14:paraId="661CFC2F" w14:textId="77777777" w:rsidR="001419B5" w:rsidRPr="00F60309" w:rsidRDefault="001419B5" w:rsidP="001419B5">
            <w:pPr>
              <w:spacing w:before="60" w:after="60"/>
              <w:jc w:val="center"/>
              <w:rPr>
                <w:rFonts w:eastAsia="Wingdings"/>
                <w:sz w:val="20"/>
                <w:szCs w:val="20"/>
              </w:rPr>
            </w:pPr>
            <w:r w:rsidRPr="009B5B8E">
              <w:rPr>
                <w:rFonts w:eastAsia="Wingdings"/>
                <w:szCs w:val="20"/>
              </w:rPr>
              <w:t>0.586</w:t>
            </w:r>
          </w:p>
        </w:tc>
        <w:tc>
          <w:tcPr>
            <w:tcW w:w="931" w:type="dxa"/>
            <w:shd w:val="clear" w:color="auto" w:fill="auto"/>
            <w:vAlign w:val="center"/>
          </w:tcPr>
          <w:p w14:paraId="01039722" w14:textId="77777777" w:rsidR="001419B5" w:rsidRPr="00F60309" w:rsidRDefault="001419B5" w:rsidP="001419B5">
            <w:pPr>
              <w:spacing w:before="60" w:after="60"/>
              <w:jc w:val="center"/>
              <w:rPr>
                <w:rFonts w:eastAsia="Wingdings"/>
                <w:sz w:val="20"/>
                <w:szCs w:val="20"/>
              </w:rPr>
            </w:pPr>
            <w:r w:rsidRPr="009B5B8E">
              <w:rPr>
                <w:rFonts w:eastAsia="Wingdings"/>
                <w:szCs w:val="20"/>
              </w:rPr>
              <w:t>0.747</w:t>
            </w:r>
          </w:p>
        </w:tc>
        <w:tc>
          <w:tcPr>
            <w:tcW w:w="932" w:type="dxa"/>
            <w:vAlign w:val="center"/>
          </w:tcPr>
          <w:p w14:paraId="01C9A7BB" w14:textId="77777777" w:rsidR="001419B5" w:rsidRPr="00F60309" w:rsidRDefault="001419B5" w:rsidP="001419B5">
            <w:pPr>
              <w:spacing w:before="60" w:after="60"/>
              <w:jc w:val="center"/>
              <w:rPr>
                <w:rFonts w:eastAsia="Wingdings"/>
                <w:sz w:val="20"/>
                <w:szCs w:val="20"/>
              </w:rPr>
            </w:pPr>
            <w:r w:rsidRPr="009B5B8E">
              <w:rPr>
                <w:rFonts w:eastAsia="Wingdings"/>
                <w:szCs w:val="20"/>
              </w:rPr>
              <w:t>1.281</w:t>
            </w:r>
          </w:p>
        </w:tc>
        <w:tc>
          <w:tcPr>
            <w:tcW w:w="931" w:type="dxa"/>
            <w:vAlign w:val="center"/>
          </w:tcPr>
          <w:p w14:paraId="30346323" w14:textId="77777777" w:rsidR="001419B5" w:rsidRPr="00F60309" w:rsidRDefault="001419B5" w:rsidP="001419B5">
            <w:pPr>
              <w:spacing w:before="60" w:after="60"/>
              <w:jc w:val="center"/>
              <w:rPr>
                <w:rFonts w:eastAsia="Wingdings"/>
                <w:sz w:val="20"/>
                <w:szCs w:val="20"/>
              </w:rPr>
            </w:pPr>
            <w:r w:rsidRPr="009B5B8E">
              <w:rPr>
                <w:rFonts w:eastAsia="Wingdings"/>
                <w:szCs w:val="20"/>
              </w:rPr>
              <w:t>6.76</w:t>
            </w:r>
          </w:p>
        </w:tc>
        <w:tc>
          <w:tcPr>
            <w:tcW w:w="932" w:type="dxa"/>
            <w:vAlign w:val="center"/>
          </w:tcPr>
          <w:p w14:paraId="64CC0F83" w14:textId="77777777" w:rsidR="001419B5" w:rsidRPr="00F60309" w:rsidRDefault="001419B5" w:rsidP="001419B5">
            <w:pPr>
              <w:spacing w:before="60" w:after="60"/>
              <w:jc w:val="center"/>
              <w:rPr>
                <w:rFonts w:eastAsia="Wingdings"/>
                <w:sz w:val="20"/>
                <w:szCs w:val="20"/>
              </w:rPr>
            </w:pPr>
            <w:r w:rsidRPr="009B5B8E">
              <w:rPr>
                <w:rFonts w:eastAsia="Wingdings"/>
                <w:szCs w:val="20"/>
              </w:rPr>
              <w:t>20.081</w:t>
            </w:r>
          </w:p>
        </w:tc>
      </w:tr>
      <w:tr w:rsidR="001123D0" w:rsidRPr="00D85CA3" w14:paraId="6F9E8893" w14:textId="77777777" w:rsidTr="00AB63AE">
        <w:trPr>
          <w:trHeight w:val="469"/>
        </w:trPr>
        <w:tc>
          <w:tcPr>
            <w:tcW w:w="1255" w:type="dxa"/>
            <w:vMerge/>
            <w:tcBorders>
              <w:bottom w:val="double" w:sz="4" w:space="0" w:color="auto"/>
            </w:tcBorders>
            <w:vAlign w:val="center"/>
          </w:tcPr>
          <w:p w14:paraId="47E4EC29" w14:textId="77777777" w:rsidR="001419B5" w:rsidRPr="00F60309" w:rsidRDefault="001419B5" w:rsidP="001419B5">
            <w:pPr>
              <w:spacing w:before="60" w:after="60"/>
              <w:jc w:val="center"/>
              <w:rPr>
                <w:rFonts w:eastAsia="Wingdings"/>
                <w:sz w:val="20"/>
                <w:szCs w:val="20"/>
              </w:rPr>
            </w:pPr>
          </w:p>
        </w:tc>
        <w:tc>
          <w:tcPr>
            <w:tcW w:w="1440" w:type="dxa"/>
            <w:tcBorders>
              <w:bottom w:val="double" w:sz="4" w:space="0" w:color="auto"/>
            </w:tcBorders>
            <w:vAlign w:val="center"/>
          </w:tcPr>
          <w:p w14:paraId="3444C4C6" w14:textId="77777777" w:rsidR="001419B5" w:rsidRPr="00F60309" w:rsidRDefault="001419B5" w:rsidP="001419B5">
            <w:pPr>
              <w:spacing w:before="60" w:after="60"/>
              <w:jc w:val="center"/>
              <w:rPr>
                <w:rFonts w:eastAsia="Wingdings"/>
                <w:sz w:val="20"/>
                <w:szCs w:val="20"/>
              </w:rPr>
            </w:pPr>
            <w:r w:rsidRPr="009B5B8E">
              <w:rPr>
                <w:rFonts w:eastAsia="Wingdings"/>
                <w:szCs w:val="20"/>
              </w:rPr>
              <w:t>Cent. Direct</w:t>
            </w:r>
          </w:p>
        </w:tc>
        <w:tc>
          <w:tcPr>
            <w:tcW w:w="1170" w:type="dxa"/>
            <w:tcBorders>
              <w:bottom w:val="double" w:sz="4" w:space="0" w:color="auto"/>
            </w:tcBorders>
            <w:vAlign w:val="center"/>
          </w:tcPr>
          <w:p w14:paraId="4D3DBEA3"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tcBorders>
              <w:bottom w:val="double" w:sz="4" w:space="0" w:color="auto"/>
            </w:tcBorders>
            <w:vAlign w:val="center"/>
          </w:tcPr>
          <w:p w14:paraId="54C763D5"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tcBorders>
              <w:bottom w:val="double" w:sz="4" w:space="0" w:color="auto"/>
            </w:tcBorders>
            <w:shd w:val="clear" w:color="auto" w:fill="92D050"/>
            <w:vAlign w:val="center"/>
          </w:tcPr>
          <w:p w14:paraId="004DBC72" w14:textId="77777777" w:rsidR="001419B5" w:rsidRPr="00F60309" w:rsidRDefault="001419B5" w:rsidP="001419B5">
            <w:pPr>
              <w:spacing w:before="60" w:after="60"/>
              <w:jc w:val="center"/>
              <w:rPr>
                <w:rFonts w:eastAsia="Wingdings"/>
                <w:sz w:val="20"/>
                <w:szCs w:val="20"/>
              </w:rPr>
            </w:pPr>
            <w:r w:rsidRPr="009B5B8E">
              <w:rPr>
                <w:rFonts w:eastAsia="Wingdings"/>
                <w:szCs w:val="20"/>
              </w:rPr>
              <w:t>0.571</w:t>
            </w:r>
          </w:p>
        </w:tc>
        <w:tc>
          <w:tcPr>
            <w:tcW w:w="931" w:type="dxa"/>
            <w:tcBorders>
              <w:bottom w:val="double" w:sz="4" w:space="0" w:color="auto"/>
            </w:tcBorders>
            <w:shd w:val="clear" w:color="auto" w:fill="auto"/>
            <w:vAlign w:val="center"/>
          </w:tcPr>
          <w:p w14:paraId="414321A1" w14:textId="77777777" w:rsidR="001419B5" w:rsidRPr="00F60309" w:rsidRDefault="001419B5" w:rsidP="001419B5">
            <w:pPr>
              <w:spacing w:before="60" w:after="60"/>
              <w:jc w:val="center"/>
              <w:rPr>
                <w:rFonts w:eastAsia="Wingdings"/>
                <w:sz w:val="20"/>
                <w:szCs w:val="20"/>
              </w:rPr>
            </w:pPr>
            <w:r w:rsidRPr="009B5B8E">
              <w:rPr>
                <w:rFonts w:eastAsia="Wingdings"/>
                <w:szCs w:val="20"/>
              </w:rPr>
              <w:t>0.754</w:t>
            </w:r>
          </w:p>
        </w:tc>
        <w:tc>
          <w:tcPr>
            <w:tcW w:w="932" w:type="dxa"/>
            <w:tcBorders>
              <w:bottom w:val="double" w:sz="4" w:space="0" w:color="auto"/>
            </w:tcBorders>
            <w:vAlign w:val="center"/>
          </w:tcPr>
          <w:p w14:paraId="476DEA84" w14:textId="77777777" w:rsidR="001419B5" w:rsidRPr="00F60309" w:rsidRDefault="001419B5" w:rsidP="001419B5">
            <w:pPr>
              <w:spacing w:before="60" w:after="60"/>
              <w:jc w:val="center"/>
              <w:rPr>
                <w:rFonts w:eastAsia="Wingdings"/>
                <w:sz w:val="20"/>
                <w:szCs w:val="20"/>
              </w:rPr>
            </w:pPr>
            <w:r w:rsidRPr="009B5B8E">
              <w:rPr>
                <w:rFonts w:eastAsia="Wingdings"/>
                <w:szCs w:val="20"/>
              </w:rPr>
              <w:t>1.354</w:t>
            </w:r>
          </w:p>
        </w:tc>
        <w:tc>
          <w:tcPr>
            <w:tcW w:w="931" w:type="dxa"/>
            <w:tcBorders>
              <w:bottom w:val="double" w:sz="4" w:space="0" w:color="auto"/>
            </w:tcBorders>
            <w:vAlign w:val="center"/>
          </w:tcPr>
          <w:p w14:paraId="5ECAA7B0" w14:textId="77777777" w:rsidR="001419B5" w:rsidRPr="00F60309" w:rsidRDefault="001419B5" w:rsidP="001419B5">
            <w:pPr>
              <w:spacing w:before="60" w:after="60"/>
              <w:jc w:val="center"/>
              <w:rPr>
                <w:rFonts w:eastAsia="Wingdings"/>
                <w:sz w:val="20"/>
                <w:szCs w:val="20"/>
              </w:rPr>
            </w:pPr>
            <w:r w:rsidRPr="009B5B8E">
              <w:rPr>
                <w:rFonts w:eastAsia="Wingdings"/>
                <w:szCs w:val="20"/>
              </w:rPr>
              <w:t>6.886</w:t>
            </w:r>
          </w:p>
        </w:tc>
        <w:tc>
          <w:tcPr>
            <w:tcW w:w="932" w:type="dxa"/>
            <w:tcBorders>
              <w:bottom w:val="double" w:sz="4" w:space="0" w:color="auto"/>
            </w:tcBorders>
            <w:vAlign w:val="center"/>
          </w:tcPr>
          <w:p w14:paraId="1F8FEDB2" w14:textId="77777777" w:rsidR="001419B5" w:rsidRPr="00F60309" w:rsidRDefault="001419B5" w:rsidP="001419B5">
            <w:pPr>
              <w:spacing w:before="60" w:after="60"/>
              <w:jc w:val="center"/>
              <w:rPr>
                <w:rFonts w:eastAsia="Wingdings"/>
                <w:sz w:val="20"/>
                <w:szCs w:val="20"/>
              </w:rPr>
            </w:pPr>
            <w:r w:rsidRPr="009B5B8E">
              <w:rPr>
                <w:rFonts w:eastAsia="Wingdings"/>
                <w:szCs w:val="20"/>
              </w:rPr>
              <w:t>20.350</w:t>
            </w:r>
          </w:p>
        </w:tc>
      </w:tr>
      <w:tr w:rsidR="005E0E9B" w:rsidRPr="00D85CA3" w14:paraId="1C61B74D" w14:textId="77777777" w:rsidTr="00AB63AE">
        <w:trPr>
          <w:trHeight w:val="469"/>
        </w:trPr>
        <w:tc>
          <w:tcPr>
            <w:tcW w:w="1255" w:type="dxa"/>
            <w:vMerge w:val="restart"/>
            <w:tcBorders>
              <w:top w:val="double" w:sz="4" w:space="0" w:color="auto"/>
            </w:tcBorders>
            <w:vAlign w:val="center"/>
          </w:tcPr>
          <w:p w14:paraId="2FEA511C" w14:textId="77777777" w:rsidR="001419B5" w:rsidRPr="00F60309" w:rsidRDefault="001419B5" w:rsidP="001419B5">
            <w:pPr>
              <w:spacing w:before="60" w:after="60"/>
              <w:jc w:val="center"/>
              <w:rPr>
                <w:rFonts w:eastAsia="Wingdings"/>
                <w:sz w:val="20"/>
                <w:szCs w:val="20"/>
              </w:rPr>
            </w:pPr>
            <w:r w:rsidRPr="009B5B8E">
              <w:rPr>
                <w:rFonts w:eastAsia="Wingdings"/>
                <w:szCs w:val="20"/>
              </w:rPr>
              <w:t xml:space="preserve">PDP trained with </w:t>
            </w:r>
            <w:r w:rsidRPr="00F60309">
              <w:rPr>
                <w:rFonts w:eastAsia="Wingdings"/>
                <w:color w:val="FF0000"/>
                <w:szCs w:val="20"/>
              </w:rPr>
              <w:t>25 ns</w:t>
            </w:r>
          </w:p>
        </w:tc>
        <w:tc>
          <w:tcPr>
            <w:tcW w:w="1440" w:type="dxa"/>
            <w:vAlign w:val="center"/>
          </w:tcPr>
          <w:p w14:paraId="4B36739E" w14:textId="77777777" w:rsidR="001419B5" w:rsidRPr="00F60309" w:rsidRDefault="001419B5" w:rsidP="001419B5">
            <w:pPr>
              <w:spacing w:before="60" w:after="60"/>
              <w:jc w:val="center"/>
              <w:rPr>
                <w:rFonts w:eastAsia="Wingdings"/>
                <w:sz w:val="20"/>
                <w:szCs w:val="20"/>
              </w:rPr>
            </w:pPr>
            <w:r w:rsidRPr="009B5B8E">
              <w:rPr>
                <w:rFonts w:eastAsia="Wingdings"/>
                <w:szCs w:val="20"/>
              </w:rPr>
              <w:t>Cent. Assist.</w:t>
            </w:r>
          </w:p>
        </w:tc>
        <w:tc>
          <w:tcPr>
            <w:tcW w:w="1170" w:type="dxa"/>
            <w:vAlign w:val="center"/>
          </w:tcPr>
          <w:p w14:paraId="02FE4314"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vAlign w:val="center"/>
          </w:tcPr>
          <w:p w14:paraId="6F5FFF19"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shd w:val="clear" w:color="auto" w:fill="92D050"/>
            <w:vAlign w:val="center"/>
          </w:tcPr>
          <w:p w14:paraId="50CA6210" w14:textId="77777777" w:rsidR="001419B5" w:rsidRPr="00F60309" w:rsidRDefault="001419B5" w:rsidP="001419B5">
            <w:pPr>
              <w:spacing w:before="60" w:after="60"/>
              <w:jc w:val="center"/>
              <w:rPr>
                <w:rFonts w:eastAsia="Wingdings"/>
                <w:sz w:val="20"/>
                <w:szCs w:val="20"/>
              </w:rPr>
            </w:pPr>
            <w:r w:rsidRPr="009B5B8E">
              <w:rPr>
                <w:rFonts w:eastAsia="Wingdings"/>
                <w:szCs w:val="20"/>
              </w:rPr>
              <w:t>0.703</w:t>
            </w:r>
          </w:p>
        </w:tc>
        <w:tc>
          <w:tcPr>
            <w:tcW w:w="931" w:type="dxa"/>
            <w:shd w:val="clear" w:color="auto" w:fill="92D050"/>
            <w:vAlign w:val="center"/>
          </w:tcPr>
          <w:p w14:paraId="7F20D3A7" w14:textId="77777777" w:rsidR="001419B5" w:rsidRPr="00F60309" w:rsidRDefault="001419B5" w:rsidP="001419B5">
            <w:pPr>
              <w:spacing w:before="60" w:after="60"/>
              <w:jc w:val="center"/>
              <w:rPr>
                <w:rFonts w:eastAsia="Wingdings"/>
                <w:sz w:val="20"/>
                <w:szCs w:val="20"/>
              </w:rPr>
            </w:pPr>
            <w:r w:rsidRPr="009B5B8E">
              <w:rPr>
                <w:rFonts w:eastAsia="Wingdings"/>
                <w:szCs w:val="20"/>
              </w:rPr>
              <w:t>0.711</w:t>
            </w:r>
          </w:p>
        </w:tc>
        <w:tc>
          <w:tcPr>
            <w:tcW w:w="932" w:type="dxa"/>
            <w:shd w:val="clear" w:color="auto" w:fill="92D050"/>
            <w:vAlign w:val="center"/>
          </w:tcPr>
          <w:p w14:paraId="2964B7B0" w14:textId="77777777" w:rsidR="001419B5" w:rsidRPr="00F60309" w:rsidRDefault="001419B5" w:rsidP="001419B5">
            <w:pPr>
              <w:spacing w:before="60" w:after="60"/>
              <w:jc w:val="center"/>
              <w:rPr>
                <w:rFonts w:eastAsia="Wingdings"/>
                <w:sz w:val="20"/>
                <w:szCs w:val="20"/>
              </w:rPr>
            </w:pPr>
            <w:r w:rsidRPr="009B5B8E">
              <w:rPr>
                <w:rFonts w:eastAsia="Wingdings"/>
                <w:szCs w:val="20"/>
              </w:rPr>
              <w:t>0.711</w:t>
            </w:r>
          </w:p>
        </w:tc>
        <w:tc>
          <w:tcPr>
            <w:tcW w:w="931" w:type="dxa"/>
            <w:shd w:val="clear" w:color="auto" w:fill="92D050"/>
            <w:vAlign w:val="center"/>
          </w:tcPr>
          <w:p w14:paraId="17E7A4E5" w14:textId="77777777" w:rsidR="001419B5" w:rsidRPr="00F60309" w:rsidRDefault="001419B5" w:rsidP="001419B5">
            <w:pPr>
              <w:spacing w:before="60" w:after="60"/>
              <w:jc w:val="center"/>
              <w:rPr>
                <w:rFonts w:eastAsia="Wingdings"/>
                <w:sz w:val="20"/>
                <w:szCs w:val="20"/>
              </w:rPr>
            </w:pPr>
            <w:r w:rsidRPr="009B5B8E">
              <w:rPr>
                <w:rFonts w:eastAsia="Wingdings"/>
                <w:szCs w:val="20"/>
              </w:rPr>
              <w:t>0.748</w:t>
            </w:r>
          </w:p>
        </w:tc>
        <w:tc>
          <w:tcPr>
            <w:tcW w:w="932" w:type="dxa"/>
            <w:shd w:val="clear" w:color="auto" w:fill="auto"/>
            <w:vAlign w:val="center"/>
          </w:tcPr>
          <w:p w14:paraId="2CADA362" w14:textId="77777777" w:rsidR="001419B5" w:rsidRPr="00F60309" w:rsidRDefault="001419B5" w:rsidP="001419B5">
            <w:pPr>
              <w:spacing w:before="60" w:after="60"/>
              <w:jc w:val="center"/>
              <w:rPr>
                <w:rFonts w:eastAsia="Wingdings"/>
                <w:sz w:val="20"/>
                <w:szCs w:val="20"/>
              </w:rPr>
            </w:pPr>
            <w:r w:rsidRPr="009B5B8E">
              <w:rPr>
                <w:rFonts w:eastAsia="Wingdings"/>
                <w:szCs w:val="20"/>
              </w:rPr>
              <w:t>1.303</w:t>
            </w:r>
          </w:p>
        </w:tc>
      </w:tr>
      <w:tr w:rsidR="005E0E9B" w:rsidRPr="00D85CA3" w14:paraId="711B7E19" w14:textId="77777777" w:rsidTr="00AB63AE">
        <w:trPr>
          <w:trHeight w:val="469"/>
        </w:trPr>
        <w:tc>
          <w:tcPr>
            <w:tcW w:w="1255" w:type="dxa"/>
            <w:vMerge/>
            <w:tcBorders>
              <w:bottom w:val="double" w:sz="4" w:space="0" w:color="auto"/>
            </w:tcBorders>
            <w:vAlign w:val="center"/>
          </w:tcPr>
          <w:p w14:paraId="6BC1D07F" w14:textId="77777777" w:rsidR="001419B5" w:rsidRPr="00F60309" w:rsidRDefault="001419B5" w:rsidP="001419B5">
            <w:pPr>
              <w:spacing w:before="60" w:after="60"/>
              <w:jc w:val="center"/>
              <w:rPr>
                <w:rFonts w:eastAsia="Wingdings"/>
                <w:sz w:val="20"/>
                <w:szCs w:val="20"/>
              </w:rPr>
            </w:pPr>
          </w:p>
        </w:tc>
        <w:tc>
          <w:tcPr>
            <w:tcW w:w="1440" w:type="dxa"/>
            <w:tcBorders>
              <w:bottom w:val="double" w:sz="4" w:space="0" w:color="auto"/>
            </w:tcBorders>
            <w:vAlign w:val="center"/>
          </w:tcPr>
          <w:p w14:paraId="05689BF1" w14:textId="77777777" w:rsidR="001419B5" w:rsidRPr="00F60309" w:rsidRDefault="001419B5" w:rsidP="001419B5">
            <w:pPr>
              <w:spacing w:before="60" w:after="60"/>
              <w:jc w:val="center"/>
              <w:rPr>
                <w:rFonts w:eastAsia="Wingdings"/>
                <w:sz w:val="20"/>
                <w:szCs w:val="20"/>
              </w:rPr>
            </w:pPr>
            <w:r w:rsidRPr="009B5B8E">
              <w:rPr>
                <w:rFonts w:eastAsia="Wingdings"/>
                <w:szCs w:val="20"/>
              </w:rPr>
              <w:t>Cent. Direct</w:t>
            </w:r>
          </w:p>
        </w:tc>
        <w:tc>
          <w:tcPr>
            <w:tcW w:w="1170" w:type="dxa"/>
            <w:tcBorders>
              <w:bottom w:val="double" w:sz="4" w:space="0" w:color="auto"/>
            </w:tcBorders>
            <w:vAlign w:val="center"/>
          </w:tcPr>
          <w:p w14:paraId="19330D26"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tcBorders>
              <w:bottom w:val="double" w:sz="4" w:space="0" w:color="auto"/>
            </w:tcBorders>
            <w:vAlign w:val="center"/>
          </w:tcPr>
          <w:p w14:paraId="568C1ECE"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tcBorders>
              <w:bottom w:val="double" w:sz="4" w:space="0" w:color="auto"/>
            </w:tcBorders>
            <w:shd w:val="clear" w:color="auto" w:fill="92D050"/>
            <w:vAlign w:val="center"/>
          </w:tcPr>
          <w:p w14:paraId="5886A0EC" w14:textId="77777777" w:rsidR="001419B5" w:rsidRPr="00F60309" w:rsidRDefault="001419B5" w:rsidP="001419B5">
            <w:pPr>
              <w:spacing w:before="60" w:after="60"/>
              <w:jc w:val="center"/>
              <w:rPr>
                <w:rFonts w:eastAsia="Wingdings"/>
                <w:sz w:val="20"/>
                <w:szCs w:val="20"/>
              </w:rPr>
            </w:pPr>
            <w:r w:rsidRPr="009B5B8E">
              <w:rPr>
                <w:rFonts w:eastAsia="Wingdings"/>
                <w:szCs w:val="20"/>
              </w:rPr>
              <w:t>0.534</w:t>
            </w:r>
          </w:p>
        </w:tc>
        <w:tc>
          <w:tcPr>
            <w:tcW w:w="931" w:type="dxa"/>
            <w:tcBorders>
              <w:bottom w:val="double" w:sz="4" w:space="0" w:color="auto"/>
            </w:tcBorders>
            <w:shd w:val="clear" w:color="auto" w:fill="92D050"/>
            <w:vAlign w:val="center"/>
          </w:tcPr>
          <w:p w14:paraId="3FD860A4" w14:textId="77777777" w:rsidR="001419B5" w:rsidRPr="00F60309" w:rsidRDefault="001419B5" w:rsidP="001419B5">
            <w:pPr>
              <w:spacing w:before="60" w:after="60"/>
              <w:jc w:val="center"/>
              <w:rPr>
                <w:rFonts w:eastAsia="Wingdings"/>
                <w:sz w:val="20"/>
                <w:szCs w:val="20"/>
              </w:rPr>
            </w:pPr>
            <w:r w:rsidRPr="009B5B8E">
              <w:rPr>
                <w:rFonts w:eastAsia="Wingdings"/>
                <w:szCs w:val="20"/>
              </w:rPr>
              <w:t>0.538</w:t>
            </w:r>
          </w:p>
        </w:tc>
        <w:tc>
          <w:tcPr>
            <w:tcW w:w="932" w:type="dxa"/>
            <w:tcBorders>
              <w:bottom w:val="double" w:sz="4" w:space="0" w:color="auto"/>
            </w:tcBorders>
            <w:shd w:val="clear" w:color="auto" w:fill="92D050"/>
            <w:vAlign w:val="center"/>
          </w:tcPr>
          <w:p w14:paraId="6B00446C" w14:textId="77777777" w:rsidR="001419B5" w:rsidRPr="00F60309" w:rsidRDefault="001419B5" w:rsidP="001419B5">
            <w:pPr>
              <w:spacing w:before="60" w:after="60"/>
              <w:jc w:val="center"/>
              <w:rPr>
                <w:rFonts w:eastAsia="Wingdings"/>
                <w:sz w:val="20"/>
                <w:szCs w:val="20"/>
              </w:rPr>
            </w:pPr>
            <w:r w:rsidRPr="009B5B8E">
              <w:rPr>
                <w:rFonts w:eastAsia="Wingdings"/>
                <w:szCs w:val="20"/>
              </w:rPr>
              <w:t>0.543</w:t>
            </w:r>
          </w:p>
        </w:tc>
        <w:tc>
          <w:tcPr>
            <w:tcW w:w="931" w:type="dxa"/>
            <w:tcBorders>
              <w:bottom w:val="double" w:sz="4" w:space="0" w:color="auto"/>
            </w:tcBorders>
            <w:shd w:val="clear" w:color="auto" w:fill="92D050"/>
            <w:vAlign w:val="center"/>
          </w:tcPr>
          <w:p w14:paraId="044DE311" w14:textId="77777777" w:rsidR="001419B5" w:rsidRPr="00F60309" w:rsidRDefault="001419B5" w:rsidP="001419B5">
            <w:pPr>
              <w:spacing w:before="60" w:after="60"/>
              <w:jc w:val="center"/>
              <w:rPr>
                <w:rFonts w:eastAsia="Wingdings"/>
                <w:sz w:val="20"/>
                <w:szCs w:val="20"/>
              </w:rPr>
            </w:pPr>
            <w:r w:rsidRPr="009B5B8E">
              <w:rPr>
                <w:rFonts w:eastAsia="Wingdings"/>
                <w:szCs w:val="20"/>
              </w:rPr>
              <w:t>0.562</w:t>
            </w:r>
          </w:p>
        </w:tc>
        <w:tc>
          <w:tcPr>
            <w:tcW w:w="932" w:type="dxa"/>
            <w:tcBorders>
              <w:bottom w:val="double" w:sz="4" w:space="0" w:color="auto"/>
            </w:tcBorders>
            <w:shd w:val="clear" w:color="auto" w:fill="auto"/>
            <w:vAlign w:val="center"/>
          </w:tcPr>
          <w:p w14:paraId="3B0CB228" w14:textId="77777777" w:rsidR="001419B5" w:rsidRPr="00F60309" w:rsidRDefault="001419B5" w:rsidP="001419B5">
            <w:pPr>
              <w:spacing w:before="60" w:after="60"/>
              <w:jc w:val="center"/>
              <w:rPr>
                <w:rFonts w:eastAsia="Wingdings"/>
                <w:sz w:val="20"/>
                <w:szCs w:val="20"/>
              </w:rPr>
            </w:pPr>
            <w:r w:rsidRPr="009B5B8E">
              <w:rPr>
                <w:rFonts w:eastAsia="Wingdings"/>
                <w:szCs w:val="20"/>
              </w:rPr>
              <w:t>1.041</w:t>
            </w:r>
          </w:p>
        </w:tc>
      </w:tr>
      <w:tr w:rsidR="005E0E9B" w:rsidRPr="00D85CA3" w14:paraId="0D020541" w14:textId="77777777" w:rsidTr="00AB63AE">
        <w:trPr>
          <w:trHeight w:val="469"/>
        </w:trPr>
        <w:tc>
          <w:tcPr>
            <w:tcW w:w="1255" w:type="dxa"/>
            <w:vMerge w:val="restart"/>
            <w:tcBorders>
              <w:top w:val="double" w:sz="4" w:space="0" w:color="auto"/>
            </w:tcBorders>
            <w:vAlign w:val="center"/>
          </w:tcPr>
          <w:p w14:paraId="46C16F8E" w14:textId="77777777" w:rsidR="001419B5" w:rsidRPr="00F60309" w:rsidRDefault="001419B5" w:rsidP="001419B5">
            <w:pPr>
              <w:spacing w:before="60" w:after="60"/>
              <w:jc w:val="center"/>
              <w:rPr>
                <w:rFonts w:eastAsia="Wingdings"/>
                <w:sz w:val="20"/>
                <w:szCs w:val="20"/>
              </w:rPr>
            </w:pPr>
            <w:r w:rsidRPr="009B5B8E">
              <w:rPr>
                <w:rFonts w:eastAsia="Wingdings"/>
                <w:szCs w:val="20"/>
              </w:rPr>
              <w:t xml:space="preserve">PDP trained with </w:t>
            </w:r>
            <w:r w:rsidRPr="00F60309">
              <w:rPr>
                <w:rFonts w:eastAsia="Wingdings"/>
                <w:color w:val="FF0000"/>
                <w:szCs w:val="20"/>
              </w:rPr>
              <w:t>50 ns</w:t>
            </w:r>
          </w:p>
        </w:tc>
        <w:tc>
          <w:tcPr>
            <w:tcW w:w="1440" w:type="dxa"/>
            <w:tcBorders>
              <w:top w:val="double" w:sz="4" w:space="0" w:color="auto"/>
            </w:tcBorders>
            <w:vAlign w:val="center"/>
          </w:tcPr>
          <w:p w14:paraId="05E178C6" w14:textId="77777777" w:rsidR="001419B5" w:rsidRPr="00F60309" w:rsidRDefault="001419B5" w:rsidP="001419B5">
            <w:pPr>
              <w:spacing w:before="60" w:after="60"/>
              <w:jc w:val="center"/>
              <w:rPr>
                <w:rFonts w:eastAsia="Wingdings"/>
                <w:sz w:val="20"/>
                <w:szCs w:val="20"/>
              </w:rPr>
            </w:pPr>
            <w:r w:rsidRPr="009B5B8E">
              <w:rPr>
                <w:rFonts w:eastAsia="Wingdings"/>
                <w:szCs w:val="20"/>
              </w:rPr>
              <w:t>Cent. Assist.</w:t>
            </w:r>
          </w:p>
        </w:tc>
        <w:tc>
          <w:tcPr>
            <w:tcW w:w="1170" w:type="dxa"/>
            <w:tcBorders>
              <w:top w:val="double" w:sz="4" w:space="0" w:color="auto"/>
            </w:tcBorders>
            <w:vAlign w:val="center"/>
          </w:tcPr>
          <w:p w14:paraId="35E303C5"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tcBorders>
              <w:top w:val="double" w:sz="4" w:space="0" w:color="auto"/>
            </w:tcBorders>
            <w:vAlign w:val="center"/>
          </w:tcPr>
          <w:p w14:paraId="61146D1D"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tcBorders>
              <w:top w:val="double" w:sz="4" w:space="0" w:color="auto"/>
            </w:tcBorders>
            <w:shd w:val="clear" w:color="auto" w:fill="92D050"/>
            <w:vAlign w:val="center"/>
          </w:tcPr>
          <w:p w14:paraId="67AAD57D" w14:textId="77777777" w:rsidR="001419B5" w:rsidRPr="00F60309" w:rsidRDefault="001419B5" w:rsidP="001419B5">
            <w:pPr>
              <w:spacing w:before="60" w:after="60"/>
              <w:jc w:val="center"/>
              <w:rPr>
                <w:rFonts w:eastAsia="Wingdings"/>
                <w:sz w:val="20"/>
                <w:szCs w:val="20"/>
              </w:rPr>
            </w:pPr>
            <w:r w:rsidRPr="009B5B8E">
              <w:rPr>
                <w:rFonts w:eastAsia="Wingdings"/>
                <w:szCs w:val="20"/>
              </w:rPr>
              <w:t>0.762</w:t>
            </w:r>
          </w:p>
        </w:tc>
        <w:tc>
          <w:tcPr>
            <w:tcW w:w="931" w:type="dxa"/>
            <w:tcBorders>
              <w:top w:val="double" w:sz="4" w:space="0" w:color="auto"/>
            </w:tcBorders>
            <w:shd w:val="clear" w:color="auto" w:fill="92D050"/>
            <w:vAlign w:val="center"/>
          </w:tcPr>
          <w:p w14:paraId="1FCD0217" w14:textId="77777777" w:rsidR="001419B5" w:rsidRPr="00F60309" w:rsidRDefault="001419B5" w:rsidP="001419B5">
            <w:pPr>
              <w:spacing w:before="60" w:after="60"/>
              <w:jc w:val="center"/>
              <w:rPr>
                <w:rFonts w:eastAsia="Wingdings"/>
                <w:sz w:val="20"/>
                <w:szCs w:val="20"/>
              </w:rPr>
            </w:pPr>
            <w:r w:rsidRPr="009B5B8E">
              <w:rPr>
                <w:rFonts w:eastAsia="Wingdings"/>
                <w:szCs w:val="20"/>
              </w:rPr>
              <w:t>0.768</w:t>
            </w:r>
          </w:p>
        </w:tc>
        <w:tc>
          <w:tcPr>
            <w:tcW w:w="932" w:type="dxa"/>
            <w:tcBorders>
              <w:top w:val="double" w:sz="4" w:space="0" w:color="auto"/>
            </w:tcBorders>
            <w:shd w:val="clear" w:color="auto" w:fill="92D050"/>
            <w:vAlign w:val="center"/>
          </w:tcPr>
          <w:p w14:paraId="16D5F27E" w14:textId="77777777" w:rsidR="001419B5" w:rsidRPr="00F60309" w:rsidRDefault="001419B5" w:rsidP="001419B5">
            <w:pPr>
              <w:spacing w:before="60" w:after="60"/>
              <w:jc w:val="center"/>
              <w:rPr>
                <w:rFonts w:eastAsia="Wingdings"/>
                <w:sz w:val="20"/>
                <w:szCs w:val="20"/>
              </w:rPr>
            </w:pPr>
            <w:r w:rsidRPr="009B5B8E">
              <w:rPr>
                <w:rFonts w:eastAsia="Wingdings"/>
                <w:szCs w:val="20"/>
              </w:rPr>
              <w:t>0.762</w:t>
            </w:r>
          </w:p>
        </w:tc>
        <w:tc>
          <w:tcPr>
            <w:tcW w:w="931" w:type="dxa"/>
            <w:tcBorders>
              <w:top w:val="double" w:sz="4" w:space="0" w:color="auto"/>
            </w:tcBorders>
            <w:shd w:val="clear" w:color="auto" w:fill="92D050"/>
            <w:vAlign w:val="center"/>
          </w:tcPr>
          <w:p w14:paraId="28C47FDA" w14:textId="77777777" w:rsidR="001419B5" w:rsidRPr="00F60309" w:rsidRDefault="001419B5" w:rsidP="001419B5">
            <w:pPr>
              <w:spacing w:before="60" w:after="60"/>
              <w:jc w:val="center"/>
              <w:rPr>
                <w:rFonts w:eastAsia="Wingdings"/>
                <w:sz w:val="20"/>
                <w:szCs w:val="20"/>
              </w:rPr>
            </w:pPr>
            <w:r w:rsidRPr="009B5B8E">
              <w:rPr>
                <w:rFonts w:eastAsia="Wingdings"/>
                <w:szCs w:val="20"/>
              </w:rPr>
              <w:t>0.776</w:t>
            </w:r>
          </w:p>
        </w:tc>
        <w:tc>
          <w:tcPr>
            <w:tcW w:w="932" w:type="dxa"/>
            <w:tcBorders>
              <w:top w:val="double" w:sz="4" w:space="0" w:color="auto"/>
            </w:tcBorders>
            <w:shd w:val="clear" w:color="auto" w:fill="92D050"/>
            <w:vAlign w:val="center"/>
          </w:tcPr>
          <w:p w14:paraId="15698AE4" w14:textId="77777777" w:rsidR="001419B5" w:rsidRPr="00F60309" w:rsidRDefault="001419B5" w:rsidP="001419B5">
            <w:pPr>
              <w:spacing w:before="60" w:after="60"/>
              <w:jc w:val="center"/>
              <w:rPr>
                <w:rFonts w:eastAsia="Wingdings"/>
                <w:sz w:val="20"/>
                <w:szCs w:val="20"/>
              </w:rPr>
            </w:pPr>
            <w:r w:rsidRPr="009B5B8E">
              <w:rPr>
                <w:rFonts w:eastAsia="Wingdings"/>
                <w:szCs w:val="20"/>
              </w:rPr>
              <w:t>0.810</w:t>
            </w:r>
          </w:p>
        </w:tc>
      </w:tr>
      <w:tr w:rsidR="005E0E9B" w:rsidRPr="00D85CA3" w14:paraId="244C673C" w14:textId="77777777" w:rsidTr="00AB63AE">
        <w:trPr>
          <w:trHeight w:val="469"/>
        </w:trPr>
        <w:tc>
          <w:tcPr>
            <w:tcW w:w="1255" w:type="dxa"/>
            <w:vMerge/>
            <w:tcBorders>
              <w:bottom w:val="single" w:sz="4" w:space="0" w:color="auto"/>
            </w:tcBorders>
            <w:vAlign w:val="center"/>
          </w:tcPr>
          <w:p w14:paraId="21903979" w14:textId="77777777" w:rsidR="001419B5" w:rsidRPr="00F60309" w:rsidRDefault="001419B5" w:rsidP="001419B5">
            <w:pPr>
              <w:spacing w:before="60" w:after="60"/>
              <w:jc w:val="center"/>
              <w:rPr>
                <w:rFonts w:eastAsia="Wingdings"/>
                <w:sz w:val="20"/>
                <w:szCs w:val="20"/>
              </w:rPr>
            </w:pPr>
          </w:p>
        </w:tc>
        <w:tc>
          <w:tcPr>
            <w:tcW w:w="1440" w:type="dxa"/>
            <w:tcBorders>
              <w:bottom w:val="single" w:sz="4" w:space="0" w:color="auto"/>
            </w:tcBorders>
            <w:vAlign w:val="center"/>
          </w:tcPr>
          <w:p w14:paraId="34F9ACE7" w14:textId="77777777" w:rsidR="001419B5" w:rsidRPr="00F60309" w:rsidRDefault="001419B5" w:rsidP="001419B5">
            <w:pPr>
              <w:spacing w:before="60" w:after="60"/>
              <w:jc w:val="center"/>
              <w:rPr>
                <w:rFonts w:eastAsia="Wingdings"/>
                <w:sz w:val="20"/>
                <w:szCs w:val="20"/>
              </w:rPr>
            </w:pPr>
            <w:r w:rsidRPr="009B5B8E">
              <w:rPr>
                <w:rFonts w:eastAsia="Wingdings"/>
                <w:szCs w:val="20"/>
              </w:rPr>
              <w:t>Cent. Direct</w:t>
            </w:r>
          </w:p>
        </w:tc>
        <w:tc>
          <w:tcPr>
            <w:tcW w:w="1170" w:type="dxa"/>
            <w:tcBorders>
              <w:bottom w:val="single" w:sz="4" w:space="0" w:color="auto"/>
            </w:tcBorders>
            <w:vAlign w:val="center"/>
          </w:tcPr>
          <w:p w14:paraId="696ADA81"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tcBorders>
              <w:bottom w:val="single" w:sz="4" w:space="0" w:color="auto"/>
            </w:tcBorders>
            <w:vAlign w:val="center"/>
          </w:tcPr>
          <w:p w14:paraId="434D76BB"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tcBorders>
              <w:bottom w:val="single" w:sz="4" w:space="0" w:color="auto"/>
            </w:tcBorders>
            <w:shd w:val="clear" w:color="auto" w:fill="92D050"/>
            <w:vAlign w:val="center"/>
          </w:tcPr>
          <w:p w14:paraId="0DD0C50B" w14:textId="77777777" w:rsidR="001419B5" w:rsidRPr="00F60309" w:rsidRDefault="001419B5" w:rsidP="001419B5">
            <w:pPr>
              <w:spacing w:before="60" w:after="60"/>
              <w:jc w:val="center"/>
              <w:rPr>
                <w:rFonts w:eastAsia="Wingdings"/>
                <w:sz w:val="20"/>
                <w:szCs w:val="20"/>
              </w:rPr>
            </w:pPr>
            <w:r w:rsidRPr="009B5B8E">
              <w:rPr>
                <w:rFonts w:eastAsia="Wingdings"/>
                <w:szCs w:val="20"/>
              </w:rPr>
              <w:t>0.567</w:t>
            </w:r>
          </w:p>
        </w:tc>
        <w:tc>
          <w:tcPr>
            <w:tcW w:w="931" w:type="dxa"/>
            <w:tcBorders>
              <w:bottom w:val="single" w:sz="4" w:space="0" w:color="auto"/>
            </w:tcBorders>
            <w:shd w:val="clear" w:color="auto" w:fill="92D050"/>
            <w:vAlign w:val="center"/>
          </w:tcPr>
          <w:p w14:paraId="1D23FA0F" w14:textId="77777777" w:rsidR="001419B5" w:rsidRPr="00F60309" w:rsidRDefault="001419B5" w:rsidP="001419B5">
            <w:pPr>
              <w:spacing w:before="60" w:after="60"/>
              <w:jc w:val="center"/>
              <w:rPr>
                <w:rFonts w:eastAsia="Wingdings"/>
                <w:sz w:val="20"/>
                <w:szCs w:val="20"/>
              </w:rPr>
            </w:pPr>
            <w:r w:rsidRPr="009B5B8E">
              <w:rPr>
                <w:rFonts w:eastAsia="Wingdings"/>
                <w:szCs w:val="20"/>
              </w:rPr>
              <w:t>0.571</w:t>
            </w:r>
          </w:p>
        </w:tc>
        <w:tc>
          <w:tcPr>
            <w:tcW w:w="932" w:type="dxa"/>
            <w:tcBorders>
              <w:bottom w:val="single" w:sz="4" w:space="0" w:color="auto"/>
            </w:tcBorders>
            <w:shd w:val="clear" w:color="auto" w:fill="92D050"/>
            <w:vAlign w:val="center"/>
          </w:tcPr>
          <w:p w14:paraId="083CDABC" w14:textId="77777777" w:rsidR="001419B5" w:rsidRPr="00F60309" w:rsidRDefault="001419B5" w:rsidP="001419B5">
            <w:pPr>
              <w:spacing w:before="60" w:after="60"/>
              <w:jc w:val="center"/>
              <w:rPr>
                <w:rFonts w:eastAsia="Wingdings"/>
                <w:sz w:val="20"/>
                <w:szCs w:val="20"/>
              </w:rPr>
            </w:pPr>
            <w:r w:rsidRPr="009B5B8E">
              <w:rPr>
                <w:rFonts w:eastAsia="Wingdings"/>
                <w:szCs w:val="20"/>
              </w:rPr>
              <w:t>0.566</w:t>
            </w:r>
          </w:p>
        </w:tc>
        <w:tc>
          <w:tcPr>
            <w:tcW w:w="931" w:type="dxa"/>
            <w:tcBorders>
              <w:bottom w:val="single" w:sz="4" w:space="0" w:color="auto"/>
            </w:tcBorders>
            <w:shd w:val="clear" w:color="auto" w:fill="92D050"/>
            <w:vAlign w:val="center"/>
          </w:tcPr>
          <w:p w14:paraId="21A00423" w14:textId="77777777" w:rsidR="001419B5" w:rsidRPr="00F60309" w:rsidRDefault="001419B5" w:rsidP="001419B5">
            <w:pPr>
              <w:spacing w:before="60" w:after="60"/>
              <w:jc w:val="center"/>
              <w:rPr>
                <w:rFonts w:eastAsia="Wingdings"/>
                <w:sz w:val="20"/>
                <w:szCs w:val="20"/>
              </w:rPr>
            </w:pPr>
            <w:r w:rsidRPr="009B5B8E">
              <w:rPr>
                <w:rFonts w:eastAsia="Wingdings"/>
                <w:szCs w:val="20"/>
              </w:rPr>
              <w:t>0.577</w:t>
            </w:r>
          </w:p>
        </w:tc>
        <w:tc>
          <w:tcPr>
            <w:tcW w:w="932" w:type="dxa"/>
            <w:tcBorders>
              <w:bottom w:val="single" w:sz="4" w:space="0" w:color="auto"/>
            </w:tcBorders>
            <w:shd w:val="clear" w:color="auto" w:fill="92D050"/>
            <w:vAlign w:val="center"/>
          </w:tcPr>
          <w:p w14:paraId="12CB8224" w14:textId="77777777" w:rsidR="001419B5" w:rsidRPr="00F60309" w:rsidRDefault="001419B5" w:rsidP="001419B5">
            <w:pPr>
              <w:spacing w:before="60" w:after="60"/>
              <w:jc w:val="center"/>
              <w:rPr>
                <w:rFonts w:eastAsia="Wingdings"/>
                <w:sz w:val="20"/>
                <w:szCs w:val="20"/>
              </w:rPr>
            </w:pPr>
            <w:r w:rsidRPr="009B5B8E">
              <w:rPr>
                <w:rFonts w:eastAsia="Wingdings"/>
                <w:szCs w:val="20"/>
              </w:rPr>
              <w:t>0.589</w:t>
            </w:r>
          </w:p>
        </w:tc>
      </w:tr>
    </w:tbl>
    <w:p w14:paraId="60F97BAC" w14:textId="207F79C3" w:rsidR="00AD4E01" w:rsidRPr="00D85CA3" w:rsidRDefault="001419B5" w:rsidP="0093485E">
      <w:r w:rsidRPr="00D85CA3">
        <w:t xml:space="preserve">  </w:t>
      </w:r>
    </w:p>
    <w:p w14:paraId="6D4ABDD5" w14:textId="77777777" w:rsidR="003B2F8D" w:rsidRDefault="003B2F8D" w:rsidP="003B2F8D">
      <w:r>
        <w:t xml:space="preserve">Based on the evaluation results summarized in TR 38.843 below, the model should be trained with a dataset with t1 &gt; t2, where t1 is </w:t>
      </w:r>
      <w:r w:rsidRPr="00676D14">
        <w:t xml:space="preserve">UE/gNB RX and TX timing error </w:t>
      </w:r>
      <w:r>
        <w:t xml:space="preserve">for the training dataset, t2 is the timing error at deployment. </w:t>
      </w:r>
    </w:p>
    <w:tbl>
      <w:tblPr>
        <w:tblStyle w:val="TableGrid"/>
        <w:tblW w:w="0" w:type="auto"/>
        <w:tblLook w:val="04A0" w:firstRow="1" w:lastRow="0" w:firstColumn="1" w:lastColumn="0" w:noHBand="0" w:noVBand="1"/>
      </w:tblPr>
      <w:tblGrid>
        <w:gridCol w:w="9962"/>
      </w:tblGrid>
      <w:tr w:rsidR="003B2F8D" w:rsidRPr="00505B2B" w14:paraId="3BBEF9E6" w14:textId="77777777" w:rsidTr="000D5F4C">
        <w:tc>
          <w:tcPr>
            <w:tcW w:w="9962" w:type="dxa"/>
          </w:tcPr>
          <w:p w14:paraId="67619195" w14:textId="77777777" w:rsidR="003B2F8D" w:rsidRPr="00505B2B" w:rsidRDefault="003B2F8D" w:rsidP="00505B2B">
            <w:pPr>
              <w:spacing w:after="0"/>
              <w:rPr>
                <w:sz w:val="18"/>
                <w:szCs w:val="18"/>
              </w:rPr>
            </w:pPr>
            <w:r w:rsidRPr="00505B2B">
              <w:rPr>
                <w:sz w:val="18"/>
                <w:szCs w:val="18"/>
              </w:rPr>
              <w:t>TR 38.843 v2.0.1</w:t>
            </w:r>
          </w:p>
          <w:p w14:paraId="251AEF0D" w14:textId="77777777" w:rsidR="003B2F8D" w:rsidRPr="00505B2B" w:rsidRDefault="003B2F8D" w:rsidP="00505B2B">
            <w:pPr>
              <w:keepNext/>
              <w:keepLines/>
              <w:spacing w:before="120" w:after="0"/>
              <w:outlineLvl w:val="3"/>
              <w:rPr>
                <w:rFonts w:eastAsia="MS Mincho"/>
                <w:sz w:val="18"/>
                <w:szCs w:val="18"/>
                <w:lang w:val="en-GB"/>
              </w:rPr>
            </w:pPr>
            <w:bookmarkStart w:id="772" w:name="_Toc178961647"/>
            <w:r w:rsidRPr="00505B2B">
              <w:rPr>
                <w:rFonts w:eastAsia="MS Mincho"/>
                <w:sz w:val="18"/>
                <w:szCs w:val="18"/>
                <w:lang w:val="en-GB"/>
              </w:rPr>
              <w:lastRenderedPageBreak/>
              <w:t>6.4.2.2</w:t>
            </w:r>
            <w:r w:rsidRPr="00505B2B">
              <w:rPr>
                <w:rFonts w:eastAsia="MS Mincho"/>
                <w:sz w:val="18"/>
                <w:szCs w:val="18"/>
                <w:lang w:val="en-GB"/>
              </w:rPr>
              <w:tab/>
              <w:t>Generalization Aspects</w:t>
            </w:r>
            <w:bookmarkEnd w:id="772"/>
          </w:p>
          <w:p w14:paraId="15518B1C" w14:textId="77777777" w:rsidR="003B2F8D" w:rsidRPr="00505B2B" w:rsidRDefault="003B2F8D" w:rsidP="00505B2B">
            <w:pPr>
              <w:spacing w:after="0"/>
              <w:rPr>
                <w:rFonts w:eastAsia="MS Mincho"/>
                <w:b/>
                <w:sz w:val="18"/>
                <w:szCs w:val="18"/>
                <w:lang w:val="en-GB"/>
              </w:rPr>
            </w:pPr>
            <w:r w:rsidRPr="00505B2B">
              <w:rPr>
                <w:rFonts w:eastAsia="MS Mincho"/>
                <w:b/>
                <w:i/>
                <w:sz w:val="18"/>
                <w:szCs w:val="18"/>
                <w:lang w:val="en-GB"/>
              </w:rPr>
              <w:t>Observations</w:t>
            </w:r>
            <w:r w:rsidRPr="00505B2B">
              <w:rPr>
                <w:rFonts w:eastAsia="MS Mincho"/>
                <w:b/>
                <w:sz w:val="18"/>
                <w:szCs w:val="18"/>
                <w:lang w:val="en-GB"/>
              </w:rPr>
              <w:t>:</w:t>
            </w:r>
          </w:p>
          <w:p w14:paraId="74526C4A" w14:textId="77777777" w:rsidR="003B2F8D" w:rsidRPr="00505B2B" w:rsidRDefault="003B2F8D" w:rsidP="00505B2B">
            <w:pPr>
              <w:spacing w:after="0"/>
              <w:rPr>
                <w:rFonts w:eastAsia="MS Mincho"/>
                <w:color w:val="000000"/>
                <w:sz w:val="18"/>
                <w:szCs w:val="18"/>
                <w:lang w:val="en-GB"/>
              </w:rPr>
            </w:pPr>
            <w:r w:rsidRPr="00505B2B">
              <w:rPr>
                <w:rFonts w:eastAsia="MS Mincho"/>
                <w:b/>
                <w:i/>
                <w:sz w:val="18"/>
                <w:szCs w:val="18"/>
                <w:lang w:val="en-GB"/>
              </w:rPr>
              <w:t>Direct AI/ML positioning</w:t>
            </w:r>
          </w:p>
          <w:p w14:paraId="191138CA" w14:textId="77777777" w:rsidR="003B2F8D" w:rsidRPr="00505B2B" w:rsidRDefault="003B2F8D" w:rsidP="00505B2B">
            <w:pPr>
              <w:spacing w:after="0"/>
              <w:rPr>
                <w:sz w:val="18"/>
                <w:szCs w:val="18"/>
              </w:rPr>
            </w:pPr>
            <w:r w:rsidRPr="00505B2B">
              <w:rPr>
                <w:sz w:val="18"/>
                <w:szCs w:val="18"/>
              </w:rPr>
              <w:t>…</w:t>
            </w:r>
          </w:p>
          <w:p w14:paraId="44BC520F" w14:textId="77777777" w:rsidR="003B2F8D" w:rsidRPr="00505B2B" w:rsidRDefault="003B2F8D" w:rsidP="00505B2B">
            <w:pPr>
              <w:spacing w:after="0"/>
              <w:rPr>
                <w:rFonts w:eastAsia="MS Mincho"/>
                <w:sz w:val="18"/>
                <w:szCs w:val="18"/>
              </w:rPr>
            </w:pPr>
            <w:r w:rsidRPr="00505B2B">
              <w:rPr>
                <w:rFonts w:eastAsia="MS Mincho"/>
                <w:sz w:val="18"/>
                <w:szCs w:val="18"/>
              </w:rPr>
              <w:t xml:space="preserve">For direct AI/ML positioning, based on evaluation results of </w:t>
            </w:r>
            <w:r w:rsidRPr="00505B2B">
              <w:rPr>
                <w:rFonts w:eastAsia="MS Mincho"/>
                <w:i/>
                <w:sz w:val="18"/>
                <w:szCs w:val="18"/>
              </w:rPr>
              <w:t>timing error</w:t>
            </w:r>
            <w:r w:rsidRPr="00505B2B">
              <w:rPr>
                <w:rFonts w:eastAsia="MS Mincho"/>
                <w:sz w:val="18"/>
                <w:szCs w:val="18"/>
              </w:rPr>
              <w:t xml:space="preserve"> in the range of 0-50 ns, when the model is trained by a dataset with UE/gNB RX and TX timing error t1 (ns) and tested in a deployment scenario with UE/gNB RX and TX timing error t2 (ns), for a given t1,</w:t>
            </w:r>
          </w:p>
          <w:p w14:paraId="07A4D787" w14:textId="77777777" w:rsidR="003B2F8D" w:rsidRPr="00505B2B" w:rsidRDefault="003B2F8D" w:rsidP="00505B2B">
            <w:pPr>
              <w:spacing w:after="0"/>
              <w:ind w:left="568" w:hanging="284"/>
              <w:rPr>
                <w:rFonts w:eastAsia="MS Mincho"/>
                <w:color w:val="FF0000"/>
                <w:sz w:val="18"/>
                <w:szCs w:val="18"/>
              </w:rPr>
            </w:pPr>
            <w:r w:rsidRPr="00505B2B">
              <w:rPr>
                <w:rFonts w:eastAsia="MS Mincho"/>
                <w:sz w:val="18"/>
                <w:szCs w:val="18"/>
              </w:rPr>
              <w:t>-</w:t>
            </w:r>
            <w:r w:rsidRPr="00505B2B">
              <w:rPr>
                <w:rFonts w:eastAsia="MS Mincho"/>
                <w:sz w:val="18"/>
                <w:szCs w:val="18"/>
              </w:rPr>
              <w:tab/>
            </w:r>
            <w:r w:rsidRPr="00505B2B">
              <w:rPr>
                <w:rFonts w:eastAsia="MS Mincho"/>
                <w:color w:val="FF0000"/>
                <w:sz w:val="18"/>
                <w:szCs w:val="18"/>
              </w:rPr>
              <w:t>For a case evaluated by a given source, the positioning accuracy of cases with t2 smaller than t1 is better than the cases with t2 equal to t1. For example,</w:t>
            </w:r>
          </w:p>
          <w:p w14:paraId="59ED13DC" w14:textId="77777777" w:rsidR="003B2F8D" w:rsidRPr="00505B2B" w:rsidRDefault="003B2F8D" w:rsidP="00505B2B">
            <w:pPr>
              <w:spacing w:after="0"/>
              <w:ind w:left="851" w:hanging="284"/>
              <w:rPr>
                <w:rFonts w:eastAsia="MS Mincho"/>
                <w:color w:val="FF0000"/>
                <w:sz w:val="18"/>
                <w:szCs w:val="18"/>
              </w:rPr>
            </w:pPr>
            <w:r w:rsidRPr="00505B2B">
              <w:rPr>
                <w:rFonts w:eastAsia="MS Mincho"/>
                <w:color w:val="FF0000"/>
                <w:sz w:val="18"/>
                <w:szCs w:val="18"/>
              </w:rPr>
              <w:t>-</w:t>
            </w:r>
            <w:r w:rsidRPr="00505B2B">
              <w:rPr>
                <w:rFonts w:eastAsia="MS Mincho"/>
                <w:color w:val="FF0000"/>
                <w:sz w:val="18"/>
                <w:szCs w:val="18"/>
              </w:rPr>
              <w:tab/>
              <w:t>For the case of (t1, t2)=(50ns, 30ns), evaluation results show the positioning error of (t1, t2)=(50ns, 30ns) is 0.82~0.86 times that of (t1, t2)=(50ns, 50ns).</w:t>
            </w:r>
          </w:p>
          <w:p w14:paraId="771FB323" w14:textId="77777777" w:rsidR="003B2F8D" w:rsidRPr="00505B2B" w:rsidRDefault="003B2F8D" w:rsidP="00505B2B">
            <w:pPr>
              <w:spacing w:after="0"/>
              <w:ind w:left="851" w:hanging="284"/>
              <w:rPr>
                <w:rFonts w:eastAsia="MS Mincho"/>
                <w:color w:val="FF0000"/>
                <w:sz w:val="18"/>
                <w:szCs w:val="18"/>
              </w:rPr>
            </w:pPr>
            <w:r w:rsidRPr="00505B2B">
              <w:rPr>
                <w:rFonts w:eastAsia="MS Mincho"/>
                <w:color w:val="FF0000"/>
                <w:sz w:val="18"/>
                <w:szCs w:val="18"/>
              </w:rPr>
              <w:t>-</w:t>
            </w:r>
            <w:r w:rsidRPr="00505B2B">
              <w:rPr>
                <w:rFonts w:eastAsia="MS Mincho"/>
                <w:color w:val="FF0000"/>
                <w:sz w:val="18"/>
                <w:szCs w:val="18"/>
              </w:rPr>
              <w:tab/>
              <w:t>For the case of (t1, t2)=(50ns, 0ns), evaluation results show the positioning error of (t1, t2)=(50ns, 0ns) is 0.80~0.82 times that of (t1, t2)=(50ns, 50ns).</w:t>
            </w:r>
          </w:p>
          <w:p w14:paraId="16284C37" w14:textId="77777777" w:rsidR="003B2F8D" w:rsidRPr="00505B2B" w:rsidRDefault="003B2F8D" w:rsidP="00505B2B">
            <w:pPr>
              <w:spacing w:after="0"/>
              <w:ind w:left="568" w:hanging="284"/>
              <w:rPr>
                <w:rFonts w:eastAsia="MS Mincho"/>
                <w:sz w:val="18"/>
                <w:szCs w:val="18"/>
              </w:rPr>
            </w:pPr>
            <w:r w:rsidRPr="00505B2B">
              <w:rPr>
                <w:rFonts w:eastAsia="MS Mincho"/>
                <w:sz w:val="18"/>
                <w:szCs w:val="18"/>
              </w:rPr>
              <w:t>-</w:t>
            </w:r>
            <w:r w:rsidRPr="00505B2B">
              <w:rPr>
                <w:rFonts w:eastAsia="MS Mincho"/>
                <w:sz w:val="18"/>
                <w:szCs w:val="18"/>
              </w:rPr>
              <w:tab/>
              <w:t>For a case evaluated by a given source, the positioning accuracy of cases with t2 greater than t1 is worse than the cases with t2 equal to t1. The larger the difference between t1 and t2, the more the degradation. For example,</w:t>
            </w:r>
          </w:p>
          <w:p w14:paraId="23008F42" w14:textId="77777777" w:rsidR="003B2F8D" w:rsidRPr="00505B2B" w:rsidRDefault="003B2F8D" w:rsidP="00505B2B">
            <w:pPr>
              <w:spacing w:after="0"/>
              <w:ind w:left="851" w:hanging="284"/>
              <w:rPr>
                <w:rFonts w:eastAsia="MS Mincho"/>
                <w:sz w:val="18"/>
                <w:szCs w:val="18"/>
              </w:rPr>
            </w:pPr>
            <w:r w:rsidRPr="00505B2B">
              <w:rPr>
                <w:rFonts w:eastAsia="MS Mincho"/>
                <w:sz w:val="18"/>
                <w:szCs w:val="18"/>
              </w:rPr>
              <w:t>-</w:t>
            </w:r>
            <w:r w:rsidRPr="00505B2B">
              <w:rPr>
                <w:rFonts w:eastAsia="MS Mincho"/>
                <w:sz w:val="18"/>
                <w:szCs w:val="18"/>
              </w:rPr>
              <w:tab/>
              <w:t>For the case of (t1, t2)=(0ns, 10ns), evaluation results show the positioning error of (t1, t2)=(0ns, 10ns) is 1.25~18.7 times that of (t1, t2)=(0ns, 0ns).</w:t>
            </w:r>
          </w:p>
          <w:p w14:paraId="67849012" w14:textId="77777777" w:rsidR="003B2F8D" w:rsidRPr="00505B2B" w:rsidRDefault="003B2F8D" w:rsidP="00505B2B">
            <w:pPr>
              <w:spacing w:after="0"/>
              <w:ind w:left="851" w:hanging="284"/>
              <w:rPr>
                <w:rFonts w:eastAsia="MS Mincho"/>
                <w:sz w:val="18"/>
                <w:szCs w:val="18"/>
              </w:rPr>
            </w:pPr>
            <w:r w:rsidRPr="00505B2B">
              <w:rPr>
                <w:rFonts w:eastAsia="MS Mincho"/>
                <w:sz w:val="18"/>
                <w:szCs w:val="18"/>
              </w:rPr>
              <w:t>-</w:t>
            </w:r>
            <w:r w:rsidRPr="00505B2B">
              <w:rPr>
                <w:rFonts w:eastAsia="MS Mincho"/>
                <w:sz w:val="18"/>
                <w:szCs w:val="18"/>
              </w:rPr>
              <w:tab/>
              <w:t>For the case of (t1, t2)=(0ns, 50ns), evaluation results show the positioning error of (t1, t2)=(0ns, 50ns) is 3.5~18.3 times that of (t1, t2)=(0ns, 0ns).</w:t>
            </w:r>
          </w:p>
          <w:p w14:paraId="6397EC1C" w14:textId="77777777" w:rsidR="003B2F8D" w:rsidRPr="00505B2B" w:rsidRDefault="003B2F8D" w:rsidP="00505B2B">
            <w:pPr>
              <w:spacing w:after="0"/>
              <w:rPr>
                <w:rFonts w:eastAsia="MS Mincho"/>
                <w:color w:val="FF0000"/>
                <w:sz w:val="18"/>
                <w:szCs w:val="18"/>
              </w:rPr>
            </w:pPr>
            <w:r w:rsidRPr="00505B2B">
              <w:rPr>
                <w:rFonts w:eastAsia="MS Mincho"/>
                <w:sz w:val="18"/>
                <w:szCs w:val="18"/>
              </w:rPr>
              <w:t>Note: here the positioning error is the horizonal positioning error (meters) at CDF=90%</w:t>
            </w:r>
            <w:r w:rsidRPr="00505B2B">
              <w:rPr>
                <w:rFonts w:eastAsia="MS Mincho"/>
                <w:color w:val="FF0000"/>
                <w:sz w:val="18"/>
                <w:szCs w:val="18"/>
              </w:rPr>
              <w:t>.</w:t>
            </w:r>
          </w:p>
          <w:p w14:paraId="5649EBC0" w14:textId="77777777" w:rsidR="003B2F8D" w:rsidRPr="00505B2B" w:rsidRDefault="003B2F8D" w:rsidP="00505B2B">
            <w:pPr>
              <w:spacing w:after="0"/>
              <w:rPr>
                <w:sz w:val="18"/>
                <w:szCs w:val="18"/>
              </w:rPr>
            </w:pPr>
            <w:r w:rsidRPr="00505B2B">
              <w:rPr>
                <w:sz w:val="18"/>
                <w:szCs w:val="18"/>
              </w:rPr>
              <w:t>…</w:t>
            </w:r>
          </w:p>
          <w:p w14:paraId="6CE60F12" w14:textId="77777777" w:rsidR="003B2F8D" w:rsidRPr="00505B2B" w:rsidRDefault="003B2F8D" w:rsidP="00505B2B">
            <w:pPr>
              <w:spacing w:after="0"/>
              <w:rPr>
                <w:rFonts w:eastAsia="MS Mincho"/>
                <w:b/>
                <w:i/>
                <w:sz w:val="18"/>
                <w:szCs w:val="18"/>
                <w:lang w:val="en-GB"/>
              </w:rPr>
            </w:pPr>
            <w:r w:rsidRPr="00505B2B">
              <w:rPr>
                <w:rFonts w:eastAsia="MS Mincho"/>
                <w:b/>
                <w:i/>
                <w:sz w:val="18"/>
                <w:szCs w:val="18"/>
                <w:lang w:val="en-GB"/>
              </w:rPr>
              <w:t>AI/ML assisted positioning</w:t>
            </w:r>
          </w:p>
          <w:p w14:paraId="50DD1C13" w14:textId="77777777" w:rsidR="003B2F8D" w:rsidRPr="00505B2B" w:rsidRDefault="003B2F8D" w:rsidP="00505B2B">
            <w:pPr>
              <w:spacing w:after="0"/>
              <w:rPr>
                <w:sz w:val="18"/>
                <w:szCs w:val="18"/>
              </w:rPr>
            </w:pPr>
            <w:r w:rsidRPr="00505B2B">
              <w:rPr>
                <w:sz w:val="18"/>
                <w:szCs w:val="18"/>
              </w:rPr>
              <w:t>…</w:t>
            </w:r>
          </w:p>
          <w:p w14:paraId="65A0D8E6" w14:textId="77777777" w:rsidR="003B2F8D" w:rsidRPr="00505B2B" w:rsidRDefault="003B2F8D" w:rsidP="00505B2B">
            <w:pPr>
              <w:shd w:val="clear" w:color="auto" w:fill="FFFFFF"/>
              <w:spacing w:after="0"/>
              <w:rPr>
                <w:rFonts w:eastAsia="MS Mincho"/>
                <w:sz w:val="18"/>
                <w:szCs w:val="18"/>
                <w:lang w:val="en-GB"/>
              </w:rPr>
            </w:pPr>
            <w:r w:rsidRPr="00505B2B">
              <w:rPr>
                <w:rFonts w:eastAsia="MS Mincho"/>
                <w:sz w:val="18"/>
                <w:szCs w:val="18"/>
                <w:lang w:val="en-GB"/>
              </w:rPr>
              <w:t xml:space="preserve">For AI/ML assisted positioning with timing information (e.g., ToA) as model output, based on evaluation results of </w:t>
            </w:r>
            <w:r w:rsidRPr="00505B2B">
              <w:rPr>
                <w:rFonts w:eastAsia="MS Mincho"/>
                <w:i/>
                <w:sz w:val="18"/>
                <w:szCs w:val="18"/>
                <w:lang w:val="en-GB"/>
              </w:rPr>
              <w:t>timing error</w:t>
            </w:r>
            <w:r w:rsidRPr="00505B2B">
              <w:rPr>
                <w:rFonts w:eastAsia="MS Mincho"/>
                <w:sz w:val="18"/>
                <w:szCs w:val="18"/>
                <w:lang w:val="en-GB"/>
              </w:rPr>
              <w:t xml:space="preserve"> in the range of 0-50 ns, when the model is trained by a dataset with UE/gNB RX and TX timing error t1 (ns) and tested in a deployment scenario with UE/gNB RX and TX timing error t2 (ns), for a given t1,</w:t>
            </w:r>
          </w:p>
          <w:p w14:paraId="66ADD1EF" w14:textId="77777777" w:rsidR="003B2F8D" w:rsidRPr="00505B2B" w:rsidRDefault="003B2F8D" w:rsidP="00505B2B">
            <w:pPr>
              <w:spacing w:after="0"/>
              <w:ind w:left="568" w:hanging="284"/>
              <w:rPr>
                <w:rFonts w:eastAsia="MS Mincho"/>
                <w:color w:val="FF0000"/>
                <w:sz w:val="18"/>
                <w:szCs w:val="18"/>
                <w:lang w:val="en-GB"/>
              </w:rPr>
            </w:pPr>
            <w:r w:rsidRPr="00505B2B">
              <w:rPr>
                <w:rFonts w:eastAsia="MS Mincho"/>
                <w:sz w:val="18"/>
                <w:szCs w:val="18"/>
                <w:lang w:val="en-GB"/>
              </w:rPr>
              <w:t>-</w:t>
            </w:r>
            <w:r w:rsidRPr="00505B2B">
              <w:rPr>
                <w:rFonts w:eastAsia="MS Mincho"/>
                <w:sz w:val="18"/>
                <w:szCs w:val="18"/>
                <w:lang w:val="en-GB"/>
              </w:rPr>
              <w:tab/>
            </w:r>
            <w:r w:rsidRPr="00505B2B">
              <w:rPr>
                <w:rFonts w:eastAsia="MS Mincho"/>
                <w:color w:val="FF0000"/>
                <w:sz w:val="18"/>
                <w:szCs w:val="18"/>
                <w:lang w:val="en-GB"/>
              </w:rPr>
              <w:t>For a case evaluated by a given source, the positioning accuracy of cases with t2 smaller than t1 is better than the cases with t2 equal to t1. For example,</w:t>
            </w:r>
          </w:p>
          <w:p w14:paraId="355BAA9F" w14:textId="77777777" w:rsidR="003B2F8D" w:rsidRPr="00505B2B" w:rsidRDefault="003B2F8D" w:rsidP="00505B2B">
            <w:pPr>
              <w:spacing w:after="0"/>
              <w:ind w:left="851" w:hanging="284"/>
              <w:rPr>
                <w:rFonts w:eastAsia="MS Mincho"/>
                <w:color w:val="FF0000"/>
                <w:sz w:val="18"/>
                <w:szCs w:val="18"/>
                <w:lang w:val="en-GB"/>
              </w:rPr>
            </w:pPr>
            <w:r w:rsidRPr="00505B2B">
              <w:rPr>
                <w:rFonts w:eastAsia="MS Mincho"/>
                <w:color w:val="FF0000"/>
                <w:sz w:val="18"/>
                <w:szCs w:val="18"/>
                <w:lang w:val="en-GB"/>
              </w:rPr>
              <w:t>-</w:t>
            </w:r>
            <w:r w:rsidRPr="00505B2B">
              <w:rPr>
                <w:rFonts w:eastAsia="MS Mincho"/>
                <w:color w:val="FF0000"/>
                <w:sz w:val="18"/>
                <w:szCs w:val="18"/>
                <w:lang w:val="en-GB"/>
              </w:rPr>
              <w:tab/>
              <w:t xml:space="preserve">For the case of (t1, t2)=(50ns, 20~25ns), evaluation results </w:t>
            </w:r>
            <w:r w:rsidRPr="00505B2B">
              <w:rPr>
                <w:rFonts w:eastAsia="MS Mincho"/>
                <w:strike/>
                <w:color w:val="FF0000"/>
                <w:sz w:val="18"/>
                <w:szCs w:val="18"/>
                <w:lang w:val="en-GB"/>
              </w:rPr>
              <w:t>submitted to RAN1#113</w:t>
            </w:r>
            <w:r w:rsidRPr="00505B2B">
              <w:rPr>
                <w:rFonts w:eastAsia="MS Mincho"/>
                <w:color w:val="FF0000"/>
                <w:sz w:val="18"/>
                <w:szCs w:val="18"/>
                <w:lang w:val="en-GB"/>
              </w:rPr>
              <w:t xml:space="preserve"> show the positioning error of (t1, t2)=(50ns, 20~25ns) is 0.75~</w:t>
            </w:r>
            <w:r w:rsidRPr="00505B2B">
              <w:rPr>
                <w:rFonts w:eastAsia="DengXian"/>
                <w:color w:val="FF0000"/>
                <w:sz w:val="18"/>
                <w:szCs w:val="18"/>
                <w:lang w:val="en-GB"/>
              </w:rPr>
              <w:t>1.00</w:t>
            </w:r>
            <w:r w:rsidRPr="00505B2B">
              <w:rPr>
                <w:rFonts w:eastAsia="MS Mincho"/>
                <w:color w:val="FF0000"/>
                <w:sz w:val="18"/>
                <w:szCs w:val="18"/>
                <w:lang w:val="en-GB"/>
              </w:rPr>
              <w:t xml:space="preserve"> times that of (t1, t2)=(50ns, 50ns).</w:t>
            </w:r>
          </w:p>
          <w:p w14:paraId="18AD65B7" w14:textId="77777777" w:rsidR="003B2F8D" w:rsidRPr="00505B2B" w:rsidRDefault="003B2F8D" w:rsidP="00505B2B">
            <w:pPr>
              <w:spacing w:after="0"/>
              <w:ind w:left="851" w:hanging="284"/>
              <w:rPr>
                <w:rFonts w:eastAsia="MS Mincho"/>
                <w:color w:val="FF0000"/>
                <w:sz w:val="18"/>
                <w:szCs w:val="18"/>
                <w:lang w:val="en-GB"/>
              </w:rPr>
            </w:pPr>
            <w:r w:rsidRPr="00505B2B">
              <w:rPr>
                <w:rFonts w:eastAsia="MS Mincho"/>
                <w:color w:val="FF0000"/>
                <w:sz w:val="18"/>
                <w:szCs w:val="18"/>
                <w:lang w:val="en-GB"/>
              </w:rPr>
              <w:t>-</w:t>
            </w:r>
            <w:r w:rsidRPr="00505B2B">
              <w:rPr>
                <w:rFonts w:eastAsia="MS Mincho"/>
                <w:color w:val="FF0000"/>
                <w:sz w:val="18"/>
                <w:szCs w:val="18"/>
                <w:lang w:val="en-GB"/>
              </w:rPr>
              <w:tab/>
              <w:t xml:space="preserve">For the case of (t1, t2)=(50ns, 0ns), evaluation results </w:t>
            </w:r>
            <w:r w:rsidRPr="00505B2B">
              <w:rPr>
                <w:rFonts w:eastAsia="MS Mincho"/>
                <w:strike/>
                <w:color w:val="FF0000"/>
                <w:sz w:val="18"/>
                <w:szCs w:val="18"/>
                <w:lang w:val="en-GB"/>
              </w:rPr>
              <w:t>submitted to RAN1#113</w:t>
            </w:r>
            <w:r w:rsidRPr="00505B2B">
              <w:rPr>
                <w:rFonts w:eastAsia="MS Mincho"/>
                <w:color w:val="FF0000"/>
                <w:sz w:val="18"/>
                <w:szCs w:val="18"/>
                <w:lang w:val="en-GB"/>
              </w:rPr>
              <w:t xml:space="preserve"> show the positioning error of (t1, t2)=(50ns, 0ns) is 0.76~0.</w:t>
            </w:r>
            <w:r w:rsidRPr="00505B2B">
              <w:rPr>
                <w:rFonts w:eastAsia="DengXian"/>
                <w:color w:val="FF0000"/>
                <w:sz w:val="18"/>
                <w:szCs w:val="18"/>
                <w:lang w:val="en-GB"/>
              </w:rPr>
              <w:t>99</w:t>
            </w:r>
            <w:r w:rsidRPr="00505B2B">
              <w:rPr>
                <w:rFonts w:eastAsia="MS Mincho"/>
                <w:color w:val="FF0000"/>
                <w:sz w:val="18"/>
                <w:szCs w:val="18"/>
                <w:lang w:val="en-GB"/>
              </w:rPr>
              <w:t xml:space="preserve"> times that of (t1, t2)=(50ns, 50ns).</w:t>
            </w:r>
          </w:p>
          <w:p w14:paraId="4F23C9B0" w14:textId="77777777" w:rsidR="003B2F8D" w:rsidRPr="00505B2B" w:rsidRDefault="003B2F8D" w:rsidP="00505B2B">
            <w:pPr>
              <w:spacing w:after="0"/>
              <w:ind w:left="568" w:hanging="284"/>
              <w:rPr>
                <w:rFonts w:eastAsia="MS Mincho"/>
                <w:sz w:val="18"/>
                <w:szCs w:val="18"/>
                <w:lang w:val="en-GB"/>
              </w:rPr>
            </w:pPr>
            <w:r w:rsidRPr="00505B2B">
              <w:rPr>
                <w:rFonts w:eastAsia="MS Mincho"/>
                <w:sz w:val="18"/>
                <w:szCs w:val="18"/>
                <w:lang w:val="en-GB"/>
              </w:rPr>
              <w:t>-</w:t>
            </w:r>
            <w:r w:rsidRPr="00505B2B">
              <w:rPr>
                <w:rFonts w:eastAsia="MS Mincho"/>
                <w:sz w:val="18"/>
                <w:szCs w:val="18"/>
                <w:lang w:val="en-GB"/>
              </w:rPr>
              <w:tab/>
              <w:t>For a case evaluated by a given source, the positioning accuracy of cases with t2 greater than t1 is worse than the cases with t2 equal to t1. The larger the difference between t1 and t2, the more the degradation. For example,</w:t>
            </w:r>
          </w:p>
          <w:p w14:paraId="2AFD4539" w14:textId="77777777" w:rsidR="003B2F8D" w:rsidRPr="00505B2B" w:rsidRDefault="003B2F8D" w:rsidP="00505B2B">
            <w:pPr>
              <w:spacing w:after="0"/>
              <w:ind w:left="851" w:hanging="284"/>
              <w:rPr>
                <w:rFonts w:eastAsia="MS Mincho"/>
                <w:sz w:val="18"/>
                <w:szCs w:val="18"/>
                <w:lang w:val="en-GB"/>
              </w:rPr>
            </w:pPr>
            <w:r w:rsidRPr="00505B2B">
              <w:rPr>
                <w:rFonts w:eastAsia="MS Mincho"/>
                <w:sz w:val="18"/>
                <w:szCs w:val="18"/>
                <w:lang w:val="en-GB"/>
              </w:rPr>
              <w:t>-</w:t>
            </w:r>
            <w:r w:rsidRPr="00505B2B">
              <w:rPr>
                <w:rFonts w:eastAsia="MS Mincho"/>
                <w:sz w:val="18"/>
                <w:szCs w:val="18"/>
                <w:lang w:val="en-GB"/>
              </w:rPr>
              <w:tab/>
              <w:t xml:space="preserve">For the case of (t1, t2)=(0ns, 10ns), evaluation results </w:t>
            </w:r>
            <w:r w:rsidRPr="00505B2B">
              <w:rPr>
                <w:rFonts w:eastAsia="MS Mincho"/>
                <w:strike/>
                <w:sz w:val="18"/>
                <w:szCs w:val="18"/>
                <w:lang w:val="en-GB"/>
              </w:rPr>
              <w:t>submitted to RAN1#113</w:t>
            </w:r>
            <w:r w:rsidRPr="00505B2B">
              <w:rPr>
                <w:rFonts w:eastAsia="MS Mincho"/>
                <w:sz w:val="18"/>
                <w:szCs w:val="18"/>
                <w:lang w:val="en-GB"/>
              </w:rPr>
              <w:t xml:space="preserve"> show the positioning error of (t1, t2)=(0ns, 10ns) is 1.34~</w:t>
            </w:r>
            <w:r w:rsidRPr="00505B2B">
              <w:rPr>
                <w:rFonts w:eastAsia="DengXian"/>
                <w:sz w:val="18"/>
                <w:szCs w:val="18"/>
                <w:lang w:val="en-GB"/>
              </w:rPr>
              <w:t>5.43</w:t>
            </w:r>
            <w:r w:rsidRPr="00505B2B">
              <w:rPr>
                <w:rFonts w:eastAsia="MS Mincho"/>
                <w:sz w:val="18"/>
                <w:szCs w:val="18"/>
                <w:lang w:val="en-GB"/>
              </w:rPr>
              <w:t xml:space="preserve"> times that of (t1, t2)=(0ns, 0ns).</w:t>
            </w:r>
          </w:p>
          <w:p w14:paraId="51555ED8" w14:textId="77777777" w:rsidR="003B2F8D" w:rsidRPr="00505B2B" w:rsidRDefault="003B2F8D" w:rsidP="00505B2B">
            <w:pPr>
              <w:spacing w:after="0"/>
              <w:ind w:left="851" w:hanging="284"/>
              <w:rPr>
                <w:rFonts w:eastAsia="MS Mincho"/>
                <w:sz w:val="18"/>
                <w:szCs w:val="18"/>
                <w:lang w:val="en-GB"/>
              </w:rPr>
            </w:pPr>
            <w:r w:rsidRPr="00505B2B">
              <w:rPr>
                <w:rFonts w:eastAsia="MS Mincho"/>
                <w:sz w:val="18"/>
                <w:szCs w:val="18"/>
                <w:lang w:val="en-GB"/>
              </w:rPr>
              <w:t>-</w:t>
            </w:r>
            <w:r w:rsidRPr="00505B2B">
              <w:rPr>
                <w:rFonts w:eastAsia="MS Mincho"/>
                <w:sz w:val="18"/>
                <w:szCs w:val="18"/>
                <w:lang w:val="en-GB"/>
              </w:rPr>
              <w:tab/>
              <w:t xml:space="preserve">For the case of (t1, t2)=(0ns, 20~25ns), evaluation results </w:t>
            </w:r>
            <w:r w:rsidRPr="00505B2B">
              <w:rPr>
                <w:rFonts w:eastAsia="MS Mincho"/>
                <w:strike/>
                <w:sz w:val="18"/>
                <w:szCs w:val="18"/>
                <w:lang w:val="en-GB"/>
              </w:rPr>
              <w:t>submitted to RAN1#113</w:t>
            </w:r>
            <w:r w:rsidRPr="00505B2B">
              <w:rPr>
                <w:rFonts w:eastAsia="MS Mincho"/>
                <w:sz w:val="18"/>
                <w:szCs w:val="18"/>
                <w:lang w:val="en-GB"/>
              </w:rPr>
              <w:t xml:space="preserve"> show the positioning error of (t1, t2)=(0ns, 20~25ns) is 5.66~13.0 times that of (t1, t2)=(0ns, 0ns).</w:t>
            </w:r>
          </w:p>
          <w:p w14:paraId="532454B7" w14:textId="77777777" w:rsidR="003B2F8D" w:rsidRPr="00505B2B" w:rsidRDefault="003B2F8D" w:rsidP="00505B2B">
            <w:pPr>
              <w:spacing w:after="0"/>
              <w:ind w:left="851" w:hanging="284"/>
              <w:rPr>
                <w:rFonts w:eastAsia="MS Mincho"/>
                <w:sz w:val="18"/>
                <w:szCs w:val="18"/>
                <w:lang w:val="en-GB"/>
              </w:rPr>
            </w:pPr>
            <w:r w:rsidRPr="00505B2B">
              <w:rPr>
                <w:rFonts w:eastAsia="MS Mincho"/>
                <w:sz w:val="18"/>
                <w:szCs w:val="18"/>
                <w:lang w:val="en-GB"/>
              </w:rPr>
              <w:t>-</w:t>
            </w:r>
            <w:r w:rsidRPr="00505B2B">
              <w:rPr>
                <w:rFonts w:eastAsia="MS Mincho"/>
                <w:sz w:val="18"/>
                <w:szCs w:val="18"/>
                <w:lang w:val="en-GB"/>
              </w:rPr>
              <w:tab/>
              <w:t xml:space="preserve">For the case of (t1, t2)=(0ns, 50ns), evaluation results </w:t>
            </w:r>
            <w:r w:rsidRPr="00505B2B">
              <w:rPr>
                <w:rFonts w:eastAsia="MS Mincho"/>
                <w:strike/>
                <w:sz w:val="18"/>
                <w:szCs w:val="18"/>
                <w:lang w:val="en-GB"/>
              </w:rPr>
              <w:t>submitted to RAN1#113</w:t>
            </w:r>
            <w:r w:rsidRPr="00505B2B">
              <w:rPr>
                <w:rFonts w:eastAsia="MS Mincho"/>
                <w:sz w:val="18"/>
                <w:szCs w:val="18"/>
                <w:lang w:val="en-GB"/>
              </w:rPr>
              <w:t xml:space="preserve"> show the positioning error of (t1, t2)=(0ns, 50ns) is 10.62~51.52 times that of (t1, t2)=(0ns, 0ns).</w:t>
            </w:r>
          </w:p>
          <w:p w14:paraId="33D2DEED" w14:textId="77777777" w:rsidR="003B2F8D" w:rsidRPr="00505B2B" w:rsidRDefault="003B2F8D" w:rsidP="00505B2B">
            <w:pPr>
              <w:spacing w:after="0"/>
              <w:rPr>
                <w:sz w:val="18"/>
                <w:szCs w:val="18"/>
              </w:rPr>
            </w:pPr>
            <w:r w:rsidRPr="00505B2B">
              <w:rPr>
                <w:rFonts w:eastAsia="MS Mincho"/>
                <w:sz w:val="18"/>
                <w:szCs w:val="18"/>
                <w:lang w:val="en-GB"/>
              </w:rPr>
              <w:t>Note: here the positioning error is the horizonal positioning error (meters) at CDF=90%.</w:t>
            </w:r>
          </w:p>
        </w:tc>
      </w:tr>
    </w:tbl>
    <w:p w14:paraId="6A5036EF" w14:textId="77777777" w:rsidR="001E66E7" w:rsidRPr="009C33E3" w:rsidRDefault="001E66E7" w:rsidP="0093485E"/>
    <w:p w14:paraId="7E306293" w14:textId="030690A9" w:rsidR="001E66E7" w:rsidRPr="00F60309" w:rsidRDefault="00277AD9" w:rsidP="00F60309">
      <w:pPr>
        <w:pStyle w:val="Heading5"/>
      </w:pPr>
      <w:r>
        <w:t>Issue</w:t>
      </w:r>
      <w:r w:rsidRPr="00F60309">
        <w:t xml:space="preserve"> </w:t>
      </w:r>
      <w:r w:rsidR="001E66E7" w:rsidRPr="00F60309">
        <w:t>(2)</w:t>
      </w:r>
      <w:r w:rsidR="00D85CA3">
        <w:t xml:space="preserve">: </w:t>
      </w:r>
      <w:r w:rsidR="00D85CA3">
        <w:rPr>
          <w:lang w:val="en-US"/>
        </w:rPr>
        <w:t>Path-based measurement is robust to timing error, but sample-based measurement is not</w:t>
      </w:r>
    </w:p>
    <w:p w14:paraId="77659B86" w14:textId="3E3D79EE" w:rsidR="00D85CA3" w:rsidRDefault="00D85CA3" w:rsidP="006F6085">
      <w:r>
        <w:t xml:space="preserve">As can be observed from </w:t>
      </w:r>
      <w:r w:rsidRPr="00D85CA3">
        <w:t>R1-2306454</w:t>
      </w:r>
      <w:r>
        <w:t xml:space="preserve"> </w:t>
      </w:r>
      <w:r w:rsidRPr="00D85CA3">
        <w:t>Table 45</w:t>
      </w:r>
      <w:r>
        <w:t xml:space="preserve"> (quoted in previous sub-section), sample-based measurement can be trained to be robust to timing error, as long as a proper training dataset is provided. </w:t>
      </w:r>
    </w:p>
    <w:p w14:paraId="10596B89" w14:textId="78BC8349" w:rsidR="00D85CA3" w:rsidRDefault="009C74D2" w:rsidP="006F6085">
      <w:r>
        <w:t xml:space="preserve">We further provide new </w:t>
      </w:r>
      <w:r w:rsidR="00BD5F1B">
        <w:t xml:space="preserve">evaluation results </w:t>
      </w:r>
      <w:r w:rsidR="00341B65">
        <w:t xml:space="preserve">in </w:t>
      </w:r>
      <w:r w:rsidR="009B3E2A">
        <w:fldChar w:fldCharType="begin"/>
      </w:r>
      <w:r w:rsidR="009B3E2A">
        <w:instrText xml:space="preserve"> REF _Ref173230828 \h </w:instrText>
      </w:r>
      <w:r w:rsidR="009B3E2A">
        <w:fldChar w:fldCharType="separate"/>
      </w:r>
      <w:r w:rsidR="00850DA1" w:rsidRPr="00086111">
        <w:t xml:space="preserve">Table </w:t>
      </w:r>
      <w:r w:rsidR="00850DA1">
        <w:rPr>
          <w:noProof/>
        </w:rPr>
        <w:t>7</w:t>
      </w:r>
      <w:r w:rsidR="009B3E2A">
        <w:fldChar w:fldCharType="end"/>
      </w:r>
      <w:r w:rsidR="00341B65">
        <w:t xml:space="preserve"> </w:t>
      </w:r>
      <w:r w:rsidR="00BD5F1B">
        <w:t xml:space="preserve">for both </w:t>
      </w:r>
    </w:p>
    <w:p w14:paraId="0F425559" w14:textId="77777777" w:rsidR="00BD5F1B" w:rsidRDefault="00BD5F1B" w:rsidP="00D35F36">
      <w:pPr>
        <w:pStyle w:val="ListParagraph"/>
        <w:numPr>
          <w:ilvl w:val="0"/>
          <w:numId w:val="68"/>
        </w:numPr>
      </w:pPr>
      <w:r>
        <w:t>direct sample-based reporting, and</w:t>
      </w:r>
    </w:p>
    <w:p w14:paraId="6F71E092" w14:textId="364B94EC" w:rsidR="00BD5F1B" w:rsidRDefault="00BD5F1B" w:rsidP="00D35F36">
      <w:pPr>
        <w:pStyle w:val="ListParagraph"/>
        <w:numPr>
          <w:ilvl w:val="0"/>
          <w:numId w:val="68"/>
        </w:numPr>
      </w:pPr>
      <w:r>
        <w:t>Rel-17 path-based reporting from channel estimation algorithm F</w:t>
      </w:r>
      <w:r w:rsidR="009B3E2A">
        <w:t xml:space="preserve"> (described in Section </w:t>
      </w:r>
      <w:r w:rsidR="00C92B0E">
        <w:fldChar w:fldCharType="begin"/>
      </w:r>
      <w:r w:rsidR="00C92B0E">
        <w:instrText xml:space="preserve"> REF _Ref163068290 \r \h </w:instrText>
      </w:r>
      <w:r w:rsidR="00C92B0E">
        <w:fldChar w:fldCharType="separate"/>
      </w:r>
      <w:r w:rsidR="00850DA1">
        <w:t>3.1.2.2</w:t>
      </w:r>
      <w:r w:rsidR="00C92B0E">
        <w:fldChar w:fldCharType="end"/>
      </w:r>
      <w:r w:rsidR="009B3E2A">
        <w:t>)</w:t>
      </w:r>
    </w:p>
    <w:p w14:paraId="10738D60" w14:textId="62B8D621" w:rsidR="00BD5F1B" w:rsidRDefault="003C6D81" w:rsidP="006F6085">
      <w:r>
        <w:t>with two reporting configurations:</w:t>
      </w:r>
    </w:p>
    <w:p w14:paraId="7284F321" w14:textId="04921FE0" w:rsidR="003C6D81" w:rsidRPr="00F60309" w:rsidRDefault="009C13C0" w:rsidP="00D35F36">
      <w:pPr>
        <w:pStyle w:val="ListParagraph"/>
        <w:numPr>
          <w:ilvl w:val="0"/>
          <w:numId w:val="69"/>
        </w:numPr>
      </w:pPr>
      <m:oMath>
        <m:sSub>
          <m:sSubPr>
            <m:ctrlPr>
              <w:rPr>
                <w:rFonts w:ascii="Cambria Math" w:eastAsia="Wingdings" w:hAnsi="Cambria Math" w:cs="Times New Roman"/>
                <w:kern w:val="0"/>
                <w14:ligatures w14:val="none"/>
              </w:rPr>
            </m:ctrlPr>
          </m:sSubPr>
          <m:e>
            <m:r>
              <w:rPr>
                <w:rFonts w:ascii="Cambria Math" w:eastAsia="Wingdings" w:hAnsi="Cambria Math" w:cs="Times New Roman"/>
                <w:kern w:val="0"/>
                <w14:ligatures w14:val="none"/>
              </w:rPr>
              <m:t>N</m:t>
            </m:r>
          </m:e>
          <m:sub>
            <m:r>
              <w:rPr>
                <w:rFonts w:ascii="Cambria Math" w:eastAsia="Wingdings" w:hAnsi="Cambria Math" w:cs="Times New Roman"/>
                <w:kern w:val="0"/>
                <w14:ligatures w14:val="none"/>
              </w:rPr>
              <m:t>t</m:t>
            </m:r>
          </m:sub>
        </m:sSub>
        <m:r>
          <w:rPr>
            <w:rFonts w:ascii="Cambria Math" w:eastAsia="Wingdings" w:hAnsi="Cambria Math" w:cs="Times New Roman"/>
            <w:kern w:val="0"/>
            <w14:ligatures w14:val="none"/>
          </w:rPr>
          <m:t>=128</m:t>
        </m:r>
      </m:oMath>
      <w:r w:rsidR="003C6D81">
        <w:rPr>
          <w:kern w:val="0"/>
          <w14:ligatures w14:val="none"/>
        </w:rPr>
        <w:t xml:space="preserve"> and</w:t>
      </w:r>
      <w:r w:rsidR="003C6D81">
        <w:rPr>
          <w:rFonts w:ascii="Cambria Math" w:eastAsia="Wingdings" w:hAnsi="Cambria Math" w:cs="Times New Roman"/>
          <w:kern w:val="0"/>
          <w14:ligatures w14:val="none"/>
        </w:rPr>
        <w:t xml:space="preserve"> </w:t>
      </w:r>
      <m:oMath>
        <m:sSubSup>
          <m:sSubSupPr>
            <m:ctrlPr>
              <w:rPr>
                <w:rFonts w:ascii="Cambria Math" w:eastAsia="Wingdings" w:hAnsi="Cambria Math" w:cs="Times New Roman"/>
                <w:kern w:val="0"/>
                <w14:ligatures w14:val="none"/>
              </w:rPr>
            </m:ctrlPr>
          </m:sSubSupPr>
          <m:e>
            <m:r>
              <w:rPr>
                <w:rFonts w:ascii="Cambria Math" w:eastAsia="Wingdings" w:hAnsi="Cambria Math" w:cs="Times New Roman"/>
                <w:kern w:val="0"/>
                <w14:ligatures w14:val="none"/>
              </w:rPr>
              <m:t>N</m:t>
            </m:r>
          </m:e>
          <m:sub>
            <m:r>
              <w:rPr>
                <w:rFonts w:ascii="Cambria Math" w:eastAsia="Wingdings" w:hAnsi="Cambria Math" w:cs="Times New Roman"/>
                <w:kern w:val="0"/>
                <w14:ligatures w14:val="none"/>
              </w:rPr>
              <m:t>t</m:t>
            </m:r>
          </m:sub>
          <m:sup>
            <m:r>
              <m:rPr>
                <m:sty m:val="p"/>
              </m:rPr>
              <w:rPr>
                <w:rFonts w:ascii="Cambria Math" w:eastAsia="Wingdings" w:hAnsi="Cambria Math" w:cs="Times New Roman"/>
                <w:kern w:val="0"/>
                <w14:ligatures w14:val="none"/>
              </w:rPr>
              <m:t>'</m:t>
            </m:r>
          </m:sup>
        </m:sSubSup>
      </m:oMath>
      <w:r w:rsidR="003C6D81">
        <w:rPr>
          <w:rFonts w:ascii="Cambria Math" w:eastAsia="Wingdings" w:hAnsi="Cambria Math" w:cs="Times New Roman"/>
          <w:kern w:val="0"/>
          <w14:ligatures w14:val="none"/>
        </w:rPr>
        <w:t>=16</w:t>
      </w:r>
      <w:r w:rsidR="003C6D81">
        <w:rPr>
          <w:kern w:val="0"/>
          <w14:ligatures w14:val="none"/>
        </w:rPr>
        <w:t xml:space="preserve"> </w:t>
      </w:r>
    </w:p>
    <w:p w14:paraId="5BE2A669" w14:textId="6DBBA4C0" w:rsidR="003C6D81" w:rsidRDefault="009C13C0" w:rsidP="00D35F36">
      <w:pPr>
        <w:pStyle w:val="ListParagraph"/>
        <w:numPr>
          <w:ilvl w:val="0"/>
          <w:numId w:val="69"/>
        </w:numPr>
      </w:pPr>
      <m:oMath>
        <m:sSub>
          <m:sSubPr>
            <m:ctrlPr>
              <w:rPr>
                <w:rFonts w:ascii="Cambria Math" w:eastAsia="Wingdings" w:hAnsi="Cambria Math" w:cs="Times New Roman"/>
                <w:kern w:val="0"/>
                <w14:ligatures w14:val="none"/>
              </w:rPr>
            </m:ctrlPr>
          </m:sSubPr>
          <m:e>
            <m:r>
              <w:rPr>
                <w:rFonts w:ascii="Cambria Math" w:eastAsia="Wingdings" w:hAnsi="Cambria Math" w:cs="Times New Roman"/>
                <w:kern w:val="0"/>
                <w14:ligatures w14:val="none"/>
              </w:rPr>
              <m:t>N</m:t>
            </m:r>
          </m:e>
          <m:sub>
            <m:r>
              <w:rPr>
                <w:rFonts w:ascii="Cambria Math" w:eastAsia="Wingdings" w:hAnsi="Cambria Math" w:cs="Times New Roman"/>
                <w:kern w:val="0"/>
                <w14:ligatures w14:val="none"/>
              </w:rPr>
              <m:t>t</m:t>
            </m:r>
          </m:sub>
        </m:sSub>
        <m:r>
          <w:rPr>
            <w:rFonts w:ascii="Cambria Math" w:eastAsia="Wingdings" w:hAnsi="Cambria Math" w:cs="Times New Roman"/>
            <w:kern w:val="0"/>
            <w14:ligatures w14:val="none"/>
          </w:rPr>
          <m:t>=64</m:t>
        </m:r>
      </m:oMath>
      <w:r w:rsidR="003C6D81" w:rsidRPr="003C6D81">
        <w:rPr>
          <w:kern w:val="0"/>
          <w14:ligatures w14:val="none"/>
        </w:rPr>
        <w:t xml:space="preserve"> and</w:t>
      </w:r>
      <w:r w:rsidR="003C6D81" w:rsidRPr="003C6D81">
        <w:rPr>
          <w:rFonts w:ascii="Cambria Math" w:eastAsia="Wingdings" w:hAnsi="Cambria Math" w:cs="Times New Roman"/>
          <w:kern w:val="0"/>
          <w14:ligatures w14:val="none"/>
        </w:rPr>
        <w:t xml:space="preserve"> </w:t>
      </w:r>
      <m:oMath>
        <m:sSubSup>
          <m:sSubSupPr>
            <m:ctrlPr>
              <w:rPr>
                <w:rFonts w:ascii="Cambria Math" w:eastAsia="Wingdings" w:hAnsi="Cambria Math" w:cs="Times New Roman"/>
                <w:kern w:val="0"/>
                <w14:ligatures w14:val="none"/>
              </w:rPr>
            </m:ctrlPr>
          </m:sSubSupPr>
          <m:e>
            <m:r>
              <w:rPr>
                <w:rFonts w:ascii="Cambria Math" w:eastAsia="Wingdings" w:hAnsi="Cambria Math" w:cs="Times New Roman"/>
                <w:kern w:val="0"/>
                <w14:ligatures w14:val="none"/>
              </w:rPr>
              <m:t>N</m:t>
            </m:r>
          </m:e>
          <m:sub>
            <m:r>
              <w:rPr>
                <w:rFonts w:ascii="Cambria Math" w:eastAsia="Wingdings" w:hAnsi="Cambria Math" w:cs="Times New Roman"/>
                <w:kern w:val="0"/>
                <w14:ligatures w14:val="none"/>
              </w:rPr>
              <m:t>t</m:t>
            </m:r>
          </m:sub>
          <m:sup>
            <m:r>
              <m:rPr>
                <m:sty m:val="p"/>
              </m:rPr>
              <w:rPr>
                <w:rFonts w:ascii="Cambria Math" w:eastAsia="Wingdings" w:hAnsi="Cambria Math" w:cs="Times New Roman"/>
                <w:kern w:val="0"/>
                <w14:ligatures w14:val="none"/>
              </w:rPr>
              <m:t>'</m:t>
            </m:r>
          </m:sup>
        </m:sSubSup>
      </m:oMath>
      <w:r w:rsidR="003C6D81" w:rsidRPr="003C6D81">
        <w:rPr>
          <w:rFonts w:ascii="Cambria Math" w:eastAsia="Wingdings" w:hAnsi="Cambria Math" w:cs="Times New Roman"/>
          <w:kern w:val="0"/>
          <w14:ligatures w14:val="none"/>
        </w:rPr>
        <w:t>=</w:t>
      </w:r>
      <w:r w:rsidR="003C6D81">
        <w:rPr>
          <w:rFonts w:ascii="Cambria Math" w:eastAsia="Wingdings" w:hAnsi="Cambria Math" w:cs="Times New Roman"/>
          <w:kern w:val="0"/>
          <w14:ligatures w14:val="none"/>
        </w:rPr>
        <w:t>9</w:t>
      </w:r>
      <w:r w:rsidR="009F6683">
        <w:rPr>
          <w:rFonts w:ascii="Cambria Math" w:eastAsia="Wingdings" w:hAnsi="Cambria Math" w:cs="Times New Roman"/>
          <w:kern w:val="0"/>
          <w14:ligatures w14:val="none"/>
        </w:rPr>
        <w:t>.</w:t>
      </w:r>
      <w:r w:rsidR="003C6D81" w:rsidRPr="003C6D81">
        <w:rPr>
          <w:kern w:val="0"/>
          <w14:ligatures w14:val="none"/>
        </w:rPr>
        <w:t xml:space="preserve"> </w:t>
      </w:r>
    </w:p>
    <w:p w14:paraId="477B1226" w14:textId="3998C89D" w:rsidR="003C6D81" w:rsidRDefault="009F6683" w:rsidP="006F6085">
      <w:r>
        <w:lastRenderedPageBreak/>
        <w:t xml:space="preserve">The evaluation assumes 18 TRP, 100 MHz RS bandwidth, and </w:t>
      </w:r>
      <w:r w:rsidRPr="009F6683">
        <w:t>{60%, 6m, 2m} InF-DH</w:t>
      </w:r>
      <w:r>
        <w:t xml:space="preserve">. </w:t>
      </w:r>
      <w:r w:rsidR="00314D80">
        <w:t xml:space="preserve">In a first </w:t>
      </w:r>
      <w:r w:rsidR="006512CF">
        <w:t xml:space="preserve">evaluation </w:t>
      </w:r>
      <w:r w:rsidR="00980BA9">
        <w:t xml:space="preserve">scenario where the models using either reporting approaches are trained with </w:t>
      </w:r>
      <w:r w:rsidR="005E2391">
        <w:t>datasets containing no UE timing errors, the model</w:t>
      </w:r>
      <w:r w:rsidR="00FF4E0D">
        <w:t xml:space="preserve"> performance is </w:t>
      </w:r>
      <w:r w:rsidR="005E2391">
        <w:t xml:space="preserve">found to </w:t>
      </w:r>
      <w:r w:rsidR="00FF4E0D">
        <w:t>deteriorate when test</w:t>
      </w:r>
      <w:r w:rsidR="00244CDE">
        <w:t xml:space="preserve">ed with samples containing </w:t>
      </w:r>
      <w:r w:rsidR="006512CF">
        <w:t>UE timing errors.</w:t>
      </w:r>
    </w:p>
    <w:p w14:paraId="1FBB0098" w14:textId="3F37E62F" w:rsidR="004B1A83" w:rsidRDefault="00FA7B57" w:rsidP="00D35F36">
      <w:pPr>
        <w:pStyle w:val="ListParagraph"/>
        <w:numPr>
          <w:ilvl w:val="0"/>
          <w:numId w:val="70"/>
        </w:numPr>
      </w:pPr>
      <w:r>
        <w:t>For both direct sample-based reporting and Rel-17 path-based reporting, the trained models maintain 90%-tile positioning errors below 1 m for UE timing error STD up to 10 ns.</w:t>
      </w:r>
    </w:p>
    <w:p w14:paraId="5ACDE5AE" w14:textId="6306C489" w:rsidR="00FA7B57" w:rsidRDefault="00FA7B57" w:rsidP="00D35F36">
      <w:pPr>
        <w:pStyle w:val="ListParagraph"/>
        <w:numPr>
          <w:ilvl w:val="0"/>
          <w:numId w:val="70"/>
        </w:numPr>
      </w:pPr>
      <w:r>
        <w:t xml:space="preserve">For both direct sample-based reporting and Rel-17 path-based reporting, the 90%-tile positioning errors </w:t>
      </w:r>
      <w:r w:rsidR="004E7687">
        <w:t>of the trained models deteriorate to around 1.2 m</w:t>
      </w:r>
      <w:r w:rsidR="006D7132">
        <w:t xml:space="preserve"> for UE timing error STD of 25 ns</w:t>
      </w:r>
      <w:r w:rsidR="004E7687">
        <w:t>.</w:t>
      </w:r>
    </w:p>
    <w:p w14:paraId="7AD7C81D" w14:textId="0B88AF09" w:rsidR="004E7687" w:rsidRDefault="004E7687" w:rsidP="00D35F36">
      <w:pPr>
        <w:pStyle w:val="ListParagraph"/>
        <w:numPr>
          <w:ilvl w:val="0"/>
          <w:numId w:val="70"/>
        </w:numPr>
      </w:pPr>
      <w:r>
        <w:t xml:space="preserve">For both direct sample-based reporting and Rel-17 path-based reporting, </w:t>
      </w:r>
      <w:r w:rsidR="003F4B69">
        <w:t>the 90%-tile positioning errors of the trained models exceed 10 m</w:t>
      </w:r>
      <w:r w:rsidR="006D7132" w:rsidRPr="006D7132">
        <w:t xml:space="preserve"> </w:t>
      </w:r>
      <w:r w:rsidR="006D7132">
        <w:t>for UE timing error STD of 50 ns</w:t>
      </w:r>
      <w:r w:rsidR="003F4B69">
        <w:t>.</w:t>
      </w:r>
    </w:p>
    <w:p w14:paraId="72E03AAF" w14:textId="4EDBC9E4" w:rsidR="003F4B69" w:rsidRDefault="00AC25FC" w:rsidP="003F4B69">
      <w:r>
        <w:t xml:space="preserve">In a second set of evaluation scenarios where the models using either reporting approaches are trained with datasets containing UE timing errors, the </w:t>
      </w:r>
      <w:r w:rsidR="00C33F52">
        <w:t xml:space="preserve">trained </w:t>
      </w:r>
      <w:r>
        <w:t>model</w:t>
      </w:r>
      <w:r w:rsidR="00C33F52">
        <w:t>s are found to maintain positioning accuracy up to the level of UE timing errors contained in the training datasets.</w:t>
      </w:r>
    </w:p>
    <w:p w14:paraId="65B20577" w14:textId="5BDBB48C" w:rsidR="00C33F52" w:rsidRDefault="00774B2D" w:rsidP="00D35F36">
      <w:pPr>
        <w:pStyle w:val="ListParagraph"/>
        <w:numPr>
          <w:ilvl w:val="0"/>
          <w:numId w:val="71"/>
        </w:numPr>
      </w:pPr>
      <w:r>
        <w:t xml:space="preserve">When trained with datasets containing UE timing error STD of 25 ns, models using both direct sample-based reporting and Rel-17 path-based reporting </w:t>
      </w:r>
      <w:r w:rsidR="000A5400">
        <w:t xml:space="preserve">maintains </w:t>
      </w:r>
      <w:r w:rsidR="00D81D83">
        <w:t>&lt;1</w:t>
      </w:r>
      <w:r w:rsidR="00C33DF2">
        <w:t xml:space="preserve"> </w:t>
      </w:r>
      <w:r w:rsidR="00D81D83">
        <w:t>m 90%-tile positioning errors</w:t>
      </w:r>
      <w:r w:rsidR="00AA066B">
        <w:t xml:space="preserve"> for test UE timing error STD up to 25 ns. However, for both, the 90%-tile positioning errors for test UE timing error STD </w:t>
      </w:r>
      <w:r w:rsidR="00594678">
        <w:t xml:space="preserve">of </w:t>
      </w:r>
      <w:r w:rsidR="00AA066B">
        <w:t>5</w:t>
      </w:r>
      <w:r w:rsidR="00594678">
        <w:t>0</w:t>
      </w:r>
      <w:r w:rsidR="00AA066B">
        <w:t xml:space="preserve"> ns</w:t>
      </w:r>
      <w:r w:rsidR="00594678">
        <w:t xml:space="preserve"> </w:t>
      </w:r>
      <w:r w:rsidR="00C33DF2">
        <w:t>degrade to above 1 m.</w:t>
      </w:r>
    </w:p>
    <w:p w14:paraId="1673A0CA" w14:textId="52F6572E" w:rsidR="00AA066B" w:rsidRDefault="0097639B" w:rsidP="00D35F36">
      <w:pPr>
        <w:pStyle w:val="ListParagraph"/>
        <w:numPr>
          <w:ilvl w:val="0"/>
          <w:numId w:val="71"/>
        </w:numPr>
      </w:pPr>
      <w:r>
        <w:t>When trained with datasets containing UE timing error STD of 50 ns, models using both direct sample-based reporting and Rel-17 path-based reporting maintains &lt;1 m 90%-tile positioning errors for test UE timing error STD up to 50 ns.</w:t>
      </w:r>
    </w:p>
    <w:p w14:paraId="74E63B14" w14:textId="5D00AF6B" w:rsidR="006512CF" w:rsidRDefault="003F7BD8" w:rsidP="006F6085">
      <w:r>
        <w:t xml:space="preserve">In a </w:t>
      </w:r>
      <w:r w:rsidR="009F58FF">
        <w:t>third</w:t>
      </w:r>
      <w:r>
        <w:t xml:space="preserve"> set of evaluation scenarios where the models using either reporting approaches are trained with datasets containing </w:t>
      </w:r>
      <w:r w:rsidR="009F58FF">
        <w:t xml:space="preserve">samples with and without </w:t>
      </w:r>
      <w:r>
        <w:t xml:space="preserve">UE timing errors, </w:t>
      </w:r>
      <w:r w:rsidR="009F58FF">
        <w:t>the trained models are found to achieve high positioning accuracy across the test cases with no, low or high UE timing errors.</w:t>
      </w:r>
    </w:p>
    <w:p w14:paraId="28D230BD" w14:textId="2D8FC1AD" w:rsidR="009F58FF" w:rsidRDefault="00C12781" w:rsidP="006F6085">
      <w:r>
        <w:t xml:space="preserve">For these extensive evaluation results, it can be observed that </w:t>
      </w:r>
      <w:r w:rsidR="005254BA">
        <w:t>training</w:t>
      </w:r>
      <w:r w:rsidR="00F5296D">
        <w:t xml:space="preserve">/test </w:t>
      </w:r>
      <w:r w:rsidR="000C736D">
        <w:t>timing error distribution</w:t>
      </w:r>
      <w:r w:rsidR="00FE087C">
        <w:t>al</w:t>
      </w:r>
      <w:r w:rsidR="000C736D">
        <w:t xml:space="preserve"> mismatch has the same impact on both direct sample-based reporting and Rel-17 path-based reporting.</w:t>
      </w:r>
      <w:r w:rsidR="00BE27DA">
        <w:t xml:space="preserve"> When there is no or low degrees of distribution</w:t>
      </w:r>
      <w:r w:rsidR="00FE087C">
        <w:t>al</w:t>
      </w:r>
      <w:r w:rsidR="00BE27DA">
        <w:t xml:space="preserve"> mismatch</w:t>
      </w:r>
      <w:r w:rsidR="00FE087C">
        <w:t xml:space="preserve">, </w:t>
      </w:r>
      <w:r w:rsidR="00CC4C4C">
        <w:t xml:space="preserve">models </w:t>
      </w:r>
      <w:r w:rsidR="001C3494">
        <w:t xml:space="preserve">using either reporting approach can </w:t>
      </w:r>
      <w:r w:rsidR="00B80229">
        <w:t xml:space="preserve">maintain high positioning accuracy. When there are high degrees of distributional mismatch, positioning accuracy of models using either reporting approach deteriorates with the degrees of distributional mismatch. </w:t>
      </w:r>
      <w:r w:rsidR="00AF4D71">
        <w:t xml:space="preserve">There is no </w:t>
      </w:r>
      <w:r w:rsidR="00E768F3">
        <w:t xml:space="preserve">special </w:t>
      </w:r>
      <w:r w:rsidR="00EA6EAB">
        <w:t xml:space="preserve">timing error </w:t>
      </w:r>
      <w:r w:rsidR="0082033A">
        <w:t xml:space="preserve">robustness </w:t>
      </w:r>
      <w:r w:rsidR="00AF4D71">
        <w:t>advantage</w:t>
      </w:r>
      <w:r w:rsidR="00C3402E">
        <w:t xml:space="preserve"> </w:t>
      </w:r>
      <w:r w:rsidR="007C172C">
        <w:t>for one</w:t>
      </w:r>
      <w:r w:rsidR="00EC02A5">
        <w:t xml:space="preserve"> reporting approach over the other.</w:t>
      </w:r>
    </w:p>
    <w:p w14:paraId="412080D4" w14:textId="77777777" w:rsidR="00BE27DA" w:rsidRDefault="00BE27DA" w:rsidP="006F6085"/>
    <w:p w14:paraId="60AFB2A5" w14:textId="113C05C5" w:rsidR="0082033A" w:rsidRDefault="0036250F" w:rsidP="00F17FE1">
      <w:pPr>
        <w:pStyle w:val="Observation"/>
      </w:pPr>
      <w:bookmarkStart w:id="773" w:name="_Toc178961839"/>
      <w:r>
        <w:t>Training/test timing error distributional mismatch has the same impact on both direct sample-based reporting and Rel-17 path-based reporting.</w:t>
      </w:r>
      <w:bookmarkEnd w:id="773"/>
      <w:r>
        <w:t xml:space="preserve"> </w:t>
      </w:r>
    </w:p>
    <w:p w14:paraId="3AA70B4F" w14:textId="77777777" w:rsidR="00D85CA3" w:rsidRDefault="00D85CA3" w:rsidP="00D85CA3"/>
    <w:p w14:paraId="73C28B07" w14:textId="79783598" w:rsidR="00123924" w:rsidRDefault="00123924" w:rsidP="00F60309">
      <w:pPr>
        <w:pStyle w:val="Caption"/>
      </w:pPr>
      <w:bookmarkStart w:id="774" w:name="_Ref173230828"/>
      <w:r w:rsidRPr="00086111">
        <w:t xml:space="preserve">Table </w:t>
      </w:r>
      <w:r w:rsidRPr="00086111">
        <w:rPr>
          <w:b w:val="0"/>
        </w:rPr>
        <w:fldChar w:fldCharType="begin"/>
      </w:r>
      <w:r w:rsidRPr="00086111">
        <w:instrText>SEQ Table \* ARABIC</w:instrText>
      </w:r>
      <w:r w:rsidRPr="00086111">
        <w:rPr>
          <w:b w:val="0"/>
        </w:rPr>
        <w:fldChar w:fldCharType="separate"/>
      </w:r>
      <w:r w:rsidR="00850DA1">
        <w:rPr>
          <w:noProof/>
        </w:rPr>
        <w:t>7</w:t>
      </w:r>
      <w:r w:rsidRPr="00086111">
        <w:rPr>
          <w:b w:val="0"/>
        </w:rPr>
        <w:fldChar w:fldCharType="end"/>
      </w:r>
      <w:bookmarkEnd w:id="774"/>
      <w:r>
        <w:t>.</w:t>
      </w:r>
      <w:r w:rsidRPr="00086111">
        <w:t xml:space="preserve"> </w:t>
      </w:r>
      <w:r w:rsidRPr="00086111">
        <w:rPr>
          <w:lang w:eastAsia="ja-JP"/>
        </w:rPr>
        <w:t xml:space="preserve">90%tile </w:t>
      </w:r>
      <w:r w:rsidRPr="00086111">
        <w:t>2D positioning accuracy</w:t>
      </w:r>
      <w:r>
        <w:t xml:space="preserve"> (meters) of PDP models</w:t>
      </w:r>
      <w:r w:rsidRPr="00086111">
        <w:t xml:space="preserve"> using </w:t>
      </w:r>
      <w:r>
        <w:t>direct sample-based reporting or Rel-17 path-based reporting from channel estimation algorithm</w:t>
      </w:r>
      <w:r w:rsidR="00221D60">
        <w:t xml:space="preserve"> </w:t>
      </w:r>
      <w:r w:rsidR="0058493C">
        <w:t>F</w:t>
      </w:r>
      <w:r>
        <w:t xml:space="preserve"> </w:t>
      </w:r>
      <w:r w:rsidRPr="00086111">
        <w:t xml:space="preserve">for the </w:t>
      </w:r>
      <w:r w:rsidRPr="00086111">
        <w:rPr>
          <w:lang w:eastAsia="ja-JP"/>
        </w:rPr>
        <w:t>{60%, 6m, 2m} InF-DH scenario</w:t>
      </w:r>
      <w:r w:rsidRPr="00086111">
        <w:t>.</w:t>
      </w:r>
      <w:r w:rsidRPr="00E215F0">
        <w:t xml:space="preserve"> The positioning accuracy is for the “small model” for centralized direct positioning trained with 40,000 samples </w:t>
      </w:r>
      <w:r w:rsidRPr="00E215F0">
        <w:rPr>
          <w:b w:val="0"/>
        </w:rPr>
        <w:fldChar w:fldCharType="begin"/>
      </w:r>
      <w:r w:rsidRPr="00E215F0">
        <w:instrText xml:space="preserve"> REF _Ref158730650 \r \h </w:instrText>
      </w:r>
      <w:r w:rsidRPr="00E215F0">
        <w:rPr>
          <w:b w:val="0"/>
        </w:rPr>
      </w:r>
      <w:r w:rsidRPr="00E215F0">
        <w:rPr>
          <w:b w:val="0"/>
        </w:rPr>
        <w:fldChar w:fldCharType="separate"/>
      </w:r>
      <w:r w:rsidR="00850DA1">
        <w:t>[6]</w:t>
      </w:r>
      <w:r w:rsidRPr="00E215F0">
        <w:rPr>
          <w:b w:val="0"/>
        </w:rPr>
        <w:fldChar w:fldCharType="end"/>
      </w:r>
      <w:r w:rsidRPr="00E215F0">
        <w:t>.</w:t>
      </w:r>
    </w:p>
    <w:tbl>
      <w:tblPr>
        <w:tblStyle w:val="TableGrid"/>
        <w:tblW w:w="9962" w:type="dxa"/>
        <w:tblLayout w:type="fixed"/>
        <w:tblLook w:val="04A0" w:firstRow="1" w:lastRow="0" w:firstColumn="1" w:lastColumn="0" w:noHBand="0" w:noVBand="1"/>
      </w:tblPr>
      <w:tblGrid>
        <w:gridCol w:w="1008"/>
        <w:gridCol w:w="1080"/>
        <w:gridCol w:w="1170"/>
        <w:gridCol w:w="1440"/>
        <w:gridCol w:w="1052"/>
        <w:gridCol w:w="1053"/>
        <w:gridCol w:w="1053"/>
        <w:gridCol w:w="1053"/>
        <w:gridCol w:w="1053"/>
      </w:tblGrid>
      <w:tr w:rsidR="00751625" w:rsidRPr="00D95AED" w14:paraId="2AF3DBA9" w14:textId="77777777" w:rsidTr="003611DD">
        <w:tc>
          <w:tcPr>
            <w:tcW w:w="1008" w:type="dxa"/>
            <w:vMerge w:val="restart"/>
            <w:vAlign w:val="center"/>
          </w:tcPr>
          <w:p w14:paraId="79F78AED" w14:textId="77777777" w:rsidR="00751625" w:rsidRPr="00D95AED" w:rsidRDefault="009C13C0" w:rsidP="00F60309">
            <w:pPr>
              <w:spacing w:before="60" w:after="60"/>
              <w:jc w:val="center"/>
              <w:rPr>
                <w:rFonts w:eastAsia="Wingdings"/>
                <w:sz w:val="20"/>
                <w:szCs w:val="20"/>
              </w:rPr>
            </w:pPr>
            <m:oMathPara>
              <m:oMath>
                <m:sSub>
                  <m:sSubPr>
                    <m:ctrlPr>
                      <w:rPr>
                        <w:rFonts w:ascii="Cambria Math" w:eastAsia="Wingdings" w:hAnsi="Cambria Math"/>
                        <w:sz w:val="20"/>
                        <w:szCs w:val="20"/>
                      </w:rPr>
                    </m:ctrlPr>
                  </m:sSubPr>
                  <m:e>
                    <m:r>
                      <w:rPr>
                        <w:rFonts w:ascii="Cambria Math" w:eastAsia="Wingdings" w:hAnsi="Cambria Math"/>
                        <w:sz w:val="20"/>
                        <w:szCs w:val="20"/>
                      </w:rPr>
                      <m:t>N</m:t>
                    </m:r>
                  </m:e>
                  <m:sub>
                    <m:r>
                      <w:rPr>
                        <w:rFonts w:ascii="Cambria Math" w:eastAsia="Wingdings" w:hAnsi="Cambria Math"/>
                        <w:sz w:val="20"/>
                        <w:szCs w:val="20"/>
                      </w:rPr>
                      <m:t>t</m:t>
                    </m:r>
                  </m:sub>
                </m:sSub>
              </m:oMath>
            </m:oMathPara>
          </w:p>
        </w:tc>
        <w:tc>
          <w:tcPr>
            <w:tcW w:w="1080" w:type="dxa"/>
            <w:vMerge w:val="restart"/>
            <w:vAlign w:val="center"/>
          </w:tcPr>
          <w:p w14:paraId="289991C5" w14:textId="77777777" w:rsidR="00751625" w:rsidRPr="00D95AED" w:rsidRDefault="009C13C0" w:rsidP="00F60309">
            <w:pPr>
              <w:spacing w:before="60" w:after="60"/>
              <w:jc w:val="center"/>
              <w:rPr>
                <w:rFonts w:eastAsia="Wingdings"/>
                <w:sz w:val="20"/>
                <w:szCs w:val="20"/>
              </w:rPr>
            </w:pPr>
            <m:oMathPara>
              <m:oMath>
                <m:sSubSup>
                  <m:sSubSupPr>
                    <m:ctrlPr>
                      <w:rPr>
                        <w:rFonts w:ascii="Cambria Math" w:eastAsia="Wingdings" w:hAnsi="Cambria Math"/>
                        <w:sz w:val="20"/>
                        <w:szCs w:val="20"/>
                      </w:rPr>
                    </m:ctrlPr>
                  </m:sSubSupPr>
                  <m:e>
                    <m:r>
                      <w:rPr>
                        <w:rFonts w:ascii="Cambria Math" w:eastAsia="Wingdings" w:hAnsi="Cambria Math"/>
                        <w:sz w:val="20"/>
                        <w:szCs w:val="20"/>
                      </w:rPr>
                      <m:t>N</m:t>
                    </m:r>
                  </m:e>
                  <m:sub>
                    <m:r>
                      <w:rPr>
                        <w:rFonts w:ascii="Cambria Math" w:eastAsia="Wingdings" w:hAnsi="Cambria Math"/>
                        <w:sz w:val="20"/>
                        <w:szCs w:val="20"/>
                      </w:rPr>
                      <m:t>t</m:t>
                    </m:r>
                  </m:sub>
                  <m:sup>
                    <m:r>
                      <m:rPr>
                        <m:sty m:val="p"/>
                      </m:rPr>
                      <w:rPr>
                        <w:rFonts w:ascii="Cambria Math" w:eastAsia="Wingdings" w:hAnsi="Cambria Math" w:hint="eastAsia"/>
                        <w:sz w:val="20"/>
                        <w:szCs w:val="20"/>
                      </w:rPr>
                      <m:t>'</m:t>
                    </m:r>
                  </m:sup>
                </m:sSubSup>
              </m:oMath>
            </m:oMathPara>
          </w:p>
        </w:tc>
        <w:tc>
          <w:tcPr>
            <w:tcW w:w="1170" w:type="dxa"/>
            <w:vMerge w:val="restart"/>
            <w:vAlign w:val="center"/>
          </w:tcPr>
          <w:p w14:paraId="267A0D2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Reporting approach</w:t>
            </w:r>
          </w:p>
        </w:tc>
        <w:tc>
          <w:tcPr>
            <w:tcW w:w="1440" w:type="dxa"/>
            <w:vMerge w:val="restart"/>
            <w:vAlign w:val="center"/>
          </w:tcPr>
          <w:p w14:paraId="3357822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UE timing error STD in train dataset</w:t>
            </w:r>
          </w:p>
        </w:tc>
        <w:tc>
          <w:tcPr>
            <w:tcW w:w="5264" w:type="dxa"/>
            <w:gridSpan w:val="5"/>
            <w:vAlign w:val="center"/>
          </w:tcPr>
          <w:p w14:paraId="3F29357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90%tile 2D positioning error [m] with different UE timing error STD in {60%, 6m, 2m} InF-DH</w:t>
            </w:r>
          </w:p>
        </w:tc>
      </w:tr>
      <w:tr w:rsidR="00751625" w:rsidRPr="00D95AED" w14:paraId="0AAA6823" w14:textId="77777777" w:rsidTr="003611DD">
        <w:tc>
          <w:tcPr>
            <w:tcW w:w="1008" w:type="dxa"/>
            <w:vMerge/>
            <w:tcBorders>
              <w:bottom w:val="double" w:sz="4" w:space="0" w:color="auto"/>
            </w:tcBorders>
            <w:vAlign w:val="center"/>
          </w:tcPr>
          <w:p w14:paraId="683EB14B" w14:textId="77777777" w:rsidR="00751625" w:rsidRPr="00D95AED" w:rsidRDefault="00751625" w:rsidP="00F60309">
            <w:pPr>
              <w:spacing w:before="60" w:after="60"/>
              <w:jc w:val="center"/>
              <w:rPr>
                <w:rFonts w:eastAsia="Wingdings"/>
                <w:sz w:val="20"/>
                <w:szCs w:val="20"/>
              </w:rPr>
            </w:pPr>
          </w:p>
        </w:tc>
        <w:tc>
          <w:tcPr>
            <w:tcW w:w="1080" w:type="dxa"/>
            <w:vMerge/>
            <w:tcBorders>
              <w:bottom w:val="double" w:sz="4" w:space="0" w:color="auto"/>
            </w:tcBorders>
            <w:vAlign w:val="center"/>
          </w:tcPr>
          <w:p w14:paraId="48246E5A" w14:textId="77777777" w:rsidR="00751625" w:rsidRPr="00D95AED" w:rsidRDefault="00751625" w:rsidP="00F60309">
            <w:pPr>
              <w:spacing w:before="60" w:after="60"/>
              <w:jc w:val="center"/>
              <w:rPr>
                <w:rFonts w:eastAsia="Wingdings"/>
                <w:sz w:val="20"/>
                <w:szCs w:val="20"/>
              </w:rPr>
            </w:pPr>
          </w:p>
        </w:tc>
        <w:tc>
          <w:tcPr>
            <w:tcW w:w="1170" w:type="dxa"/>
            <w:vMerge/>
            <w:tcBorders>
              <w:bottom w:val="double" w:sz="4" w:space="0" w:color="auto"/>
            </w:tcBorders>
            <w:vAlign w:val="center"/>
          </w:tcPr>
          <w:p w14:paraId="38AA3FF2" w14:textId="77777777" w:rsidR="00751625" w:rsidRPr="00D95AED" w:rsidRDefault="00751625" w:rsidP="00F60309">
            <w:pPr>
              <w:spacing w:before="60" w:after="60"/>
              <w:jc w:val="center"/>
              <w:rPr>
                <w:rFonts w:eastAsia="Wingdings"/>
                <w:sz w:val="20"/>
                <w:szCs w:val="20"/>
              </w:rPr>
            </w:pPr>
          </w:p>
        </w:tc>
        <w:tc>
          <w:tcPr>
            <w:tcW w:w="1440" w:type="dxa"/>
            <w:vMerge/>
            <w:tcBorders>
              <w:bottom w:val="double" w:sz="4" w:space="0" w:color="auto"/>
            </w:tcBorders>
            <w:vAlign w:val="center"/>
          </w:tcPr>
          <w:p w14:paraId="76640B2A" w14:textId="77777777" w:rsidR="00751625" w:rsidRPr="00D95AED" w:rsidRDefault="00751625" w:rsidP="00F60309">
            <w:pPr>
              <w:spacing w:before="60" w:after="60"/>
              <w:jc w:val="center"/>
              <w:rPr>
                <w:rFonts w:eastAsia="Wingdings"/>
                <w:sz w:val="20"/>
                <w:szCs w:val="20"/>
              </w:rPr>
            </w:pPr>
          </w:p>
        </w:tc>
        <w:tc>
          <w:tcPr>
            <w:tcW w:w="1052" w:type="dxa"/>
            <w:tcBorders>
              <w:bottom w:val="double" w:sz="4" w:space="0" w:color="auto"/>
            </w:tcBorders>
            <w:vAlign w:val="center"/>
          </w:tcPr>
          <w:p w14:paraId="770D4BC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ns</w:t>
            </w:r>
          </w:p>
        </w:tc>
        <w:tc>
          <w:tcPr>
            <w:tcW w:w="1053" w:type="dxa"/>
            <w:tcBorders>
              <w:bottom w:val="double" w:sz="4" w:space="0" w:color="auto"/>
            </w:tcBorders>
            <w:vAlign w:val="center"/>
          </w:tcPr>
          <w:p w14:paraId="5422204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5 ns</w:t>
            </w:r>
          </w:p>
        </w:tc>
        <w:tc>
          <w:tcPr>
            <w:tcW w:w="1053" w:type="dxa"/>
            <w:tcBorders>
              <w:bottom w:val="double" w:sz="4" w:space="0" w:color="auto"/>
            </w:tcBorders>
            <w:vAlign w:val="center"/>
          </w:tcPr>
          <w:p w14:paraId="3C3D738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10 ns</w:t>
            </w:r>
          </w:p>
        </w:tc>
        <w:tc>
          <w:tcPr>
            <w:tcW w:w="1053" w:type="dxa"/>
            <w:tcBorders>
              <w:bottom w:val="double" w:sz="4" w:space="0" w:color="auto"/>
            </w:tcBorders>
            <w:vAlign w:val="center"/>
          </w:tcPr>
          <w:p w14:paraId="1C84CD5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25 ns</w:t>
            </w:r>
          </w:p>
        </w:tc>
        <w:tc>
          <w:tcPr>
            <w:tcW w:w="1053" w:type="dxa"/>
            <w:tcBorders>
              <w:bottom w:val="double" w:sz="4" w:space="0" w:color="auto"/>
            </w:tcBorders>
            <w:vAlign w:val="center"/>
          </w:tcPr>
          <w:p w14:paraId="2DC571C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50 ns</w:t>
            </w:r>
          </w:p>
        </w:tc>
      </w:tr>
      <w:tr w:rsidR="00751625" w:rsidRPr="00D95AED" w14:paraId="03655F63" w14:textId="77777777" w:rsidTr="00F60309">
        <w:tc>
          <w:tcPr>
            <w:tcW w:w="1008" w:type="dxa"/>
            <w:tcBorders>
              <w:top w:val="double" w:sz="4" w:space="0" w:color="auto"/>
            </w:tcBorders>
            <w:vAlign w:val="center"/>
          </w:tcPr>
          <w:p w14:paraId="4669CAD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6396DEC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2DECBE1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6E44B39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ns</w:t>
            </w:r>
          </w:p>
        </w:tc>
        <w:tc>
          <w:tcPr>
            <w:tcW w:w="1052" w:type="dxa"/>
            <w:vAlign w:val="center"/>
          </w:tcPr>
          <w:p w14:paraId="5CA9CB9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0.701</w:t>
            </w:r>
          </w:p>
        </w:tc>
        <w:tc>
          <w:tcPr>
            <w:tcW w:w="1053" w:type="dxa"/>
            <w:vAlign w:val="center"/>
          </w:tcPr>
          <w:p w14:paraId="78F555A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0.701</w:t>
            </w:r>
          </w:p>
        </w:tc>
        <w:tc>
          <w:tcPr>
            <w:tcW w:w="1053" w:type="dxa"/>
            <w:vAlign w:val="center"/>
          </w:tcPr>
          <w:p w14:paraId="76E4893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0.753</w:t>
            </w:r>
          </w:p>
        </w:tc>
        <w:tc>
          <w:tcPr>
            <w:tcW w:w="1053" w:type="dxa"/>
            <w:vAlign w:val="center"/>
          </w:tcPr>
          <w:p w14:paraId="386FF13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1.198</w:t>
            </w:r>
          </w:p>
        </w:tc>
        <w:tc>
          <w:tcPr>
            <w:tcW w:w="1053" w:type="dxa"/>
            <w:vAlign w:val="center"/>
          </w:tcPr>
          <w:p w14:paraId="3986CCA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10.427</w:t>
            </w:r>
          </w:p>
        </w:tc>
      </w:tr>
      <w:tr w:rsidR="00751625" w:rsidRPr="00D95AED" w14:paraId="4E1C3CA2" w14:textId="77777777" w:rsidTr="00F60309">
        <w:tc>
          <w:tcPr>
            <w:tcW w:w="1008" w:type="dxa"/>
            <w:vAlign w:val="center"/>
          </w:tcPr>
          <w:p w14:paraId="6309081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6C88643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4779C0F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24EB962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ns</w:t>
            </w:r>
          </w:p>
        </w:tc>
        <w:tc>
          <w:tcPr>
            <w:tcW w:w="1052" w:type="dxa"/>
            <w:vAlign w:val="center"/>
          </w:tcPr>
          <w:p w14:paraId="7CEB026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0.666</w:t>
            </w:r>
          </w:p>
        </w:tc>
        <w:tc>
          <w:tcPr>
            <w:tcW w:w="1053" w:type="dxa"/>
            <w:vAlign w:val="center"/>
          </w:tcPr>
          <w:p w14:paraId="5EC8B6E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0.689</w:t>
            </w:r>
          </w:p>
        </w:tc>
        <w:tc>
          <w:tcPr>
            <w:tcW w:w="1053" w:type="dxa"/>
            <w:vAlign w:val="center"/>
          </w:tcPr>
          <w:p w14:paraId="551ED69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0.732</w:t>
            </w:r>
          </w:p>
        </w:tc>
        <w:tc>
          <w:tcPr>
            <w:tcW w:w="1053" w:type="dxa"/>
            <w:vAlign w:val="center"/>
          </w:tcPr>
          <w:p w14:paraId="1B1B9B6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1.235</w:t>
            </w:r>
          </w:p>
        </w:tc>
        <w:tc>
          <w:tcPr>
            <w:tcW w:w="1053" w:type="dxa"/>
            <w:vAlign w:val="center"/>
          </w:tcPr>
          <w:p w14:paraId="0D248C0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11.614</w:t>
            </w:r>
          </w:p>
        </w:tc>
      </w:tr>
      <w:tr w:rsidR="00751625" w:rsidRPr="00D95AED" w14:paraId="5003980E" w14:textId="77777777" w:rsidTr="00F60309">
        <w:tc>
          <w:tcPr>
            <w:tcW w:w="1008" w:type="dxa"/>
            <w:vAlign w:val="center"/>
          </w:tcPr>
          <w:p w14:paraId="2C4F021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6E112EF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24445D9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6DC6BD1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25 ns</w:t>
            </w:r>
          </w:p>
        </w:tc>
        <w:tc>
          <w:tcPr>
            <w:tcW w:w="1052" w:type="dxa"/>
            <w:vAlign w:val="center"/>
          </w:tcPr>
          <w:p w14:paraId="7C523D9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0.735</w:t>
            </w:r>
          </w:p>
        </w:tc>
        <w:tc>
          <w:tcPr>
            <w:tcW w:w="1053" w:type="dxa"/>
            <w:vAlign w:val="center"/>
          </w:tcPr>
          <w:p w14:paraId="7A123A2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0.744</w:t>
            </w:r>
          </w:p>
        </w:tc>
        <w:tc>
          <w:tcPr>
            <w:tcW w:w="1053" w:type="dxa"/>
            <w:vAlign w:val="center"/>
          </w:tcPr>
          <w:p w14:paraId="284DB1B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0.748</w:t>
            </w:r>
          </w:p>
        </w:tc>
        <w:tc>
          <w:tcPr>
            <w:tcW w:w="1053" w:type="dxa"/>
            <w:vAlign w:val="center"/>
          </w:tcPr>
          <w:p w14:paraId="47A7F20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0.782</w:t>
            </w:r>
          </w:p>
        </w:tc>
        <w:tc>
          <w:tcPr>
            <w:tcW w:w="1053" w:type="dxa"/>
            <w:vAlign w:val="center"/>
          </w:tcPr>
          <w:p w14:paraId="10FCDEF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1.079</w:t>
            </w:r>
          </w:p>
        </w:tc>
      </w:tr>
      <w:tr w:rsidR="00751625" w:rsidRPr="00D95AED" w14:paraId="175FC863" w14:textId="77777777" w:rsidTr="00F60309">
        <w:tc>
          <w:tcPr>
            <w:tcW w:w="1008" w:type="dxa"/>
            <w:vAlign w:val="center"/>
          </w:tcPr>
          <w:p w14:paraId="34ED2C8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09D0F50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3055E9A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6AF1CE7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25 ns</w:t>
            </w:r>
          </w:p>
        </w:tc>
        <w:tc>
          <w:tcPr>
            <w:tcW w:w="1052" w:type="dxa"/>
            <w:vAlign w:val="center"/>
          </w:tcPr>
          <w:p w14:paraId="598B5FE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0.738</w:t>
            </w:r>
          </w:p>
        </w:tc>
        <w:tc>
          <w:tcPr>
            <w:tcW w:w="1053" w:type="dxa"/>
            <w:vAlign w:val="center"/>
          </w:tcPr>
          <w:p w14:paraId="52EC3B7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0.742</w:t>
            </w:r>
          </w:p>
        </w:tc>
        <w:tc>
          <w:tcPr>
            <w:tcW w:w="1053" w:type="dxa"/>
            <w:vAlign w:val="center"/>
          </w:tcPr>
          <w:p w14:paraId="4BB18CA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0.752</w:t>
            </w:r>
          </w:p>
        </w:tc>
        <w:tc>
          <w:tcPr>
            <w:tcW w:w="1053" w:type="dxa"/>
            <w:vAlign w:val="center"/>
          </w:tcPr>
          <w:p w14:paraId="756D053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0.767</w:t>
            </w:r>
          </w:p>
        </w:tc>
        <w:tc>
          <w:tcPr>
            <w:tcW w:w="1053" w:type="dxa"/>
            <w:vAlign w:val="center"/>
          </w:tcPr>
          <w:p w14:paraId="726E953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1.103</w:t>
            </w:r>
          </w:p>
        </w:tc>
      </w:tr>
      <w:tr w:rsidR="00751625" w:rsidRPr="00D95AED" w14:paraId="387AE337" w14:textId="77777777" w:rsidTr="00F60309">
        <w:tc>
          <w:tcPr>
            <w:tcW w:w="1008" w:type="dxa"/>
            <w:vAlign w:val="center"/>
          </w:tcPr>
          <w:p w14:paraId="50972A3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523C9A2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79F2161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5746675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50 ns</w:t>
            </w:r>
          </w:p>
        </w:tc>
        <w:tc>
          <w:tcPr>
            <w:tcW w:w="1052" w:type="dxa"/>
            <w:vAlign w:val="center"/>
          </w:tcPr>
          <w:p w14:paraId="42F75F8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0.811</w:t>
            </w:r>
          </w:p>
        </w:tc>
        <w:tc>
          <w:tcPr>
            <w:tcW w:w="1053" w:type="dxa"/>
            <w:vAlign w:val="center"/>
          </w:tcPr>
          <w:p w14:paraId="27189F9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0.826</w:t>
            </w:r>
          </w:p>
        </w:tc>
        <w:tc>
          <w:tcPr>
            <w:tcW w:w="1053" w:type="dxa"/>
            <w:vAlign w:val="center"/>
          </w:tcPr>
          <w:p w14:paraId="76AF9D7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0.821</w:t>
            </w:r>
          </w:p>
        </w:tc>
        <w:tc>
          <w:tcPr>
            <w:tcW w:w="1053" w:type="dxa"/>
            <w:vAlign w:val="center"/>
          </w:tcPr>
          <w:p w14:paraId="4A38420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0.836</w:t>
            </w:r>
          </w:p>
        </w:tc>
        <w:tc>
          <w:tcPr>
            <w:tcW w:w="1053" w:type="dxa"/>
            <w:vAlign w:val="center"/>
          </w:tcPr>
          <w:p w14:paraId="6B4B07E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0.906</w:t>
            </w:r>
          </w:p>
        </w:tc>
      </w:tr>
      <w:tr w:rsidR="00751625" w:rsidRPr="00D95AED" w14:paraId="67436BCC" w14:textId="77777777" w:rsidTr="00F60309">
        <w:tc>
          <w:tcPr>
            <w:tcW w:w="1008" w:type="dxa"/>
            <w:vAlign w:val="center"/>
          </w:tcPr>
          <w:p w14:paraId="5D6B74B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7E6A8CF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58AEC7C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44340F3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50 ns</w:t>
            </w:r>
          </w:p>
        </w:tc>
        <w:tc>
          <w:tcPr>
            <w:tcW w:w="1052" w:type="dxa"/>
            <w:vAlign w:val="center"/>
          </w:tcPr>
          <w:p w14:paraId="1C38819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0.791</w:t>
            </w:r>
          </w:p>
        </w:tc>
        <w:tc>
          <w:tcPr>
            <w:tcW w:w="1053" w:type="dxa"/>
            <w:vAlign w:val="center"/>
          </w:tcPr>
          <w:p w14:paraId="3ED0DBD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0.803</w:t>
            </w:r>
          </w:p>
        </w:tc>
        <w:tc>
          <w:tcPr>
            <w:tcW w:w="1053" w:type="dxa"/>
            <w:vAlign w:val="center"/>
          </w:tcPr>
          <w:p w14:paraId="6D8FB53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0.810</w:t>
            </w:r>
          </w:p>
        </w:tc>
        <w:tc>
          <w:tcPr>
            <w:tcW w:w="1053" w:type="dxa"/>
            <w:vAlign w:val="center"/>
          </w:tcPr>
          <w:p w14:paraId="3D2778C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0.802</w:t>
            </w:r>
          </w:p>
        </w:tc>
        <w:tc>
          <w:tcPr>
            <w:tcW w:w="1053" w:type="dxa"/>
            <w:vAlign w:val="center"/>
          </w:tcPr>
          <w:p w14:paraId="2E50A7D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0.865</w:t>
            </w:r>
          </w:p>
        </w:tc>
      </w:tr>
      <w:tr w:rsidR="00751625" w:rsidRPr="00D95AED" w14:paraId="61DCCDCF" w14:textId="77777777" w:rsidTr="00F60309">
        <w:tc>
          <w:tcPr>
            <w:tcW w:w="1008" w:type="dxa"/>
            <w:vAlign w:val="center"/>
          </w:tcPr>
          <w:p w14:paraId="208B4DA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lastRenderedPageBreak/>
              <w:t>128</w:t>
            </w:r>
          </w:p>
        </w:tc>
        <w:tc>
          <w:tcPr>
            <w:tcW w:w="1080" w:type="dxa"/>
            <w:vAlign w:val="center"/>
          </w:tcPr>
          <w:p w14:paraId="1B2E994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65BBB0B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6C77D1A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25 ns</w:t>
            </w:r>
          </w:p>
        </w:tc>
        <w:tc>
          <w:tcPr>
            <w:tcW w:w="1052" w:type="dxa"/>
            <w:vAlign w:val="center"/>
          </w:tcPr>
          <w:p w14:paraId="4BB28D5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0.692</w:t>
            </w:r>
          </w:p>
        </w:tc>
        <w:tc>
          <w:tcPr>
            <w:tcW w:w="1053" w:type="dxa"/>
            <w:vAlign w:val="center"/>
          </w:tcPr>
          <w:p w14:paraId="1BE634A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0.702</w:t>
            </w:r>
          </w:p>
        </w:tc>
        <w:tc>
          <w:tcPr>
            <w:tcW w:w="1053" w:type="dxa"/>
            <w:vAlign w:val="center"/>
          </w:tcPr>
          <w:p w14:paraId="697FAF6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0.696</w:t>
            </w:r>
          </w:p>
        </w:tc>
        <w:tc>
          <w:tcPr>
            <w:tcW w:w="1053" w:type="dxa"/>
            <w:vAlign w:val="center"/>
          </w:tcPr>
          <w:p w14:paraId="62790B7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0.741</w:t>
            </w:r>
          </w:p>
        </w:tc>
        <w:tc>
          <w:tcPr>
            <w:tcW w:w="1053" w:type="dxa"/>
            <w:vAlign w:val="center"/>
          </w:tcPr>
          <w:p w14:paraId="58B9902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1.109</w:t>
            </w:r>
          </w:p>
        </w:tc>
      </w:tr>
      <w:tr w:rsidR="00751625" w:rsidRPr="00D95AED" w14:paraId="41996149" w14:textId="77777777" w:rsidTr="00F60309">
        <w:tc>
          <w:tcPr>
            <w:tcW w:w="1008" w:type="dxa"/>
            <w:vAlign w:val="center"/>
          </w:tcPr>
          <w:p w14:paraId="6ED078A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4EB0B10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6B84FD3D"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67F3EBD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25 ns</w:t>
            </w:r>
          </w:p>
        </w:tc>
        <w:tc>
          <w:tcPr>
            <w:tcW w:w="1052" w:type="dxa"/>
            <w:vAlign w:val="center"/>
          </w:tcPr>
          <w:p w14:paraId="13AC944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0.649</w:t>
            </w:r>
          </w:p>
        </w:tc>
        <w:tc>
          <w:tcPr>
            <w:tcW w:w="1053" w:type="dxa"/>
            <w:vAlign w:val="center"/>
          </w:tcPr>
          <w:p w14:paraId="5EC0CEC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0.655</w:t>
            </w:r>
          </w:p>
        </w:tc>
        <w:tc>
          <w:tcPr>
            <w:tcW w:w="1053" w:type="dxa"/>
            <w:vAlign w:val="center"/>
          </w:tcPr>
          <w:p w14:paraId="25C91BC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0.650</w:t>
            </w:r>
          </w:p>
        </w:tc>
        <w:tc>
          <w:tcPr>
            <w:tcW w:w="1053" w:type="dxa"/>
            <w:vAlign w:val="center"/>
          </w:tcPr>
          <w:p w14:paraId="2F3B94A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0.707</w:t>
            </w:r>
          </w:p>
        </w:tc>
        <w:tc>
          <w:tcPr>
            <w:tcW w:w="1053" w:type="dxa"/>
            <w:vAlign w:val="center"/>
          </w:tcPr>
          <w:p w14:paraId="1BC3CCED"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1.076</w:t>
            </w:r>
          </w:p>
        </w:tc>
      </w:tr>
      <w:tr w:rsidR="00751625" w:rsidRPr="00D95AED" w14:paraId="08D7BB42" w14:textId="77777777" w:rsidTr="00F60309">
        <w:tc>
          <w:tcPr>
            <w:tcW w:w="1008" w:type="dxa"/>
            <w:vAlign w:val="center"/>
          </w:tcPr>
          <w:p w14:paraId="3436086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17ED644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092D0A9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1FFBA33D"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50 ns</w:t>
            </w:r>
          </w:p>
        </w:tc>
        <w:tc>
          <w:tcPr>
            <w:tcW w:w="1052" w:type="dxa"/>
            <w:vAlign w:val="center"/>
          </w:tcPr>
          <w:p w14:paraId="13B21BF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0.706</w:t>
            </w:r>
          </w:p>
        </w:tc>
        <w:tc>
          <w:tcPr>
            <w:tcW w:w="1053" w:type="dxa"/>
            <w:vAlign w:val="center"/>
          </w:tcPr>
          <w:p w14:paraId="32E7FDD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0.703</w:t>
            </w:r>
          </w:p>
        </w:tc>
        <w:tc>
          <w:tcPr>
            <w:tcW w:w="1053" w:type="dxa"/>
            <w:vAlign w:val="center"/>
          </w:tcPr>
          <w:p w14:paraId="0903026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0.702</w:t>
            </w:r>
          </w:p>
        </w:tc>
        <w:tc>
          <w:tcPr>
            <w:tcW w:w="1053" w:type="dxa"/>
            <w:vAlign w:val="center"/>
          </w:tcPr>
          <w:p w14:paraId="537FA0E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0.740</w:t>
            </w:r>
          </w:p>
        </w:tc>
        <w:tc>
          <w:tcPr>
            <w:tcW w:w="1053" w:type="dxa"/>
            <w:vAlign w:val="center"/>
          </w:tcPr>
          <w:p w14:paraId="624B967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0.814</w:t>
            </w:r>
          </w:p>
        </w:tc>
      </w:tr>
      <w:tr w:rsidR="00751625" w:rsidRPr="00D95AED" w14:paraId="3DB15D4C" w14:textId="77777777" w:rsidTr="00F60309">
        <w:tc>
          <w:tcPr>
            <w:tcW w:w="1008" w:type="dxa"/>
            <w:vAlign w:val="center"/>
          </w:tcPr>
          <w:p w14:paraId="573781A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0775EA1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51A248F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59D56EE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50 ns</w:t>
            </w:r>
          </w:p>
        </w:tc>
        <w:tc>
          <w:tcPr>
            <w:tcW w:w="1052" w:type="dxa"/>
            <w:vAlign w:val="center"/>
          </w:tcPr>
          <w:p w14:paraId="6C0BE7C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0.688</w:t>
            </w:r>
          </w:p>
        </w:tc>
        <w:tc>
          <w:tcPr>
            <w:tcW w:w="1053" w:type="dxa"/>
            <w:vAlign w:val="center"/>
          </w:tcPr>
          <w:p w14:paraId="1FC7E46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0.701</w:t>
            </w:r>
          </w:p>
        </w:tc>
        <w:tc>
          <w:tcPr>
            <w:tcW w:w="1053" w:type="dxa"/>
            <w:vAlign w:val="center"/>
          </w:tcPr>
          <w:p w14:paraId="52915FD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0.688</w:t>
            </w:r>
          </w:p>
        </w:tc>
        <w:tc>
          <w:tcPr>
            <w:tcW w:w="1053" w:type="dxa"/>
            <w:vAlign w:val="center"/>
          </w:tcPr>
          <w:p w14:paraId="2E16859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0.710</w:t>
            </w:r>
          </w:p>
        </w:tc>
        <w:tc>
          <w:tcPr>
            <w:tcW w:w="1053" w:type="dxa"/>
            <w:vAlign w:val="center"/>
          </w:tcPr>
          <w:p w14:paraId="310F941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0.788</w:t>
            </w:r>
          </w:p>
        </w:tc>
      </w:tr>
      <w:tr w:rsidR="00751625" w:rsidRPr="00D95AED" w14:paraId="29B728AA" w14:textId="77777777" w:rsidTr="00F60309">
        <w:tc>
          <w:tcPr>
            <w:tcW w:w="1008" w:type="dxa"/>
            <w:vAlign w:val="center"/>
          </w:tcPr>
          <w:p w14:paraId="5854FAC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4F24CFA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523DFD3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2F28543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25, 50 ns</w:t>
            </w:r>
          </w:p>
        </w:tc>
        <w:tc>
          <w:tcPr>
            <w:tcW w:w="1052" w:type="dxa"/>
            <w:vAlign w:val="center"/>
          </w:tcPr>
          <w:p w14:paraId="39339A0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0.694</w:t>
            </w:r>
          </w:p>
        </w:tc>
        <w:tc>
          <w:tcPr>
            <w:tcW w:w="1053" w:type="dxa"/>
            <w:vAlign w:val="center"/>
          </w:tcPr>
          <w:p w14:paraId="0BA89C1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0.693</w:t>
            </w:r>
          </w:p>
        </w:tc>
        <w:tc>
          <w:tcPr>
            <w:tcW w:w="1053" w:type="dxa"/>
            <w:vAlign w:val="center"/>
          </w:tcPr>
          <w:p w14:paraId="5E78016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0.695</w:t>
            </w:r>
          </w:p>
        </w:tc>
        <w:tc>
          <w:tcPr>
            <w:tcW w:w="1053" w:type="dxa"/>
            <w:vAlign w:val="center"/>
          </w:tcPr>
          <w:p w14:paraId="3CD9D1D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0.712</w:t>
            </w:r>
          </w:p>
        </w:tc>
        <w:tc>
          <w:tcPr>
            <w:tcW w:w="1053" w:type="dxa"/>
            <w:vAlign w:val="center"/>
          </w:tcPr>
          <w:p w14:paraId="0B53D24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0.808</w:t>
            </w:r>
          </w:p>
        </w:tc>
      </w:tr>
      <w:tr w:rsidR="00751625" w:rsidRPr="00D95AED" w14:paraId="161DF165" w14:textId="77777777" w:rsidTr="006A5971">
        <w:tc>
          <w:tcPr>
            <w:tcW w:w="1008" w:type="dxa"/>
            <w:tcBorders>
              <w:bottom w:val="double" w:sz="4" w:space="0" w:color="auto"/>
            </w:tcBorders>
            <w:vAlign w:val="center"/>
          </w:tcPr>
          <w:p w14:paraId="729FDC0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tcBorders>
              <w:bottom w:val="double" w:sz="4" w:space="0" w:color="auto"/>
            </w:tcBorders>
            <w:vAlign w:val="center"/>
          </w:tcPr>
          <w:p w14:paraId="79C98D7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tcBorders>
              <w:bottom w:val="double" w:sz="4" w:space="0" w:color="auto"/>
            </w:tcBorders>
            <w:vAlign w:val="center"/>
          </w:tcPr>
          <w:p w14:paraId="4445685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tcBorders>
              <w:bottom w:val="double" w:sz="4" w:space="0" w:color="auto"/>
            </w:tcBorders>
            <w:vAlign w:val="center"/>
          </w:tcPr>
          <w:p w14:paraId="35C0EEE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25, 50 ns</w:t>
            </w:r>
          </w:p>
        </w:tc>
        <w:tc>
          <w:tcPr>
            <w:tcW w:w="1052" w:type="dxa"/>
            <w:tcBorders>
              <w:bottom w:val="double" w:sz="4" w:space="0" w:color="auto"/>
            </w:tcBorders>
            <w:vAlign w:val="center"/>
          </w:tcPr>
          <w:p w14:paraId="459911B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0.642</w:t>
            </w:r>
          </w:p>
        </w:tc>
        <w:tc>
          <w:tcPr>
            <w:tcW w:w="1053" w:type="dxa"/>
            <w:tcBorders>
              <w:bottom w:val="double" w:sz="4" w:space="0" w:color="auto"/>
            </w:tcBorders>
            <w:vAlign w:val="center"/>
          </w:tcPr>
          <w:p w14:paraId="1C4898F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0.645</w:t>
            </w:r>
          </w:p>
        </w:tc>
        <w:tc>
          <w:tcPr>
            <w:tcW w:w="1053" w:type="dxa"/>
            <w:tcBorders>
              <w:bottom w:val="double" w:sz="4" w:space="0" w:color="auto"/>
            </w:tcBorders>
            <w:vAlign w:val="center"/>
          </w:tcPr>
          <w:p w14:paraId="28219B5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0.653</w:t>
            </w:r>
          </w:p>
        </w:tc>
        <w:tc>
          <w:tcPr>
            <w:tcW w:w="1053" w:type="dxa"/>
            <w:tcBorders>
              <w:bottom w:val="double" w:sz="4" w:space="0" w:color="auto"/>
            </w:tcBorders>
            <w:vAlign w:val="center"/>
          </w:tcPr>
          <w:p w14:paraId="2C504CD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0.670</w:t>
            </w:r>
          </w:p>
        </w:tc>
        <w:tc>
          <w:tcPr>
            <w:tcW w:w="1053" w:type="dxa"/>
            <w:tcBorders>
              <w:bottom w:val="double" w:sz="4" w:space="0" w:color="auto"/>
            </w:tcBorders>
            <w:vAlign w:val="center"/>
          </w:tcPr>
          <w:p w14:paraId="1FA19D5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0.765</w:t>
            </w:r>
          </w:p>
        </w:tc>
      </w:tr>
      <w:tr w:rsidR="00A8187E" w:rsidRPr="00D95AED" w14:paraId="1DE98495" w14:textId="77777777" w:rsidTr="006A5971">
        <w:tc>
          <w:tcPr>
            <w:tcW w:w="1008" w:type="dxa"/>
            <w:tcBorders>
              <w:top w:val="double" w:sz="4" w:space="0" w:color="auto"/>
            </w:tcBorders>
            <w:vAlign w:val="center"/>
          </w:tcPr>
          <w:p w14:paraId="61C20BE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tcBorders>
              <w:top w:val="double" w:sz="4" w:space="0" w:color="auto"/>
            </w:tcBorders>
            <w:vAlign w:val="center"/>
          </w:tcPr>
          <w:p w14:paraId="6C4E74B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tcBorders>
              <w:top w:val="double" w:sz="4" w:space="0" w:color="auto"/>
            </w:tcBorders>
            <w:vAlign w:val="center"/>
          </w:tcPr>
          <w:p w14:paraId="18DFFF8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tcBorders>
              <w:top w:val="double" w:sz="4" w:space="0" w:color="auto"/>
            </w:tcBorders>
            <w:vAlign w:val="center"/>
          </w:tcPr>
          <w:p w14:paraId="645B75C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ns</w:t>
            </w:r>
          </w:p>
        </w:tc>
        <w:tc>
          <w:tcPr>
            <w:tcW w:w="1052" w:type="dxa"/>
            <w:tcBorders>
              <w:top w:val="double" w:sz="4" w:space="0" w:color="auto"/>
            </w:tcBorders>
            <w:vAlign w:val="center"/>
          </w:tcPr>
          <w:p w14:paraId="23C1231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0.856</w:t>
            </w:r>
          </w:p>
        </w:tc>
        <w:tc>
          <w:tcPr>
            <w:tcW w:w="1053" w:type="dxa"/>
            <w:tcBorders>
              <w:top w:val="double" w:sz="4" w:space="0" w:color="auto"/>
            </w:tcBorders>
            <w:vAlign w:val="center"/>
          </w:tcPr>
          <w:p w14:paraId="436AEE4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0.897</w:t>
            </w:r>
          </w:p>
        </w:tc>
        <w:tc>
          <w:tcPr>
            <w:tcW w:w="1053" w:type="dxa"/>
            <w:tcBorders>
              <w:top w:val="double" w:sz="4" w:space="0" w:color="auto"/>
            </w:tcBorders>
            <w:vAlign w:val="center"/>
          </w:tcPr>
          <w:p w14:paraId="784344D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1.026</w:t>
            </w:r>
          </w:p>
        </w:tc>
        <w:tc>
          <w:tcPr>
            <w:tcW w:w="1053" w:type="dxa"/>
            <w:tcBorders>
              <w:top w:val="double" w:sz="4" w:space="0" w:color="auto"/>
            </w:tcBorders>
            <w:vAlign w:val="center"/>
          </w:tcPr>
          <w:p w14:paraId="47B42D3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2.694</w:t>
            </w:r>
          </w:p>
        </w:tc>
        <w:tc>
          <w:tcPr>
            <w:tcW w:w="1053" w:type="dxa"/>
            <w:tcBorders>
              <w:top w:val="double" w:sz="4" w:space="0" w:color="auto"/>
            </w:tcBorders>
            <w:vAlign w:val="center"/>
          </w:tcPr>
          <w:p w14:paraId="66386E3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14.193</w:t>
            </w:r>
          </w:p>
        </w:tc>
      </w:tr>
      <w:tr w:rsidR="00A8187E" w:rsidRPr="00D95AED" w14:paraId="60F26D03" w14:textId="77777777" w:rsidTr="00580C4E">
        <w:tc>
          <w:tcPr>
            <w:tcW w:w="1008" w:type="dxa"/>
            <w:vAlign w:val="center"/>
          </w:tcPr>
          <w:p w14:paraId="229015F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0CA80D7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2619221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2D3D850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ns</w:t>
            </w:r>
          </w:p>
        </w:tc>
        <w:tc>
          <w:tcPr>
            <w:tcW w:w="1052" w:type="dxa"/>
            <w:vAlign w:val="center"/>
          </w:tcPr>
          <w:p w14:paraId="2C24372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0.822</w:t>
            </w:r>
          </w:p>
        </w:tc>
        <w:tc>
          <w:tcPr>
            <w:tcW w:w="1053" w:type="dxa"/>
            <w:vAlign w:val="center"/>
          </w:tcPr>
          <w:p w14:paraId="0463B69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0.837</w:t>
            </w:r>
          </w:p>
        </w:tc>
        <w:tc>
          <w:tcPr>
            <w:tcW w:w="1053" w:type="dxa"/>
            <w:vAlign w:val="center"/>
          </w:tcPr>
          <w:p w14:paraId="005FC0C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0.926</w:t>
            </w:r>
          </w:p>
        </w:tc>
        <w:tc>
          <w:tcPr>
            <w:tcW w:w="1053" w:type="dxa"/>
            <w:vAlign w:val="center"/>
          </w:tcPr>
          <w:p w14:paraId="74726B0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2.205</w:t>
            </w:r>
          </w:p>
        </w:tc>
        <w:tc>
          <w:tcPr>
            <w:tcW w:w="1053" w:type="dxa"/>
            <w:vAlign w:val="center"/>
          </w:tcPr>
          <w:p w14:paraId="6481C1B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13.831</w:t>
            </w:r>
          </w:p>
        </w:tc>
      </w:tr>
      <w:tr w:rsidR="00A8187E" w:rsidRPr="00D95AED" w14:paraId="54DABD3F" w14:textId="77777777" w:rsidTr="00580C4E">
        <w:tc>
          <w:tcPr>
            <w:tcW w:w="1008" w:type="dxa"/>
            <w:vAlign w:val="center"/>
          </w:tcPr>
          <w:p w14:paraId="4F4D07D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5933D28C"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34212B3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77839519"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25 ns</w:t>
            </w:r>
          </w:p>
        </w:tc>
        <w:tc>
          <w:tcPr>
            <w:tcW w:w="1052" w:type="dxa"/>
            <w:vAlign w:val="center"/>
          </w:tcPr>
          <w:p w14:paraId="0DFBE229"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0.968</w:t>
            </w:r>
          </w:p>
        </w:tc>
        <w:tc>
          <w:tcPr>
            <w:tcW w:w="1053" w:type="dxa"/>
            <w:vAlign w:val="center"/>
          </w:tcPr>
          <w:p w14:paraId="131FFEF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0.987</w:t>
            </w:r>
          </w:p>
        </w:tc>
        <w:tc>
          <w:tcPr>
            <w:tcW w:w="1053" w:type="dxa"/>
            <w:vAlign w:val="center"/>
          </w:tcPr>
          <w:p w14:paraId="4D84E27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0.996</w:t>
            </w:r>
          </w:p>
        </w:tc>
        <w:tc>
          <w:tcPr>
            <w:tcW w:w="1053" w:type="dxa"/>
            <w:vAlign w:val="center"/>
          </w:tcPr>
          <w:p w14:paraId="7DF07A1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1.053</w:t>
            </w:r>
          </w:p>
        </w:tc>
        <w:tc>
          <w:tcPr>
            <w:tcW w:w="1053" w:type="dxa"/>
            <w:vAlign w:val="center"/>
          </w:tcPr>
          <w:p w14:paraId="0D88D18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1.821</w:t>
            </w:r>
          </w:p>
        </w:tc>
      </w:tr>
      <w:tr w:rsidR="00A8187E" w:rsidRPr="00D95AED" w14:paraId="3E1C5FE3" w14:textId="77777777" w:rsidTr="00580C4E">
        <w:tc>
          <w:tcPr>
            <w:tcW w:w="1008" w:type="dxa"/>
            <w:vAlign w:val="center"/>
          </w:tcPr>
          <w:p w14:paraId="669B033C"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63D7FD78"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7023DB4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2AA0283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25 ns</w:t>
            </w:r>
          </w:p>
        </w:tc>
        <w:tc>
          <w:tcPr>
            <w:tcW w:w="1052" w:type="dxa"/>
            <w:vAlign w:val="center"/>
          </w:tcPr>
          <w:p w14:paraId="5D33450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0.939</w:t>
            </w:r>
          </w:p>
        </w:tc>
        <w:tc>
          <w:tcPr>
            <w:tcW w:w="1053" w:type="dxa"/>
            <w:vAlign w:val="center"/>
          </w:tcPr>
          <w:p w14:paraId="12EB29B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0.949</w:t>
            </w:r>
          </w:p>
        </w:tc>
        <w:tc>
          <w:tcPr>
            <w:tcW w:w="1053" w:type="dxa"/>
            <w:vAlign w:val="center"/>
          </w:tcPr>
          <w:p w14:paraId="62ABBF4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0.959</w:t>
            </w:r>
          </w:p>
        </w:tc>
        <w:tc>
          <w:tcPr>
            <w:tcW w:w="1053" w:type="dxa"/>
            <w:vAlign w:val="center"/>
          </w:tcPr>
          <w:p w14:paraId="71D5B4F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1.042</w:t>
            </w:r>
          </w:p>
        </w:tc>
        <w:tc>
          <w:tcPr>
            <w:tcW w:w="1053" w:type="dxa"/>
            <w:vAlign w:val="center"/>
          </w:tcPr>
          <w:p w14:paraId="2E8BA3EC"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1.730</w:t>
            </w:r>
          </w:p>
        </w:tc>
      </w:tr>
      <w:tr w:rsidR="00A8187E" w:rsidRPr="00D95AED" w14:paraId="0C3A08EE" w14:textId="77777777" w:rsidTr="00580C4E">
        <w:tc>
          <w:tcPr>
            <w:tcW w:w="1008" w:type="dxa"/>
            <w:vAlign w:val="center"/>
          </w:tcPr>
          <w:p w14:paraId="6197686C"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088DD2B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43D9D4B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16C2D56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50 ns</w:t>
            </w:r>
          </w:p>
        </w:tc>
        <w:tc>
          <w:tcPr>
            <w:tcW w:w="1052" w:type="dxa"/>
            <w:vAlign w:val="center"/>
          </w:tcPr>
          <w:p w14:paraId="4B810D6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1.131</w:t>
            </w:r>
          </w:p>
        </w:tc>
        <w:tc>
          <w:tcPr>
            <w:tcW w:w="1053" w:type="dxa"/>
            <w:vAlign w:val="center"/>
          </w:tcPr>
          <w:p w14:paraId="30ED265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1.162</w:t>
            </w:r>
          </w:p>
        </w:tc>
        <w:tc>
          <w:tcPr>
            <w:tcW w:w="1053" w:type="dxa"/>
            <w:vAlign w:val="center"/>
          </w:tcPr>
          <w:p w14:paraId="14E4378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1.159</w:t>
            </w:r>
          </w:p>
        </w:tc>
        <w:tc>
          <w:tcPr>
            <w:tcW w:w="1053" w:type="dxa"/>
            <w:vAlign w:val="center"/>
          </w:tcPr>
          <w:p w14:paraId="1233668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1.174</w:t>
            </w:r>
          </w:p>
        </w:tc>
        <w:tc>
          <w:tcPr>
            <w:tcW w:w="1053" w:type="dxa"/>
            <w:vAlign w:val="center"/>
          </w:tcPr>
          <w:p w14:paraId="58F00D4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1.298</w:t>
            </w:r>
          </w:p>
        </w:tc>
      </w:tr>
      <w:tr w:rsidR="00A8187E" w:rsidRPr="00D95AED" w14:paraId="78356388" w14:textId="77777777" w:rsidTr="00580C4E">
        <w:tc>
          <w:tcPr>
            <w:tcW w:w="1008" w:type="dxa"/>
            <w:vAlign w:val="center"/>
          </w:tcPr>
          <w:p w14:paraId="2975456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12F4BAC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51ADC11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11D4E7D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50 ns</w:t>
            </w:r>
          </w:p>
        </w:tc>
        <w:tc>
          <w:tcPr>
            <w:tcW w:w="1052" w:type="dxa"/>
            <w:vAlign w:val="center"/>
          </w:tcPr>
          <w:p w14:paraId="2FD0140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1.037</w:t>
            </w:r>
          </w:p>
        </w:tc>
        <w:tc>
          <w:tcPr>
            <w:tcW w:w="1053" w:type="dxa"/>
            <w:vAlign w:val="center"/>
          </w:tcPr>
          <w:p w14:paraId="5C9E1FD8"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1.038</w:t>
            </w:r>
          </w:p>
        </w:tc>
        <w:tc>
          <w:tcPr>
            <w:tcW w:w="1053" w:type="dxa"/>
            <w:vAlign w:val="center"/>
          </w:tcPr>
          <w:p w14:paraId="39389B9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1.046</w:t>
            </w:r>
          </w:p>
        </w:tc>
        <w:tc>
          <w:tcPr>
            <w:tcW w:w="1053" w:type="dxa"/>
            <w:vAlign w:val="center"/>
          </w:tcPr>
          <w:p w14:paraId="4BB63FA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1.068</w:t>
            </w:r>
          </w:p>
        </w:tc>
        <w:tc>
          <w:tcPr>
            <w:tcW w:w="1053" w:type="dxa"/>
            <w:vAlign w:val="center"/>
          </w:tcPr>
          <w:p w14:paraId="29B3F7C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1.129</w:t>
            </w:r>
          </w:p>
        </w:tc>
      </w:tr>
      <w:tr w:rsidR="00A8187E" w:rsidRPr="00D95AED" w14:paraId="0BFF2D7E" w14:textId="77777777" w:rsidTr="00580C4E">
        <w:tc>
          <w:tcPr>
            <w:tcW w:w="1008" w:type="dxa"/>
            <w:vAlign w:val="center"/>
          </w:tcPr>
          <w:p w14:paraId="33385B3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1410C5D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6281C588"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2783CDB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25 ns</w:t>
            </w:r>
          </w:p>
        </w:tc>
        <w:tc>
          <w:tcPr>
            <w:tcW w:w="1052" w:type="dxa"/>
            <w:vAlign w:val="center"/>
          </w:tcPr>
          <w:p w14:paraId="0678DBF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0.904</w:t>
            </w:r>
          </w:p>
        </w:tc>
        <w:tc>
          <w:tcPr>
            <w:tcW w:w="1053" w:type="dxa"/>
            <w:vAlign w:val="center"/>
          </w:tcPr>
          <w:p w14:paraId="659BB32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0.915</w:t>
            </w:r>
          </w:p>
        </w:tc>
        <w:tc>
          <w:tcPr>
            <w:tcW w:w="1053" w:type="dxa"/>
            <w:vAlign w:val="center"/>
          </w:tcPr>
          <w:p w14:paraId="2134B4E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0.923</w:t>
            </w:r>
          </w:p>
        </w:tc>
        <w:tc>
          <w:tcPr>
            <w:tcW w:w="1053" w:type="dxa"/>
            <w:vAlign w:val="center"/>
          </w:tcPr>
          <w:p w14:paraId="7E0C3A8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1.058</w:t>
            </w:r>
          </w:p>
        </w:tc>
        <w:tc>
          <w:tcPr>
            <w:tcW w:w="1053" w:type="dxa"/>
            <w:vAlign w:val="center"/>
          </w:tcPr>
          <w:p w14:paraId="362D897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1.940</w:t>
            </w:r>
          </w:p>
        </w:tc>
      </w:tr>
      <w:tr w:rsidR="00A8187E" w:rsidRPr="00D95AED" w14:paraId="4D55786F" w14:textId="77777777" w:rsidTr="00580C4E">
        <w:tc>
          <w:tcPr>
            <w:tcW w:w="1008" w:type="dxa"/>
            <w:vAlign w:val="center"/>
          </w:tcPr>
          <w:p w14:paraId="5780E209"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066C540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04DF70F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0AFCD1C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25 ns</w:t>
            </w:r>
          </w:p>
        </w:tc>
        <w:tc>
          <w:tcPr>
            <w:tcW w:w="1052" w:type="dxa"/>
            <w:vAlign w:val="center"/>
          </w:tcPr>
          <w:p w14:paraId="20096FC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0.804</w:t>
            </w:r>
          </w:p>
        </w:tc>
        <w:tc>
          <w:tcPr>
            <w:tcW w:w="1053" w:type="dxa"/>
            <w:vAlign w:val="center"/>
          </w:tcPr>
          <w:p w14:paraId="2512EC8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0.810</w:t>
            </w:r>
          </w:p>
        </w:tc>
        <w:tc>
          <w:tcPr>
            <w:tcW w:w="1053" w:type="dxa"/>
            <w:vAlign w:val="center"/>
          </w:tcPr>
          <w:p w14:paraId="6207F35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0.821</w:t>
            </w:r>
          </w:p>
        </w:tc>
        <w:tc>
          <w:tcPr>
            <w:tcW w:w="1053" w:type="dxa"/>
            <w:vAlign w:val="center"/>
          </w:tcPr>
          <w:p w14:paraId="660E5E3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0.913</w:t>
            </w:r>
          </w:p>
        </w:tc>
        <w:tc>
          <w:tcPr>
            <w:tcW w:w="1053" w:type="dxa"/>
            <w:vAlign w:val="center"/>
          </w:tcPr>
          <w:p w14:paraId="504049A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1.717</w:t>
            </w:r>
          </w:p>
        </w:tc>
      </w:tr>
      <w:tr w:rsidR="00A8187E" w:rsidRPr="00D95AED" w14:paraId="4BFD43B9" w14:textId="77777777" w:rsidTr="00580C4E">
        <w:tc>
          <w:tcPr>
            <w:tcW w:w="1008" w:type="dxa"/>
            <w:vAlign w:val="center"/>
          </w:tcPr>
          <w:p w14:paraId="62FA171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2F547BE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5721859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3C0EA85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50 ns</w:t>
            </w:r>
          </w:p>
        </w:tc>
        <w:tc>
          <w:tcPr>
            <w:tcW w:w="1052" w:type="dxa"/>
            <w:vAlign w:val="center"/>
          </w:tcPr>
          <w:p w14:paraId="195C7A6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0.936</w:t>
            </w:r>
          </w:p>
        </w:tc>
        <w:tc>
          <w:tcPr>
            <w:tcW w:w="1053" w:type="dxa"/>
            <w:vAlign w:val="center"/>
          </w:tcPr>
          <w:p w14:paraId="0BCFA93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0.957</w:t>
            </w:r>
          </w:p>
        </w:tc>
        <w:tc>
          <w:tcPr>
            <w:tcW w:w="1053" w:type="dxa"/>
            <w:vAlign w:val="center"/>
          </w:tcPr>
          <w:p w14:paraId="389C665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0.984</w:t>
            </w:r>
          </w:p>
        </w:tc>
        <w:tc>
          <w:tcPr>
            <w:tcW w:w="1053" w:type="dxa"/>
            <w:vAlign w:val="center"/>
          </w:tcPr>
          <w:p w14:paraId="631022D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1.046</w:t>
            </w:r>
          </w:p>
        </w:tc>
        <w:tc>
          <w:tcPr>
            <w:tcW w:w="1053" w:type="dxa"/>
            <w:vAlign w:val="center"/>
          </w:tcPr>
          <w:p w14:paraId="7D15E4F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1.225</w:t>
            </w:r>
          </w:p>
        </w:tc>
      </w:tr>
      <w:tr w:rsidR="00A8187E" w:rsidRPr="00D95AED" w14:paraId="525FA68F" w14:textId="77777777" w:rsidTr="00580C4E">
        <w:tc>
          <w:tcPr>
            <w:tcW w:w="1008" w:type="dxa"/>
            <w:vAlign w:val="center"/>
          </w:tcPr>
          <w:p w14:paraId="4E1BFD6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22D43EA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4374E41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765F022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50 ns</w:t>
            </w:r>
          </w:p>
        </w:tc>
        <w:tc>
          <w:tcPr>
            <w:tcW w:w="1052" w:type="dxa"/>
            <w:vAlign w:val="center"/>
          </w:tcPr>
          <w:p w14:paraId="35E243B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0.859</w:t>
            </w:r>
          </w:p>
        </w:tc>
        <w:tc>
          <w:tcPr>
            <w:tcW w:w="1053" w:type="dxa"/>
            <w:vAlign w:val="center"/>
          </w:tcPr>
          <w:p w14:paraId="444BE00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0.864</w:t>
            </w:r>
          </w:p>
        </w:tc>
        <w:tc>
          <w:tcPr>
            <w:tcW w:w="1053" w:type="dxa"/>
            <w:vAlign w:val="center"/>
          </w:tcPr>
          <w:p w14:paraId="2DDF2B2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0.875</w:t>
            </w:r>
          </w:p>
        </w:tc>
        <w:tc>
          <w:tcPr>
            <w:tcW w:w="1053" w:type="dxa"/>
            <w:vAlign w:val="center"/>
          </w:tcPr>
          <w:p w14:paraId="6586C47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0.917</w:t>
            </w:r>
          </w:p>
        </w:tc>
        <w:tc>
          <w:tcPr>
            <w:tcW w:w="1053" w:type="dxa"/>
            <w:vAlign w:val="center"/>
          </w:tcPr>
          <w:p w14:paraId="7E2AFE0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1.067</w:t>
            </w:r>
          </w:p>
        </w:tc>
      </w:tr>
      <w:tr w:rsidR="00A8187E" w:rsidRPr="00D95AED" w14:paraId="00075C8B" w14:textId="77777777" w:rsidTr="00580C4E">
        <w:tc>
          <w:tcPr>
            <w:tcW w:w="1008" w:type="dxa"/>
            <w:vAlign w:val="center"/>
          </w:tcPr>
          <w:p w14:paraId="3A85A45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33FDDEF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2D5F894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4521BFE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25, 50 ns</w:t>
            </w:r>
          </w:p>
        </w:tc>
        <w:tc>
          <w:tcPr>
            <w:tcW w:w="1052" w:type="dxa"/>
            <w:vAlign w:val="center"/>
          </w:tcPr>
          <w:p w14:paraId="3ACB143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0.876</w:t>
            </w:r>
          </w:p>
        </w:tc>
        <w:tc>
          <w:tcPr>
            <w:tcW w:w="1053" w:type="dxa"/>
            <w:vAlign w:val="center"/>
          </w:tcPr>
          <w:p w14:paraId="1BD2ACD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0.906</w:t>
            </w:r>
          </w:p>
        </w:tc>
        <w:tc>
          <w:tcPr>
            <w:tcW w:w="1053" w:type="dxa"/>
            <w:vAlign w:val="center"/>
          </w:tcPr>
          <w:p w14:paraId="7C3E66E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0.903</w:t>
            </w:r>
          </w:p>
        </w:tc>
        <w:tc>
          <w:tcPr>
            <w:tcW w:w="1053" w:type="dxa"/>
            <w:vAlign w:val="center"/>
          </w:tcPr>
          <w:p w14:paraId="00FFD81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0.954</w:t>
            </w:r>
          </w:p>
        </w:tc>
        <w:tc>
          <w:tcPr>
            <w:tcW w:w="1053" w:type="dxa"/>
            <w:vAlign w:val="center"/>
          </w:tcPr>
          <w:p w14:paraId="72108D3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1.144</w:t>
            </w:r>
          </w:p>
        </w:tc>
      </w:tr>
      <w:tr w:rsidR="00A8187E" w:rsidRPr="00D95AED" w14:paraId="07A8FB36" w14:textId="77777777" w:rsidTr="00580C4E">
        <w:tc>
          <w:tcPr>
            <w:tcW w:w="1008" w:type="dxa"/>
            <w:vAlign w:val="center"/>
          </w:tcPr>
          <w:p w14:paraId="3575F76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09A1A32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18FE04F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6412194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25, 50 ns</w:t>
            </w:r>
          </w:p>
        </w:tc>
        <w:tc>
          <w:tcPr>
            <w:tcW w:w="1052" w:type="dxa"/>
            <w:vAlign w:val="center"/>
          </w:tcPr>
          <w:p w14:paraId="255FA70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0.815</w:t>
            </w:r>
          </w:p>
        </w:tc>
        <w:tc>
          <w:tcPr>
            <w:tcW w:w="1053" w:type="dxa"/>
            <w:vAlign w:val="center"/>
          </w:tcPr>
          <w:p w14:paraId="6198B91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0.824</w:t>
            </w:r>
          </w:p>
        </w:tc>
        <w:tc>
          <w:tcPr>
            <w:tcW w:w="1053" w:type="dxa"/>
            <w:vAlign w:val="center"/>
          </w:tcPr>
          <w:p w14:paraId="3B02CFD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0.824</w:t>
            </w:r>
          </w:p>
        </w:tc>
        <w:tc>
          <w:tcPr>
            <w:tcW w:w="1053" w:type="dxa"/>
            <w:vAlign w:val="center"/>
          </w:tcPr>
          <w:p w14:paraId="75EBAB4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0.866</w:t>
            </w:r>
          </w:p>
        </w:tc>
        <w:tc>
          <w:tcPr>
            <w:tcW w:w="1053" w:type="dxa"/>
            <w:vAlign w:val="center"/>
          </w:tcPr>
          <w:p w14:paraId="6D1632D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1.007</w:t>
            </w:r>
          </w:p>
        </w:tc>
      </w:tr>
    </w:tbl>
    <w:p w14:paraId="15C25A8E" w14:textId="3BB11C92" w:rsidR="00751625" w:rsidRDefault="00A8187E" w:rsidP="00751625">
      <w:r>
        <w:t xml:space="preserve"> </w:t>
      </w:r>
    </w:p>
    <w:p w14:paraId="5D7D92B8" w14:textId="4E5AD7B6" w:rsidR="00563F9F" w:rsidRPr="00E215F0" w:rsidRDefault="0002562A" w:rsidP="004157FD">
      <w:pPr>
        <w:pStyle w:val="Heading4"/>
      </w:pPr>
      <w:bookmarkStart w:id="775" w:name="_Toc173850903"/>
      <w:bookmarkStart w:id="776" w:name="_Toc173940655"/>
      <w:bookmarkStart w:id="777" w:name="_Toc173850904"/>
      <w:bookmarkStart w:id="778" w:name="_Toc173940656"/>
      <w:bookmarkStart w:id="779" w:name="_Toc173850905"/>
      <w:bookmarkStart w:id="780" w:name="_Toc173940657"/>
      <w:bookmarkStart w:id="781" w:name="_Toc165990981"/>
      <w:bookmarkStart w:id="782" w:name="_Toc178961648"/>
      <w:bookmarkEnd w:id="775"/>
      <w:bookmarkEnd w:id="776"/>
      <w:bookmarkEnd w:id="777"/>
      <w:bookmarkEnd w:id="778"/>
      <w:bookmarkEnd w:id="779"/>
      <w:bookmarkEnd w:id="780"/>
      <w:r>
        <w:t>Total-power</w:t>
      </w:r>
      <w:r w:rsidRPr="00E215F0">
        <w:t xml:space="preserve"> </w:t>
      </w:r>
      <w:r w:rsidR="00801D3C" w:rsidRPr="00E215F0">
        <w:t xml:space="preserve">PDP </w:t>
      </w:r>
      <w:r w:rsidR="00B77CE8" w:rsidRPr="00E215F0">
        <w:t>report</w:t>
      </w:r>
      <w:r w:rsidR="008F6CA4" w:rsidRPr="00E215F0">
        <w:t xml:space="preserve"> </w:t>
      </w:r>
      <w:r w:rsidR="00B77CE8">
        <w:t>for</w:t>
      </w:r>
      <w:r w:rsidR="00B77CE8" w:rsidRPr="00E215F0">
        <w:t xml:space="preserve"> </w:t>
      </w:r>
      <w:r w:rsidR="00D62E7B">
        <w:t>Rel-19</w:t>
      </w:r>
      <w:bookmarkEnd w:id="781"/>
      <w:bookmarkEnd w:id="782"/>
    </w:p>
    <w:p w14:paraId="0F56A803" w14:textId="1E12BFB9" w:rsidR="00CE718C" w:rsidRDefault="00A6412E" w:rsidP="006F6085">
      <w:r>
        <w:t xml:space="preserve">For a UE or a gNB equipped with multiple </w:t>
      </w:r>
      <w:r w:rsidR="00B73C94">
        <w:t xml:space="preserve">receive </w:t>
      </w:r>
      <w:r>
        <w:t xml:space="preserve">antenna ports, </w:t>
      </w:r>
      <w:r w:rsidR="00F9214C">
        <w:t>sources had investigate</w:t>
      </w:r>
      <w:r w:rsidR="000D08F0">
        <w:t xml:space="preserve">d </w:t>
      </w:r>
      <w:r w:rsidR="00970770">
        <w:t xml:space="preserve">tradeoffs of using </w:t>
      </w:r>
      <w:r w:rsidR="00CE718C">
        <w:t>the following two different PDP input options during the SI phase:</w:t>
      </w:r>
    </w:p>
    <w:p w14:paraId="304B869A" w14:textId="4275E7F2" w:rsidR="0016375F" w:rsidRPr="00E215F0" w:rsidRDefault="00F61854" w:rsidP="00D35F36">
      <w:pPr>
        <w:pStyle w:val="ListParagraph"/>
        <w:numPr>
          <w:ilvl w:val="0"/>
          <w:numId w:val="27"/>
        </w:numPr>
      </w:pPr>
      <w:r>
        <w:t xml:space="preserve">total-power </w:t>
      </w:r>
      <w:r w:rsidR="00CE718C">
        <w:t>PDP (summed over all antenna ports)</w:t>
      </w:r>
    </w:p>
    <w:p w14:paraId="0DDC2871" w14:textId="77777777" w:rsidR="007978E4" w:rsidRDefault="00013B05" w:rsidP="007978E4">
      <m:oMathPara>
        <m:oMath>
          <m:r>
            <w:rPr>
              <w:rFonts w:ascii="Cambria Math" w:hAnsi="Cambria Math"/>
            </w:rPr>
            <m:t>p</m:t>
          </m:r>
          <m:d>
            <m:dPr>
              <m:begChr m:val="["/>
              <m:endChr m:val="]"/>
              <m:ctrlPr>
                <w:rPr>
                  <w:rFonts w:ascii="Cambria Math" w:hAnsi="Cambria Math"/>
                  <w:i/>
                </w:rPr>
              </m:ctrlPr>
            </m:dPr>
            <m:e>
              <m:r>
                <w:rPr>
                  <w:rFonts w:ascii="Cambria Math" w:hAnsi="Cambria Math"/>
                </w:rPr>
                <m:t>d</m:t>
              </m:r>
            </m:e>
          </m:d>
          <m:r>
            <w:rPr>
              <w:rFonts w:ascii="Cambria Math" w:hAnsi="Cambria Math"/>
            </w:rPr>
            <m:t>≜</m:t>
          </m:r>
          <m:nary>
            <m:naryPr>
              <m:chr m:val="∑"/>
              <m:limLoc m:val="undOvr"/>
              <m:supHide m:val="1"/>
              <m:ctrlPr>
                <w:rPr>
                  <w:rFonts w:ascii="Cambria Math" w:hAnsi="Cambria Math"/>
                  <w:i/>
                </w:rPr>
              </m:ctrlPr>
            </m:naryPr>
            <m:sub>
              <m:r>
                <w:rPr>
                  <w:rFonts w:ascii="Cambria Math" w:hAnsi="Cambria Math"/>
                </w:rPr>
                <m:t>a</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e>
          </m:nary>
        </m:oMath>
      </m:oMathPara>
    </w:p>
    <w:p w14:paraId="31AD403B" w14:textId="105690E2" w:rsidR="00CE718C" w:rsidRPr="00E215F0" w:rsidRDefault="00CE718C" w:rsidP="00D35F36">
      <w:pPr>
        <w:pStyle w:val="ListParagraph"/>
        <w:numPr>
          <w:ilvl w:val="0"/>
          <w:numId w:val="27"/>
        </w:numPr>
      </w:pPr>
      <w:r>
        <w:t>Multi-port PDP</w:t>
      </w:r>
      <w:r w:rsidR="00D17989">
        <w:t xml:space="preserve"> (measurement at each </w:t>
      </w:r>
      <w:r w:rsidR="00B73C94">
        <w:t xml:space="preserve">receive </w:t>
      </w:r>
      <w:r w:rsidR="00D17989">
        <w:t>antenna port individually)</w:t>
      </w:r>
      <w:r w:rsidR="00B136DB">
        <w:t xml:space="preserve"> </w:t>
      </w:r>
    </w:p>
    <w:p w14:paraId="287A3E6A" w14:textId="05AFE637" w:rsidR="00FD772C" w:rsidRDefault="009C13C0" w:rsidP="006F6085">
      <m:oMathPara>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[d]≜</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oMath>
      </m:oMathPara>
    </w:p>
    <w:p w14:paraId="57216957" w14:textId="3AC7881C" w:rsidR="00B73C94" w:rsidRDefault="00B73C94" w:rsidP="006F6085">
      <w:r>
        <w:t xml:space="preserve">It is noted that the reference signals defined for positioning (DL PRS, UL positioning SRS) is single-port at transmit antenna. Hence 'multi-port' </w:t>
      </w:r>
      <w:r w:rsidR="001256EF">
        <w:t xml:space="preserve">in this discussion </w:t>
      </w:r>
      <w:r>
        <w:t>refers to receive antenna ports only.</w:t>
      </w:r>
    </w:p>
    <w:p w14:paraId="4ACDA514" w14:textId="45B5AB83" w:rsidR="00FF4460" w:rsidRDefault="00607C10" w:rsidP="006F6085">
      <w:r>
        <w:t xml:space="preserve">One set of evaluation results </w:t>
      </w:r>
      <w:r w:rsidR="001050DF">
        <w:t xml:space="preserve">are copied in </w:t>
      </w:r>
      <w:r w:rsidR="002E34A3">
        <w:fldChar w:fldCharType="begin"/>
      </w:r>
      <w:r w:rsidR="002E34A3">
        <w:instrText xml:space="preserve"> REF _Ref134019909 \h </w:instrText>
      </w:r>
      <w:r w:rsidR="002E34A3">
        <w:fldChar w:fldCharType="separate"/>
      </w:r>
      <w:r w:rsidR="00850DA1" w:rsidRPr="00086111">
        <w:t xml:space="preserve">Table </w:t>
      </w:r>
      <w:r w:rsidR="00850DA1">
        <w:rPr>
          <w:noProof/>
        </w:rPr>
        <w:t>8</w:t>
      </w:r>
      <w:r w:rsidR="002E34A3">
        <w:fldChar w:fldCharType="end"/>
      </w:r>
      <w:r w:rsidR="002E34A3">
        <w:t xml:space="preserve"> where </w:t>
      </w:r>
      <w:r w:rsidR="00C824B0">
        <w:t xml:space="preserve">the 90%tile positioning </w:t>
      </w:r>
      <w:r w:rsidR="004426A5">
        <w:t xml:space="preserve">errors of using 2-port PDP or </w:t>
      </w:r>
      <w:r w:rsidR="00EF77A2">
        <w:t>the summed PDP are compared</w:t>
      </w:r>
      <w:r w:rsidR="001050DF">
        <w:t>.</w:t>
      </w:r>
      <w:r w:rsidR="00EF77A2">
        <w:t xml:space="preserve"> </w:t>
      </w:r>
      <w:r w:rsidR="008577B1">
        <w:t>It can be observed that</w:t>
      </w:r>
    </w:p>
    <w:p w14:paraId="7261146C" w14:textId="0D0A27A0" w:rsidR="000472ED" w:rsidRPr="00194B5B" w:rsidRDefault="00380314" w:rsidP="00D35F36">
      <w:pPr>
        <w:pStyle w:val="ListParagraph"/>
        <w:numPr>
          <w:ilvl w:val="0"/>
          <w:numId w:val="27"/>
        </w:numPr>
      </w:pPr>
      <w:r>
        <w:t>T</w:t>
      </w:r>
      <w:r w:rsidRPr="00194B5B">
        <w:t>he 2-port PDP input type doubles the signal sizes</w:t>
      </w:r>
      <w:r>
        <w:t>,</w:t>
      </w:r>
      <w:r w:rsidRPr="00194B5B">
        <w:t xml:space="preserve"> requires higher computational complexity</w:t>
      </w:r>
      <w:r w:rsidR="007C171C">
        <w:t>,</w:t>
      </w:r>
      <w:r w:rsidRPr="00194B5B">
        <w:t xml:space="preserve"> and achieves marginal performance improvements</w:t>
      </w:r>
      <w:r w:rsidR="007C171C">
        <w:t xml:space="preserve"> when compared to the total PDP input type.</w:t>
      </w:r>
    </w:p>
    <w:p w14:paraId="20A23B87" w14:textId="0E3CD49F" w:rsidR="007C171C" w:rsidRPr="00194B5B" w:rsidRDefault="008D17AF" w:rsidP="00D35F36">
      <w:pPr>
        <w:pStyle w:val="ListParagraph"/>
        <w:numPr>
          <w:ilvl w:val="0"/>
          <w:numId w:val="27"/>
        </w:numPr>
      </w:pPr>
      <w:r>
        <w:t xml:space="preserve">Using only 1-port to compute PDP </w:t>
      </w:r>
      <w:r w:rsidR="00B00ECE">
        <w:t xml:space="preserve">discards </w:t>
      </w:r>
      <w:r w:rsidR="00EB2F75">
        <w:t xml:space="preserve">signal power and radio channel </w:t>
      </w:r>
      <w:r w:rsidR="00EB6B94">
        <w:t>information that is readily available at the measurement node</w:t>
      </w:r>
      <w:r w:rsidR="00CC3831">
        <w:t xml:space="preserve">, which causes </w:t>
      </w:r>
      <w:r w:rsidR="00837C54">
        <w:t xml:space="preserve">lower </w:t>
      </w:r>
      <w:r w:rsidR="00837C54" w:rsidRPr="00194B5B">
        <w:t>positioning accuracy</w:t>
      </w:r>
      <w:r w:rsidR="00837C54">
        <w:t xml:space="preserve"> when compared to the total PDP input type.</w:t>
      </w:r>
      <w:r w:rsidR="00482845">
        <w:t xml:space="preserve"> The</w:t>
      </w:r>
      <w:r w:rsidR="00CD5CE6">
        <w:t xml:space="preserve"> positioning accuracy</w:t>
      </w:r>
      <w:r w:rsidR="00482845">
        <w:t xml:space="preserve"> degradation ranges from 11% </w:t>
      </w:r>
      <w:r w:rsidR="00552C0A">
        <w:t>with very large training datasets to 20% with smaller training datasets.</w:t>
      </w:r>
    </w:p>
    <w:p w14:paraId="0AB11EA1" w14:textId="77777777" w:rsidR="008577B1" w:rsidRDefault="008577B1" w:rsidP="006F6085"/>
    <w:p w14:paraId="6902DC38" w14:textId="3DB99D5A" w:rsidR="004F6B11" w:rsidRPr="00086111" w:rsidRDefault="004F6B11" w:rsidP="002938DE">
      <w:pPr>
        <w:pStyle w:val="Observation"/>
      </w:pPr>
      <w:bookmarkStart w:id="783" w:name="_Toc142672294"/>
      <w:bookmarkStart w:id="784" w:name="_Toc158978316"/>
      <w:bookmarkStart w:id="785" w:name="_Toc161827806"/>
      <w:bookmarkStart w:id="786" w:name="_Toc178961840"/>
      <w:r w:rsidRPr="00086111">
        <w:lastRenderedPageBreak/>
        <w:t xml:space="preserve">When compared to the </w:t>
      </w:r>
      <w:r w:rsidR="007C171C">
        <w:t>total</w:t>
      </w:r>
      <w:r w:rsidR="004157FD">
        <w:t>-power</w:t>
      </w:r>
      <w:r w:rsidR="001801E5">
        <w:t xml:space="preserve"> </w:t>
      </w:r>
      <w:r w:rsidRPr="00086111">
        <w:t xml:space="preserve">PDP input type, the 2-port PDP input type (1) doubles the </w:t>
      </w:r>
      <w:r w:rsidR="001801E5">
        <w:t>signal</w:t>
      </w:r>
      <w:r w:rsidRPr="00086111">
        <w:t xml:space="preserve"> sizes; (2) requires higher computational complexity; and (3) achieves marginal performance improvements.</w:t>
      </w:r>
      <w:bookmarkEnd w:id="783"/>
      <w:bookmarkEnd w:id="784"/>
      <w:bookmarkEnd w:id="785"/>
      <w:bookmarkEnd w:id="786"/>
    </w:p>
    <w:p w14:paraId="62D4A29E" w14:textId="7DDCF38E" w:rsidR="00372F97" w:rsidRPr="00086111" w:rsidRDefault="00372F97" w:rsidP="002938DE">
      <w:pPr>
        <w:pStyle w:val="Observation"/>
      </w:pPr>
      <w:bookmarkStart w:id="787" w:name="_Toc158978317"/>
      <w:bookmarkStart w:id="788" w:name="_Toc161827807"/>
      <w:bookmarkStart w:id="789" w:name="_Toc178961841"/>
      <w:r w:rsidRPr="00086111">
        <w:t xml:space="preserve">When compared to the </w:t>
      </w:r>
      <w:r w:rsidR="007C171C">
        <w:t>total</w:t>
      </w:r>
      <w:r w:rsidR="004157FD">
        <w:t>-power</w:t>
      </w:r>
      <w:r>
        <w:t xml:space="preserve"> </w:t>
      </w:r>
      <w:r w:rsidRPr="00086111">
        <w:t xml:space="preserve">PDP input type, the </w:t>
      </w:r>
      <w:r w:rsidR="00174CBD">
        <w:t>1</w:t>
      </w:r>
      <w:r w:rsidRPr="00086111">
        <w:t xml:space="preserve">-port PDP input type </w:t>
      </w:r>
      <w:r w:rsidR="006B5995">
        <w:t xml:space="preserve">(1) </w:t>
      </w:r>
      <w:r w:rsidR="00775F73">
        <w:t>discards signal power and radio channel information that is readily available, and</w:t>
      </w:r>
      <w:r w:rsidR="00775F73" w:rsidRPr="00086111">
        <w:t xml:space="preserve"> </w:t>
      </w:r>
      <w:r w:rsidR="006B5995">
        <w:t xml:space="preserve">(2) </w:t>
      </w:r>
      <w:r w:rsidRPr="00086111">
        <w:t xml:space="preserve">achieves </w:t>
      </w:r>
      <w:r w:rsidR="00C7617F">
        <w:t>lower positioning accuracy</w:t>
      </w:r>
      <w:r w:rsidRPr="00086111">
        <w:t>.</w:t>
      </w:r>
      <w:bookmarkEnd w:id="787"/>
      <w:bookmarkEnd w:id="788"/>
      <w:bookmarkEnd w:id="789"/>
    </w:p>
    <w:p w14:paraId="7EDA7DF6" w14:textId="77777777" w:rsidR="00372F97" w:rsidRDefault="00372F97" w:rsidP="006F6085"/>
    <w:p w14:paraId="2A75C505" w14:textId="3A4D25C5" w:rsidR="00FD772C" w:rsidRPr="00086111" w:rsidRDefault="00FD772C" w:rsidP="00FD772C">
      <w:pPr>
        <w:pStyle w:val="Caption"/>
        <w:rPr>
          <w:lang w:eastAsia="ja-JP"/>
        </w:rPr>
      </w:pPr>
      <w:bookmarkStart w:id="790" w:name="_Ref134019909"/>
      <w:r w:rsidRPr="00086111">
        <w:t xml:space="preserve">Table </w:t>
      </w:r>
      <w:r w:rsidRPr="00086111">
        <w:fldChar w:fldCharType="begin"/>
      </w:r>
      <w:r w:rsidRPr="00086111">
        <w:instrText>SEQ Table \* ARABIC</w:instrText>
      </w:r>
      <w:r w:rsidRPr="00086111">
        <w:fldChar w:fldCharType="separate"/>
      </w:r>
      <w:r w:rsidR="00850DA1">
        <w:rPr>
          <w:noProof/>
        </w:rPr>
        <w:t>8</w:t>
      </w:r>
      <w:r w:rsidRPr="00086111">
        <w:fldChar w:fldCharType="end"/>
      </w:r>
      <w:bookmarkEnd w:id="790"/>
      <w:r w:rsidRPr="00086111">
        <w:t xml:space="preserve"> </w:t>
      </w:r>
      <w:r w:rsidRPr="00086111">
        <w:rPr>
          <w:lang w:eastAsia="ja-JP"/>
        </w:rPr>
        <w:t xml:space="preserve">90%tile </w:t>
      </w:r>
      <w:r w:rsidRPr="00086111">
        <w:t xml:space="preserve">2D positioning accuracy </w:t>
      </w:r>
      <w:r w:rsidR="00A7172A">
        <w:t xml:space="preserve">(meters) </w:t>
      </w:r>
      <w:r w:rsidRPr="00086111">
        <w:t xml:space="preserve">using </w:t>
      </w:r>
      <w:r w:rsidR="00533962">
        <w:t>summed total</w:t>
      </w:r>
      <w:r w:rsidR="004157FD">
        <w:t>-power</w:t>
      </w:r>
      <w:r w:rsidRPr="00086111">
        <w:t xml:space="preserve"> PDP</w:t>
      </w:r>
      <w:r w:rsidR="00533962">
        <w:t xml:space="preserve"> or </w:t>
      </w:r>
      <w:r w:rsidRPr="00086111">
        <w:t>2-port PDP</w:t>
      </w:r>
      <w:r w:rsidR="00DF187A">
        <w:t xml:space="preserve"> inputs</w:t>
      </w:r>
      <w:r w:rsidRPr="00086111">
        <w:t xml:space="preserve"> for the small models and different training dataset sizes in the </w:t>
      </w:r>
      <w:r w:rsidRPr="00086111">
        <w:rPr>
          <w:lang w:eastAsia="ja-JP"/>
        </w:rPr>
        <w:t>{60%, 6m, 2m} InF-DH scenario</w:t>
      </w:r>
      <w:r w:rsidRPr="00086111">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vertAlign w:val="subscript"/>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=256</m:t>
        </m:r>
      </m:oMath>
      <w:r w:rsidRPr="00086111">
        <w:t>.</w:t>
      </w:r>
      <w:r w:rsidR="00A744D7" w:rsidRPr="00E215F0">
        <w:t xml:space="preserve"> The positioning accuracy is for the “small model” for centralized direct positioning trained with 40,000 samples </w:t>
      </w:r>
      <w:r w:rsidR="00A744D7" w:rsidRPr="00E215F0">
        <w:fldChar w:fldCharType="begin"/>
      </w:r>
      <w:r w:rsidR="00A744D7" w:rsidRPr="00E215F0">
        <w:instrText xml:space="preserve"> REF _Ref158730650 \r \h </w:instrText>
      </w:r>
      <w:r w:rsidR="00A744D7" w:rsidRPr="00E215F0">
        <w:fldChar w:fldCharType="separate"/>
      </w:r>
      <w:r w:rsidR="00850DA1">
        <w:t>[6]</w:t>
      </w:r>
      <w:r w:rsidR="00A744D7" w:rsidRPr="00E215F0">
        <w:fldChar w:fldCharType="end"/>
      </w:r>
      <w:r w:rsidR="00A744D7" w:rsidRPr="00E215F0">
        <w:t>.</w:t>
      </w:r>
    </w:p>
    <w:tbl>
      <w:tblPr>
        <w:tblStyle w:val="TableGrid"/>
        <w:tblW w:w="0" w:type="auto"/>
        <w:tblInd w:w="-5" w:type="dxa"/>
        <w:tblLayout w:type="fixed"/>
        <w:tblLook w:val="04A0" w:firstRow="1" w:lastRow="0" w:firstColumn="1" w:lastColumn="0" w:noHBand="0" w:noVBand="1"/>
      </w:tblPr>
      <w:tblGrid>
        <w:gridCol w:w="1818"/>
        <w:gridCol w:w="1575"/>
        <w:gridCol w:w="1642"/>
        <w:gridCol w:w="1188"/>
        <w:gridCol w:w="1188"/>
        <w:gridCol w:w="1188"/>
        <w:gridCol w:w="1188"/>
      </w:tblGrid>
      <w:tr w:rsidR="00E64A54" w:rsidRPr="00086111" w14:paraId="617E980E" w14:textId="77777777" w:rsidTr="004157FD">
        <w:tc>
          <w:tcPr>
            <w:tcW w:w="1818" w:type="dxa"/>
            <w:vMerge w:val="restart"/>
            <w:vAlign w:val="center"/>
          </w:tcPr>
          <w:p w14:paraId="03141CDF" w14:textId="7FFB6E47" w:rsidR="00E64A54" w:rsidRPr="00194B5B" w:rsidRDefault="0081517B" w:rsidP="006515CB">
            <w:pPr>
              <w:spacing w:before="60" w:after="60"/>
              <w:jc w:val="center"/>
              <w:rPr>
                <w:sz w:val="20"/>
                <w:szCs w:val="20"/>
              </w:rPr>
            </w:pPr>
            <w:r w:rsidRPr="00194B5B">
              <w:rPr>
                <w:sz w:val="20"/>
                <w:szCs w:val="20"/>
              </w:rPr>
              <w:t>Input</w:t>
            </w:r>
          </w:p>
        </w:tc>
        <w:tc>
          <w:tcPr>
            <w:tcW w:w="1575" w:type="dxa"/>
            <w:vMerge w:val="restart"/>
            <w:vAlign w:val="center"/>
          </w:tcPr>
          <w:p w14:paraId="7CE3F6E6" w14:textId="77777777" w:rsidR="00E64A54" w:rsidRPr="00194B5B" w:rsidRDefault="00E64A54" w:rsidP="006515CB">
            <w:pPr>
              <w:spacing w:before="60" w:after="60"/>
              <w:jc w:val="center"/>
              <w:rPr>
                <w:sz w:val="20"/>
                <w:szCs w:val="20"/>
              </w:rPr>
            </w:pPr>
            <w:r w:rsidRPr="00194B5B">
              <w:rPr>
                <w:sz w:val="20"/>
                <w:szCs w:val="20"/>
              </w:rPr>
              <w:t>Model complexity</w:t>
            </w:r>
            <w:r w:rsidRPr="00194B5B">
              <w:rPr>
                <w:sz w:val="20"/>
                <w:szCs w:val="20"/>
              </w:rPr>
              <w:br/>
              <w:t>[# parameters]</w:t>
            </w:r>
          </w:p>
        </w:tc>
        <w:tc>
          <w:tcPr>
            <w:tcW w:w="1642" w:type="dxa"/>
            <w:vMerge w:val="restart"/>
            <w:vAlign w:val="center"/>
          </w:tcPr>
          <w:p w14:paraId="5083C293" w14:textId="77777777" w:rsidR="00E64A54" w:rsidRPr="00194B5B" w:rsidRDefault="00E64A54" w:rsidP="006515CB">
            <w:pPr>
              <w:spacing w:before="60" w:after="60"/>
              <w:jc w:val="center"/>
              <w:rPr>
                <w:sz w:val="20"/>
                <w:szCs w:val="20"/>
              </w:rPr>
            </w:pPr>
            <w:r w:rsidRPr="00194B5B">
              <w:rPr>
                <w:sz w:val="20"/>
                <w:szCs w:val="20"/>
              </w:rPr>
              <w:t>Computational complexity</w:t>
            </w:r>
            <w:r w:rsidRPr="00194B5B">
              <w:rPr>
                <w:sz w:val="20"/>
                <w:szCs w:val="20"/>
              </w:rPr>
              <w:br/>
              <w:t>[FLOPs]</w:t>
            </w:r>
          </w:p>
        </w:tc>
        <w:tc>
          <w:tcPr>
            <w:tcW w:w="4752" w:type="dxa"/>
            <w:gridSpan w:val="4"/>
            <w:vAlign w:val="center"/>
          </w:tcPr>
          <w:p w14:paraId="69CC6654" w14:textId="77777777" w:rsidR="00E64A54" w:rsidRPr="00194B5B" w:rsidRDefault="00E64A54" w:rsidP="006515CB">
            <w:pPr>
              <w:spacing w:before="60" w:after="60"/>
              <w:jc w:val="center"/>
              <w:rPr>
                <w:sz w:val="20"/>
                <w:szCs w:val="20"/>
              </w:rPr>
            </w:pPr>
            <w:r w:rsidRPr="00194B5B">
              <w:rPr>
                <w:sz w:val="20"/>
                <w:szCs w:val="20"/>
              </w:rPr>
              <w:t>90%tile 2D positioning error [m]</w:t>
            </w:r>
            <w:r w:rsidRPr="00194B5B">
              <w:rPr>
                <w:sz w:val="20"/>
                <w:szCs w:val="20"/>
              </w:rPr>
              <w:br/>
              <w:t xml:space="preserve">with different train set sizes in </w:t>
            </w:r>
            <w:r w:rsidRPr="00194B5B">
              <w:rPr>
                <w:sz w:val="20"/>
                <w:szCs w:val="20"/>
              </w:rPr>
              <w:br/>
              <w:t>{60%, 6m, 2m} InF-DH</w:t>
            </w:r>
          </w:p>
        </w:tc>
      </w:tr>
      <w:tr w:rsidR="000A5F23" w:rsidRPr="00086111" w14:paraId="6B4E72B3" w14:textId="77777777" w:rsidTr="004157FD">
        <w:tc>
          <w:tcPr>
            <w:tcW w:w="1818" w:type="dxa"/>
            <w:vMerge/>
            <w:tcBorders>
              <w:bottom w:val="double" w:sz="4" w:space="0" w:color="auto"/>
            </w:tcBorders>
            <w:vAlign w:val="center"/>
          </w:tcPr>
          <w:p w14:paraId="509C2E5F" w14:textId="77777777" w:rsidR="00E64A54" w:rsidRPr="00194B5B" w:rsidRDefault="00E64A54" w:rsidP="006515CB">
            <w:pPr>
              <w:spacing w:before="60" w:after="60"/>
              <w:jc w:val="center"/>
              <w:rPr>
                <w:sz w:val="20"/>
                <w:szCs w:val="20"/>
              </w:rPr>
            </w:pPr>
          </w:p>
        </w:tc>
        <w:tc>
          <w:tcPr>
            <w:tcW w:w="1575" w:type="dxa"/>
            <w:vMerge/>
            <w:tcBorders>
              <w:bottom w:val="double" w:sz="4" w:space="0" w:color="auto"/>
            </w:tcBorders>
            <w:vAlign w:val="center"/>
          </w:tcPr>
          <w:p w14:paraId="649D40ED" w14:textId="77777777" w:rsidR="00E64A54" w:rsidRPr="00194B5B" w:rsidRDefault="00E64A54" w:rsidP="006515CB">
            <w:pPr>
              <w:spacing w:before="60" w:after="60"/>
              <w:jc w:val="center"/>
              <w:rPr>
                <w:sz w:val="20"/>
                <w:szCs w:val="20"/>
              </w:rPr>
            </w:pPr>
          </w:p>
        </w:tc>
        <w:tc>
          <w:tcPr>
            <w:tcW w:w="1642" w:type="dxa"/>
            <w:vMerge/>
            <w:tcBorders>
              <w:bottom w:val="double" w:sz="4" w:space="0" w:color="auto"/>
            </w:tcBorders>
            <w:vAlign w:val="center"/>
          </w:tcPr>
          <w:p w14:paraId="7FD0A38D" w14:textId="77777777" w:rsidR="00E64A54" w:rsidRPr="00194B5B" w:rsidRDefault="00E64A54" w:rsidP="006515CB">
            <w:pPr>
              <w:spacing w:before="60" w:after="60"/>
              <w:jc w:val="center"/>
              <w:rPr>
                <w:sz w:val="20"/>
                <w:szCs w:val="20"/>
              </w:rPr>
            </w:pPr>
          </w:p>
        </w:tc>
        <w:tc>
          <w:tcPr>
            <w:tcW w:w="1188" w:type="dxa"/>
            <w:tcBorders>
              <w:bottom w:val="double" w:sz="4" w:space="0" w:color="auto"/>
            </w:tcBorders>
            <w:vAlign w:val="center"/>
          </w:tcPr>
          <w:p w14:paraId="021F682A" w14:textId="77777777" w:rsidR="00E64A54" w:rsidRPr="00194B5B" w:rsidRDefault="00E64A54" w:rsidP="006515CB">
            <w:pPr>
              <w:spacing w:before="60" w:after="60"/>
              <w:jc w:val="center"/>
              <w:rPr>
                <w:sz w:val="20"/>
                <w:szCs w:val="20"/>
              </w:rPr>
            </w:pPr>
            <w:r w:rsidRPr="00194B5B">
              <w:rPr>
                <w:sz w:val="20"/>
                <w:szCs w:val="20"/>
              </w:rPr>
              <w:t>80,000</w:t>
            </w:r>
          </w:p>
        </w:tc>
        <w:tc>
          <w:tcPr>
            <w:tcW w:w="1188" w:type="dxa"/>
            <w:tcBorders>
              <w:bottom w:val="double" w:sz="4" w:space="0" w:color="auto"/>
            </w:tcBorders>
            <w:vAlign w:val="center"/>
          </w:tcPr>
          <w:p w14:paraId="09EBC431" w14:textId="77777777" w:rsidR="00E64A54" w:rsidRPr="00194B5B" w:rsidRDefault="00E64A54" w:rsidP="006515CB">
            <w:pPr>
              <w:spacing w:before="60" w:after="60"/>
              <w:jc w:val="center"/>
              <w:rPr>
                <w:sz w:val="20"/>
                <w:szCs w:val="20"/>
              </w:rPr>
            </w:pPr>
            <w:r w:rsidRPr="00194B5B">
              <w:rPr>
                <w:sz w:val="20"/>
                <w:szCs w:val="20"/>
              </w:rPr>
              <w:t>40,000</w:t>
            </w:r>
          </w:p>
        </w:tc>
        <w:tc>
          <w:tcPr>
            <w:tcW w:w="1188" w:type="dxa"/>
            <w:tcBorders>
              <w:bottom w:val="double" w:sz="4" w:space="0" w:color="auto"/>
            </w:tcBorders>
            <w:vAlign w:val="center"/>
          </w:tcPr>
          <w:p w14:paraId="34D2305F" w14:textId="77777777" w:rsidR="00E64A54" w:rsidRPr="00194B5B" w:rsidRDefault="00E64A54" w:rsidP="006515CB">
            <w:pPr>
              <w:spacing w:before="60" w:after="60"/>
              <w:jc w:val="center"/>
              <w:rPr>
                <w:sz w:val="20"/>
                <w:szCs w:val="20"/>
              </w:rPr>
            </w:pPr>
            <w:r w:rsidRPr="00194B5B">
              <w:rPr>
                <w:sz w:val="20"/>
                <w:szCs w:val="20"/>
              </w:rPr>
              <w:t>20,000</w:t>
            </w:r>
          </w:p>
        </w:tc>
        <w:tc>
          <w:tcPr>
            <w:tcW w:w="1188" w:type="dxa"/>
            <w:tcBorders>
              <w:bottom w:val="double" w:sz="4" w:space="0" w:color="auto"/>
            </w:tcBorders>
            <w:vAlign w:val="center"/>
          </w:tcPr>
          <w:p w14:paraId="7E966931" w14:textId="77777777" w:rsidR="00E64A54" w:rsidRPr="00194B5B" w:rsidRDefault="00E64A54" w:rsidP="006515CB">
            <w:pPr>
              <w:spacing w:before="60" w:after="60"/>
              <w:jc w:val="center"/>
              <w:rPr>
                <w:sz w:val="20"/>
                <w:szCs w:val="20"/>
              </w:rPr>
            </w:pPr>
            <w:r w:rsidRPr="00194B5B">
              <w:rPr>
                <w:sz w:val="20"/>
                <w:szCs w:val="20"/>
              </w:rPr>
              <w:t>10,000</w:t>
            </w:r>
          </w:p>
        </w:tc>
      </w:tr>
      <w:tr w:rsidR="00B54521" w:rsidRPr="00086111" w14:paraId="5B24C2B1" w14:textId="77777777" w:rsidTr="004157FD">
        <w:tc>
          <w:tcPr>
            <w:tcW w:w="1818" w:type="dxa"/>
            <w:tcBorders>
              <w:top w:val="double" w:sz="4" w:space="0" w:color="auto"/>
            </w:tcBorders>
            <w:vAlign w:val="center"/>
          </w:tcPr>
          <w:p w14:paraId="3B9322DB" w14:textId="2CB5DBE0" w:rsidR="0081517B" w:rsidRPr="00194B5B" w:rsidRDefault="00D41564" w:rsidP="006515CB">
            <w:pPr>
              <w:spacing w:before="60" w:after="60"/>
              <w:jc w:val="center"/>
              <w:rPr>
                <w:sz w:val="20"/>
                <w:szCs w:val="20"/>
              </w:rPr>
            </w:pPr>
            <w:r>
              <w:t>total</w:t>
            </w:r>
            <w:r w:rsidR="004157FD">
              <w:t>-power</w:t>
            </w:r>
            <w:r w:rsidR="0081517B" w:rsidRPr="00194B5B">
              <w:rPr>
                <w:sz w:val="20"/>
                <w:szCs w:val="20"/>
              </w:rPr>
              <w:t xml:space="preserve"> PDP</w:t>
            </w:r>
          </w:p>
        </w:tc>
        <w:tc>
          <w:tcPr>
            <w:tcW w:w="1575" w:type="dxa"/>
            <w:tcBorders>
              <w:top w:val="double" w:sz="4" w:space="0" w:color="auto"/>
              <w:bottom w:val="single" w:sz="4" w:space="0" w:color="auto"/>
            </w:tcBorders>
            <w:vAlign w:val="center"/>
          </w:tcPr>
          <w:p w14:paraId="05DA758F" w14:textId="6DA6A767" w:rsidR="0081517B" w:rsidRPr="00194B5B" w:rsidRDefault="0081517B" w:rsidP="006515CB">
            <w:pPr>
              <w:spacing w:before="60" w:after="60"/>
              <w:jc w:val="center"/>
              <w:rPr>
                <w:sz w:val="20"/>
                <w:szCs w:val="20"/>
              </w:rPr>
            </w:pPr>
            <w:r w:rsidRPr="00194B5B">
              <w:rPr>
                <w:sz w:val="20"/>
                <w:szCs w:val="20"/>
              </w:rPr>
              <w:t>0.36 M</w:t>
            </w:r>
          </w:p>
        </w:tc>
        <w:tc>
          <w:tcPr>
            <w:tcW w:w="1642" w:type="dxa"/>
            <w:tcBorders>
              <w:top w:val="double" w:sz="4" w:space="0" w:color="auto"/>
              <w:bottom w:val="single" w:sz="4" w:space="0" w:color="auto"/>
            </w:tcBorders>
            <w:vAlign w:val="center"/>
          </w:tcPr>
          <w:p w14:paraId="28DCA845" w14:textId="63963FDB" w:rsidR="0081517B" w:rsidRPr="00194B5B" w:rsidRDefault="0081517B" w:rsidP="006515CB">
            <w:pPr>
              <w:spacing w:before="60" w:after="60"/>
              <w:jc w:val="center"/>
              <w:rPr>
                <w:sz w:val="20"/>
                <w:szCs w:val="20"/>
              </w:rPr>
            </w:pPr>
            <w:r w:rsidRPr="00194B5B">
              <w:rPr>
                <w:sz w:val="20"/>
                <w:szCs w:val="20"/>
              </w:rPr>
              <w:t>9 M</w:t>
            </w:r>
          </w:p>
        </w:tc>
        <w:tc>
          <w:tcPr>
            <w:tcW w:w="1188" w:type="dxa"/>
            <w:tcBorders>
              <w:top w:val="double" w:sz="4" w:space="0" w:color="auto"/>
              <w:bottom w:val="single" w:sz="4" w:space="0" w:color="auto"/>
            </w:tcBorders>
            <w:vAlign w:val="center"/>
          </w:tcPr>
          <w:p w14:paraId="3430372F" w14:textId="16AC0476" w:rsidR="0081517B" w:rsidRPr="00194B5B" w:rsidRDefault="0081517B" w:rsidP="006515CB">
            <w:pPr>
              <w:spacing w:before="60" w:after="60"/>
              <w:jc w:val="center"/>
              <w:rPr>
                <w:sz w:val="20"/>
                <w:szCs w:val="20"/>
              </w:rPr>
            </w:pPr>
            <w:r w:rsidRPr="00194B5B">
              <w:rPr>
                <w:sz w:val="20"/>
                <w:szCs w:val="20"/>
              </w:rPr>
              <w:t>0.4</w:t>
            </w:r>
            <w:r w:rsidR="00431044">
              <w:rPr>
                <w:sz w:val="20"/>
                <w:szCs w:val="20"/>
              </w:rPr>
              <w:t>3</w:t>
            </w:r>
          </w:p>
        </w:tc>
        <w:tc>
          <w:tcPr>
            <w:tcW w:w="1188" w:type="dxa"/>
            <w:tcBorders>
              <w:top w:val="double" w:sz="4" w:space="0" w:color="auto"/>
              <w:bottom w:val="single" w:sz="4" w:space="0" w:color="auto"/>
            </w:tcBorders>
            <w:vAlign w:val="center"/>
          </w:tcPr>
          <w:p w14:paraId="38C1D0EE" w14:textId="7F225053" w:rsidR="0081517B" w:rsidRPr="00194B5B" w:rsidRDefault="0081517B" w:rsidP="006515CB">
            <w:pPr>
              <w:spacing w:before="60" w:after="60"/>
              <w:jc w:val="center"/>
              <w:rPr>
                <w:sz w:val="20"/>
                <w:szCs w:val="20"/>
              </w:rPr>
            </w:pPr>
            <w:r w:rsidRPr="00194B5B">
              <w:rPr>
                <w:sz w:val="20"/>
                <w:szCs w:val="20"/>
              </w:rPr>
              <w:t>0.51</w:t>
            </w:r>
          </w:p>
        </w:tc>
        <w:tc>
          <w:tcPr>
            <w:tcW w:w="1188" w:type="dxa"/>
            <w:tcBorders>
              <w:top w:val="double" w:sz="4" w:space="0" w:color="auto"/>
              <w:bottom w:val="single" w:sz="4" w:space="0" w:color="auto"/>
            </w:tcBorders>
            <w:vAlign w:val="center"/>
          </w:tcPr>
          <w:p w14:paraId="7E78FF8B" w14:textId="627075F0" w:rsidR="0081517B" w:rsidRPr="00194B5B" w:rsidRDefault="0081517B" w:rsidP="006515CB">
            <w:pPr>
              <w:spacing w:before="60" w:after="60"/>
              <w:jc w:val="center"/>
              <w:rPr>
                <w:sz w:val="20"/>
                <w:szCs w:val="20"/>
              </w:rPr>
            </w:pPr>
            <w:r w:rsidRPr="00194B5B">
              <w:rPr>
                <w:sz w:val="20"/>
                <w:szCs w:val="20"/>
              </w:rPr>
              <w:t>0.66</w:t>
            </w:r>
          </w:p>
        </w:tc>
        <w:tc>
          <w:tcPr>
            <w:tcW w:w="1188" w:type="dxa"/>
            <w:tcBorders>
              <w:top w:val="double" w:sz="4" w:space="0" w:color="auto"/>
              <w:bottom w:val="single" w:sz="4" w:space="0" w:color="auto"/>
            </w:tcBorders>
            <w:vAlign w:val="center"/>
          </w:tcPr>
          <w:p w14:paraId="02F06379" w14:textId="27194942" w:rsidR="0081517B" w:rsidRPr="00194B5B" w:rsidRDefault="0081517B" w:rsidP="006515CB">
            <w:pPr>
              <w:spacing w:before="60" w:after="60"/>
              <w:jc w:val="center"/>
              <w:rPr>
                <w:sz w:val="20"/>
                <w:szCs w:val="20"/>
              </w:rPr>
            </w:pPr>
            <w:r w:rsidRPr="00194B5B">
              <w:rPr>
                <w:sz w:val="20"/>
                <w:szCs w:val="20"/>
              </w:rPr>
              <w:t>0.86</w:t>
            </w:r>
          </w:p>
        </w:tc>
      </w:tr>
      <w:tr w:rsidR="00331C98" w:rsidRPr="00086111" w14:paraId="29AB9877" w14:textId="77777777" w:rsidTr="004157FD">
        <w:tc>
          <w:tcPr>
            <w:tcW w:w="1818" w:type="dxa"/>
            <w:tcBorders>
              <w:bottom w:val="single" w:sz="4" w:space="0" w:color="auto"/>
            </w:tcBorders>
            <w:vAlign w:val="center"/>
          </w:tcPr>
          <w:p w14:paraId="2C4DE0D0" w14:textId="2A4E9131" w:rsidR="0081517B" w:rsidRPr="00194B5B" w:rsidRDefault="0081517B" w:rsidP="006515CB">
            <w:pPr>
              <w:spacing w:before="60" w:after="60"/>
              <w:jc w:val="center"/>
              <w:rPr>
                <w:sz w:val="20"/>
                <w:szCs w:val="20"/>
              </w:rPr>
            </w:pPr>
            <w:r w:rsidRPr="00194B5B">
              <w:rPr>
                <w:sz w:val="20"/>
                <w:szCs w:val="20"/>
              </w:rPr>
              <w:t>2-port PDP</w:t>
            </w:r>
          </w:p>
        </w:tc>
        <w:tc>
          <w:tcPr>
            <w:tcW w:w="1575" w:type="dxa"/>
            <w:tcBorders>
              <w:bottom w:val="single" w:sz="4" w:space="0" w:color="auto"/>
            </w:tcBorders>
            <w:vAlign w:val="center"/>
          </w:tcPr>
          <w:p w14:paraId="67CAAFB4" w14:textId="5FC77E8B" w:rsidR="0081517B" w:rsidRPr="00194B5B" w:rsidRDefault="0081517B" w:rsidP="006515CB">
            <w:pPr>
              <w:spacing w:before="60" w:after="60"/>
              <w:jc w:val="center"/>
              <w:rPr>
                <w:sz w:val="20"/>
                <w:szCs w:val="20"/>
              </w:rPr>
            </w:pPr>
            <w:r w:rsidRPr="00194B5B">
              <w:rPr>
                <w:sz w:val="20"/>
                <w:szCs w:val="20"/>
              </w:rPr>
              <w:t>0.37 M</w:t>
            </w:r>
          </w:p>
        </w:tc>
        <w:tc>
          <w:tcPr>
            <w:tcW w:w="1642" w:type="dxa"/>
            <w:tcBorders>
              <w:bottom w:val="single" w:sz="4" w:space="0" w:color="auto"/>
            </w:tcBorders>
            <w:vAlign w:val="center"/>
          </w:tcPr>
          <w:p w14:paraId="65C37CC8" w14:textId="77ABCC8D" w:rsidR="0081517B" w:rsidRPr="00194B5B" w:rsidRDefault="0081517B" w:rsidP="006515CB">
            <w:pPr>
              <w:spacing w:before="60" w:after="60"/>
              <w:jc w:val="center"/>
              <w:rPr>
                <w:sz w:val="20"/>
                <w:szCs w:val="20"/>
              </w:rPr>
            </w:pPr>
            <w:r w:rsidRPr="00194B5B">
              <w:rPr>
                <w:sz w:val="20"/>
                <w:szCs w:val="20"/>
              </w:rPr>
              <w:t>11 M</w:t>
            </w:r>
          </w:p>
        </w:tc>
        <w:tc>
          <w:tcPr>
            <w:tcW w:w="1188" w:type="dxa"/>
            <w:tcBorders>
              <w:bottom w:val="single" w:sz="4" w:space="0" w:color="auto"/>
            </w:tcBorders>
            <w:vAlign w:val="center"/>
          </w:tcPr>
          <w:p w14:paraId="1796F02E" w14:textId="6033E2B4" w:rsidR="0081517B" w:rsidRPr="00194B5B" w:rsidRDefault="0081517B" w:rsidP="006515CB">
            <w:pPr>
              <w:spacing w:before="60" w:after="60"/>
              <w:jc w:val="center"/>
              <w:rPr>
                <w:sz w:val="20"/>
                <w:szCs w:val="20"/>
              </w:rPr>
            </w:pPr>
            <w:r w:rsidRPr="00194B5B">
              <w:rPr>
                <w:sz w:val="20"/>
                <w:szCs w:val="20"/>
              </w:rPr>
              <w:t>0.40</w:t>
            </w:r>
          </w:p>
        </w:tc>
        <w:tc>
          <w:tcPr>
            <w:tcW w:w="1188" w:type="dxa"/>
            <w:tcBorders>
              <w:bottom w:val="single" w:sz="4" w:space="0" w:color="auto"/>
            </w:tcBorders>
            <w:vAlign w:val="center"/>
          </w:tcPr>
          <w:p w14:paraId="1488E14A" w14:textId="307B240A" w:rsidR="0081517B" w:rsidRPr="00194B5B" w:rsidRDefault="0081517B" w:rsidP="006515CB">
            <w:pPr>
              <w:spacing w:before="60" w:after="60"/>
              <w:jc w:val="center"/>
              <w:rPr>
                <w:sz w:val="20"/>
                <w:szCs w:val="20"/>
              </w:rPr>
            </w:pPr>
            <w:r w:rsidRPr="00194B5B">
              <w:rPr>
                <w:sz w:val="20"/>
                <w:szCs w:val="20"/>
              </w:rPr>
              <w:t>0.50</w:t>
            </w:r>
          </w:p>
        </w:tc>
        <w:tc>
          <w:tcPr>
            <w:tcW w:w="1188" w:type="dxa"/>
            <w:tcBorders>
              <w:bottom w:val="single" w:sz="4" w:space="0" w:color="auto"/>
            </w:tcBorders>
            <w:vAlign w:val="center"/>
          </w:tcPr>
          <w:p w14:paraId="62379FC9" w14:textId="0F6966B6" w:rsidR="0081517B" w:rsidRPr="00194B5B" w:rsidRDefault="0081517B" w:rsidP="006515CB">
            <w:pPr>
              <w:spacing w:before="60" w:after="60"/>
              <w:jc w:val="center"/>
              <w:rPr>
                <w:sz w:val="20"/>
                <w:szCs w:val="20"/>
              </w:rPr>
            </w:pPr>
            <w:r w:rsidRPr="00194B5B">
              <w:rPr>
                <w:sz w:val="20"/>
                <w:szCs w:val="20"/>
              </w:rPr>
              <w:t>0.64</w:t>
            </w:r>
          </w:p>
        </w:tc>
        <w:tc>
          <w:tcPr>
            <w:tcW w:w="1188" w:type="dxa"/>
            <w:tcBorders>
              <w:bottom w:val="single" w:sz="4" w:space="0" w:color="auto"/>
            </w:tcBorders>
            <w:vAlign w:val="center"/>
          </w:tcPr>
          <w:p w14:paraId="0AF9BBF0" w14:textId="695CC5B3" w:rsidR="0081517B" w:rsidRPr="00194B5B" w:rsidRDefault="0081517B" w:rsidP="006515CB">
            <w:pPr>
              <w:spacing w:before="60" w:after="60"/>
              <w:jc w:val="center"/>
              <w:rPr>
                <w:sz w:val="20"/>
                <w:szCs w:val="20"/>
              </w:rPr>
            </w:pPr>
            <w:r w:rsidRPr="00194B5B">
              <w:rPr>
                <w:sz w:val="20"/>
                <w:szCs w:val="20"/>
              </w:rPr>
              <w:t>0.83</w:t>
            </w:r>
          </w:p>
        </w:tc>
      </w:tr>
      <w:tr w:rsidR="0056312F" w:rsidRPr="00086111" w14:paraId="11D37ED5" w14:textId="77777777" w:rsidTr="004157FD">
        <w:tc>
          <w:tcPr>
            <w:tcW w:w="1818" w:type="dxa"/>
          </w:tcPr>
          <w:p w14:paraId="31240747" w14:textId="23D175B0" w:rsidR="0056312F" w:rsidRPr="00194B5B" w:rsidRDefault="0056312F">
            <w:pPr>
              <w:spacing w:before="60" w:after="60"/>
              <w:jc w:val="center"/>
              <w:rPr>
                <w:sz w:val="20"/>
                <w:szCs w:val="20"/>
              </w:rPr>
            </w:pPr>
            <w:r w:rsidRPr="00194B5B">
              <w:rPr>
                <w:sz w:val="20"/>
                <w:szCs w:val="20"/>
              </w:rPr>
              <w:t>1-port PDP</w:t>
            </w:r>
          </w:p>
        </w:tc>
        <w:tc>
          <w:tcPr>
            <w:tcW w:w="1575" w:type="dxa"/>
          </w:tcPr>
          <w:p w14:paraId="4E380808" w14:textId="05842028" w:rsidR="0056312F" w:rsidRPr="00194B5B" w:rsidRDefault="0056312F">
            <w:pPr>
              <w:spacing w:before="60" w:after="60"/>
              <w:jc w:val="center"/>
              <w:rPr>
                <w:sz w:val="20"/>
                <w:szCs w:val="20"/>
              </w:rPr>
            </w:pPr>
            <w:r w:rsidRPr="00194B5B">
              <w:rPr>
                <w:sz w:val="20"/>
                <w:szCs w:val="20"/>
              </w:rPr>
              <w:t>0.3</w:t>
            </w:r>
            <w:r w:rsidR="00BA765D" w:rsidRPr="00194B5B">
              <w:rPr>
                <w:sz w:val="20"/>
                <w:szCs w:val="20"/>
              </w:rPr>
              <w:t>6</w:t>
            </w:r>
            <w:r w:rsidRPr="00194B5B">
              <w:rPr>
                <w:sz w:val="20"/>
                <w:szCs w:val="20"/>
              </w:rPr>
              <w:t xml:space="preserve"> M</w:t>
            </w:r>
          </w:p>
        </w:tc>
        <w:tc>
          <w:tcPr>
            <w:tcW w:w="1642" w:type="dxa"/>
          </w:tcPr>
          <w:p w14:paraId="5699018F" w14:textId="6740B94D" w:rsidR="0056312F" w:rsidRPr="00194B5B" w:rsidRDefault="00712D97">
            <w:pPr>
              <w:spacing w:before="60" w:after="60"/>
              <w:jc w:val="center"/>
              <w:rPr>
                <w:sz w:val="20"/>
                <w:szCs w:val="20"/>
              </w:rPr>
            </w:pPr>
            <w:r w:rsidRPr="00194B5B">
              <w:rPr>
                <w:sz w:val="20"/>
                <w:szCs w:val="20"/>
              </w:rPr>
              <w:t>9</w:t>
            </w:r>
            <w:r w:rsidR="0056312F" w:rsidRPr="00194B5B">
              <w:rPr>
                <w:sz w:val="20"/>
                <w:szCs w:val="20"/>
              </w:rPr>
              <w:t xml:space="preserve"> M</w:t>
            </w:r>
          </w:p>
        </w:tc>
        <w:tc>
          <w:tcPr>
            <w:tcW w:w="1188" w:type="dxa"/>
          </w:tcPr>
          <w:p w14:paraId="46DD9EF2" w14:textId="418D0A4D" w:rsidR="0056312F" w:rsidRPr="00194B5B" w:rsidRDefault="00CE5648">
            <w:pPr>
              <w:spacing w:before="60" w:after="60"/>
              <w:jc w:val="center"/>
              <w:rPr>
                <w:sz w:val="20"/>
                <w:szCs w:val="20"/>
              </w:rPr>
            </w:pPr>
            <w:r w:rsidRPr="00194B5B">
              <w:rPr>
                <w:sz w:val="20"/>
                <w:szCs w:val="20"/>
              </w:rPr>
              <w:t>0.47</w:t>
            </w:r>
          </w:p>
        </w:tc>
        <w:tc>
          <w:tcPr>
            <w:tcW w:w="1188" w:type="dxa"/>
          </w:tcPr>
          <w:p w14:paraId="3F277524" w14:textId="028E846E" w:rsidR="0056312F" w:rsidRPr="00194B5B" w:rsidRDefault="003B1D57">
            <w:pPr>
              <w:spacing w:before="60" w:after="60"/>
              <w:jc w:val="center"/>
              <w:rPr>
                <w:sz w:val="20"/>
                <w:szCs w:val="20"/>
              </w:rPr>
            </w:pPr>
            <w:r w:rsidRPr="00194B5B">
              <w:rPr>
                <w:sz w:val="20"/>
                <w:szCs w:val="20"/>
              </w:rPr>
              <w:t>0.5</w:t>
            </w:r>
            <w:r w:rsidR="00431044">
              <w:rPr>
                <w:sz w:val="20"/>
                <w:szCs w:val="20"/>
              </w:rPr>
              <w:t>8</w:t>
            </w:r>
          </w:p>
        </w:tc>
        <w:tc>
          <w:tcPr>
            <w:tcW w:w="1188" w:type="dxa"/>
          </w:tcPr>
          <w:p w14:paraId="67C5CE00" w14:textId="59960485" w:rsidR="0056312F" w:rsidRPr="00194B5B" w:rsidRDefault="00605884">
            <w:pPr>
              <w:spacing w:before="60" w:after="60"/>
              <w:jc w:val="center"/>
              <w:rPr>
                <w:sz w:val="20"/>
                <w:szCs w:val="20"/>
              </w:rPr>
            </w:pPr>
            <w:r w:rsidRPr="00194B5B">
              <w:rPr>
                <w:sz w:val="20"/>
                <w:szCs w:val="20"/>
              </w:rPr>
              <w:t>0.76</w:t>
            </w:r>
          </w:p>
        </w:tc>
        <w:tc>
          <w:tcPr>
            <w:tcW w:w="1188" w:type="dxa"/>
          </w:tcPr>
          <w:p w14:paraId="2A7CD3BB" w14:textId="6B384931" w:rsidR="0056312F" w:rsidRPr="00194B5B" w:rsidRDefault="00605884">
            <w:pPr>
              <w:spacing w:before="60" w:after="60"/>
              <w:jc w:val="center"/>
              <w:rPr>
                <w:sz w:val="20"/>
                <w:szCs w:val="20"/>
              </w:rPr>
            </w:pPr>
            <w:r w:rsidRPr="00194B5B">
              <w:rPr>
                <w:sz w:val="20"/>
                <w:szCs w:val="20"/>
              </w:rPr>
              <w:t>1.04</w:t>
            </w:r>
          </w:p>
        </w:tc>
      </w:tr>
    </w:tbl>
    <w:p w14:paraId="7F6A4213" w14:textId="77777777" w:rsidR="00FD772C" w:rsidRDefault="00FD772C" w:rsidP="006F6085"/>
    <w:p w14:paraId="77DBFFD1" w14:textId="4F4CD57B" w:rsidR="00B956E2" w:rsidRDefault="00224791" w:rsidP="006F6085">
      <w:r>
        <w:t xml:space="preserve">It can be concluded that </w:t>
      </w:r>
      <w:r w:rsidR="00B62A39">
        <w:t xml:space="preserve">the performance gains of using multi-port PDP </w:t>
      </w:r>
      <w:r w:rsidR="00EE49C3">
        <w:t>do not justify the multiple increases in signaling sizes</w:t>
      </w:r>
      <w:r w:rsidR="00642536">
        <w:t>; and 1-port PDP discards useful information unnecessarily</w:t>
      </w:r>
      <w:r w:rsidR="00EE49C3">
        <w:t xml:space="preserve">. </w:t>
      </w:r>
      <w:r w:rsidR="00DC2677">
        <w:t>T</w:t>
      </w:r>
      <w:r w:rsidR="00D11707">
        <w:t xml:space="preserve">herefore, Rel-19 </w:t>
      </w:r>
      <w:r w:rsidR="00A03ED0">
        <w:t xml:space="preserve">PDP reports should be based on </w:t>
      </w:r>
      <w:r w:rsidR="00936A15">
        <w:t>PDP samples containing sample powers from all antenna ports.</w:t>
      </w:r>
    </w:p>
    <w:p w14:paraId="5F9FDBA9" w14:textId="39298553" w:rsidR="005A3E0A" w:rsidRDefault="00936A15" w:rsidP="00AE7A2F">
      <w:r>
        <w:t xml:space="preserve">Furthermore, the nonzero </w:t>
      </w:r>
      <w:r w:rsidR="003026AA">
        <w:t xml:space="preserve">value positions of the </w:t>
      </w:r>
      <w:r>
        <w:t>DP report</w:t>
      </w:r>
      <w:r w:rsidR="003026AA">
        <w:t xml:space="preserve"> type</w:t>
      </w:r>
      <w:r>
        <w:t xml:space="preserve"> should be </w:t>
      </w:r>
      <w:r w:rsidR="003026AA">
        <w:t xml:space="preserve">determined based on PDP samples containing sample powers </w:t>
      </w:r>
      <w:r w:rsidR="001C463D" w:rsidRPr="00E215F0">
        <w:t xml:space="preserve">summed </w:t>
      </w:r>
      <w:r w:rsidR="003026AA">
        <w:t>from all</w:t>
      </w:r>
      <w:r w:rsidR="003026AA" w:rsidRPr="00E215F0">
        <w:t xml:space="preserve"> </w:t>
      </w:r>
      <w:r w:rsidR="00B026B0">
        <w:t>RX</w:t>
      </w:r>
      <w:r w:rsidR="003026AA">
        <w:t xml:space="preserve"> antenna ports.</w:t>
      </w:r>
      <w:r w:rsidR="00AE7A2F">
        <w:t xml:space="preserve"> </w:t>
      </w:r>
    </w:p>
    <w:p w14:paraId="723E19FE" w14:textId="360E1212" w:rsidR="005B78DB" w:rsidRPr="00E215F0" w:rsidRDefault="005B78DB" w:rsidP="006F6085">
      <w:r>
        <w:t>Accordingly, definition of DP and PDP measurements in 38.215 should be made according to the above for AI/ML positioning.</w:t>
      </w:r>
    </w:p>
    <w:p w14:paraId="2E583AD2" w14:textId="45BED013" w:rsidR="00A56169" w:rsidRPr="00E215F0" w:rsidRDefault="004023DA" w:rsidP="006F6085">
      <w:pPr>
        <w:pStyle w:val="Proposal"/>
      </w:pPr>
      <w:bookmarkStart w:id="791" w:name="_Toc178961892"/>
      <w:r>
        <w:t>F</w:t>
      </w:r>
      <w:r w:rsidR="009656E9" w:rsidRPr="00E215F0">
        <w:t>or</w:t>
      </w:r>
      <w:r w:rsidR="00956D0A" w:rsidRPr="00E215F0">
        <w:t xml:space="preserve"> </w:t>
      </w:r>
      <w:r w:rsidR="009656E9" w:rsidRPr="00E215F0">
        <w:t>the</w:t>
      </w:r>
      <w:r w:rsidR="00956D0A" w:rsidRPr="00E215F0">
        <w:t xml:space="preserve"> model input types for Case 3b</w:t>
      </w:r>
      <w:r w:rsidR="00401639">
        <w:t xml:space="preserve"> and 3a (if applicable)</w:t>
      </w:r>
      <w:r w:rsidR="004470A6" w:rsidRPr="00E215F0">
        <w:t xml:space="preserve">, consider </w:t>
      </w:r>
      <w:r w:rsidR="00ED090D" w:rsidRPr="00E215F0">
        <w:t xml:space="preserve">input </w:t>
      </w:r>
      <w:r w:rsidR="00956D0A" w:rsidRPr="00E215F0">
        <w:t xml:space="preserve">based on </w:t>
      </w:r>
      <w:r w:rsidR="00ED090D" w:rsidRPr="00E215F0">
        <w:t xml:space="preserve">DP or </w:t>
      </w:r>
      <w:r w:rsidR="00956D0A" w:rsidRPr="00E215F0">
        <w:t xml:space="preserve">PDP samples containing sample powers summed </w:t>
      </w:r>
      <w:r w:rsidR="00B73C94">
        <w:t>over</w:t>
      </w:r>
      <w:r w:rsidR="00956D0A" w:rsidRPr="00E215F0">
        <w:t xml:space="preserve"> all </w:t>
      </w:r>
      <w:r w:rsidR="00B73C94">
        <w:t xml:space="preserve">receive </w:t>
      </w:r>
      <w:r w:rsidR="00956D0A" w:rsidRPr="00E215F0">
        <w:t>antenna ports</w:t>
      </w:r>
      <w:r w:rsidR="00B47DE2">
        <w:t>, i.e., total-power PDP</w:t>
      </w:r>
      <w:r w:rsidR="00956D0A" w:rsidRPr="00E215F0">
        <w:t>.</w:t>
      </w:r>
      <w:bookmarkEnd w:id="791"/>
    </w:p>
    <w:p w14:paraId="3BF0257E" w14:textId="275C5B3F" w:rsidR="0064383C" w:rsidRPr="007F0727" w:rsidRDefault="00D62E7B" w:rsidP="004157FD">
      <w:pPr>
        <w:pStyle w:val="Heading3"/>
      </w:pPr>
      <w:bookmarkStart w:id="792" w:name="_Ref163069502"/>
      <w:bookmarkStart w:id="793" w:name="_Toc165990982"/>
      <w:bookmarkStart w:id="794" w:name="_Toc178961649"/>
      <w:r>
        <w:t>Challenges</w:t>
      </w:r>
      <w:r w:rsidR="00C4462F">
        <w:t xml:space="preserve"> </w:t>
      </w:r>
      <w:r w:rsidR="00731531">
        <w:t xml:space="preserve">of </w:t>
      </w:r>
      <w:r w:rsidR="00F22B90">
        <w:t xml:space="preserve">using </w:t>
      </w:r>
      <w:r w:rsidR="00A34F61">
        <w:t xml:space="preserve">Rel-17 </w:t>
      </w:r>
      <w:r w:rsidR="00996B79">
        <w:t>path</w:t>
      </w:r>
      <w:r w:rsidR="00F63291">
        <w:t>-</w:t>
      </w:r>
      <w:r w:rsidR="0064383C" w:rsidRPr="00A67F60">
        <w:t>based</w:t>
      </w:r>
      <w:r w:rsidR="006A1C2E">
        <w:t xml:space="preserve"> measurement </w:t>
      </w:r>
      <w:r w:rsidR="00306013" w:rsidRPr="00194B5B">
        <w:t>as model input</w:t>
      </w:r>
      <w:bookmarkEnd w:id="792"/>
      <w:bookmarkEnd w:id="793"/>
      <w:bookmarkEnd w:id="794"/>
    </w:p>
    <w:p w14:paraId="0D6771F8" w14:textId="209F9688" w:rsidR="00151D80" w:rsidRDefault="0044334C" w:rsidP="001F46E8">
      <w:r>
        <w:t>W</w:t>
      </w:r>
      <w:r w:rsidR="002760AF">
        <w:t xml:space="preserve">e showed </w:t>
      </w:r>
    </w:p>
    <w:p w14:paraId="4C76BF44" w14:textId="77777777" w:rsidR="00151D80" w:rsidRPr="00194B5B" w:rsidRDefault="00151D80" w:rsidP="00D35F36">
      <w:pPr>
        <w:pStyle w:val="ListParagraph"/>
        <w:numPr>
          <w:ilvl w:val="0"/>
          <w:numId w:val="27"/>
        </w:numPr>
      </w:pPr>
      <w:r w:rsidRPr="00194B5B">
        <w:t>PDP sampled at regular sampling grid points, and</w:t>
      </w:r>
    </w:p>
    <w:p w14:paraId="02947AE2" w14:textId="77777777" w:rsidR="00151D80" w:rsidRPr="00194B5B" w:rsidRDefault="00151D80" w:rsidP="00D35F36">
      <w:pPr>
        <w:pStyle w:val="ListParagraph"/>
        <w:numPr>
          <w:ilvl w:val="0"/>
          <w:numId w:val="27"/>
        </w:numPr>
      </w:pPr>
      <w:r w:rsidRPr="00194B5B">
        <w:t>(revised) RSRPP reports at estimated channel tap delays (not necessarily on the regular sampling grid)</w:t>
      </w:r>
    </w:p>
    <w:p w14:paraId="153AE827" w14:textId="3361171B" w:rsidR="00151D80" w:rsidRPr="00A671B9" w:rsidRDefault="00151D80" w:rsidP="00151D80">
      <w:r w:rsidRPr="00194B5B">
        <w:t xml:space="preserve">are both sub-samples of the </w:t>
      </w:r>
      <w:r w:rsidR="0022163D">
        <w:t xml:space="preserve">time domain </w:t>
      </w:r>
      <w:r w:rsidRPr="00194B5B">
        <w:t xml:space="preserve">PDP samples, there are nonetheless </w:t>
      </w:r>
      <w:r w:rsidR="0022163D">
        <w:t xml:space="preserve">significant </w:t>
      </w:r>
      <w:r w:rsidR="00665437">
        <w:t xml:space="preserve">complexity and </w:t>
      </w:r>
      <w:r w:rsidRPr="00194B5B">
        <w:t xml:space="preserve">statistical </w:t>
      </w:r>
      <w:r w:rsidRPr="00A671B9">
        <w:t>differences between them. Most notably,</w:t>
      </w:r>
    </w:p>
    <w:p w14:paraId="5F431BEF" w14:textId="255EA76A" w:rsidR="00730427" w:rsidRPr="00A671B9" w:rsidRDefault="00151D80" w:rsidP="00D35F36">
      <w:pPr>
        <w:pStyle w:val="ListParagraph"/>
        <w:numPr>
          <w:ilvl w:val="0"/>
          <w:numId w:val="28"/>
        </w:numPr>
      </w:pPr>
      <w:r w:rsidRPr="00A671B9">
        <w:t>PDP sub-samples taken from a regular sampling grid points according to strongest powers are straightforward computation from directly observable TD CIR.</w:t>
      </w:r>
      <w:r w:rsidR="001C5AD8" w:rsidRPr="00A671B9">
        <w:t xml:space="preserve"> </w:t>
      </w:r>
    </w:p>
    <w:p w14:paraId="2EECFDA3" w14:textId="14010DEC" w:rsidR="00960E26" w:rsidRPr="009D6BE6" w:rsidRDefault="0026420F" w:rsidP="0044334C">
      <w:pPr>
        <w:pStyle w:val="ListParagraph"/>
        <w:numPr>
          <w:ilvl w:val="1"/>
          <w:numId w:val="28"/>
        </w:numPr>
      </w:pPr>
      <w:r>
        <w:t>T</w:t>
      </w:r>
      <w:r w:rsidR="00C44BCA" w:rsidRPr="009D6BE6">
        <w:t xml:space="preserve">he </w:t>
      </w:r>
      <w:r>
        <w:t xml:space="preserve">potential </w:t>
      </w:r>
      <w:r w:rsidR="00C44BCA" w:rsidRPr="009D6BE6">
        <w:t xml:space="preserve">ambiguity between </w:t>
      </w:r>
      <w:r w:rsidR="001048F5" w:rsidRPr="009D6BE6">
        <w:t xml:space="preserve">samples collected during </w:t>
      </w:r>
      <w:r w:rsidR="00636FE1" w:rsidRPr="009D6BE6">
        <w:t>data collection/</w:t>
      </w:r>
      <w:r w:rsidR="00A671B9" w:rsidRPr="009D6BE6">
        <w:t>training</w:t>
      </w:r>
      <w:r w:rsidR="00636FE1" w:rsidRPr="009D6BE6">
        <w:t xml:space="preserve"> and </w:t>
      </w:r>
      <w:r w:rsidR="006D434F" w:rsidRPr="009D6BE6">
        <w:t>samples reported for inference</w:t>
      </w:r>
      <w:r>
        <w:t xml:space="preserve"> can be easily removed. A</w:t>
      </w:r>
      <w:r w:rsidR="00B30EC4" w:rsidRPr="009D6BE6">
        <w:rPr>
          <w:rFonts w:hint="eastAsia"/>
        </w:rPr>
        <w:t xml:space="preserve"> procedure can be consistently implemented by the reporting nodes </w:t>
      </w:r>
      <w:r w:rsidR="00B30EC4" w:rsidRPr="00941799">
        <w:t xml:space="preserve">(UE or gNB) </w:t>
      </w:r>
      <w:r w:rsidR="001A1A1A" w:rsidRPr="00941799">
        <w:t>for both</w:t>
      </w:r>
      <w:r w:rsidR="005951BC" w:rsidRPr="00941799">
        <w:t xml:space="preserve"> data collection and </w:t>
      </w:r>
      <w:r w:rsidR="001A1A1A" w:rsidRPr="00941799">
        <w:t>inferenc</w:t>
      </w:r>
      <w:r w:rsidR="00F50D86" w:rsidRPr="00941799">
        <w:t xml:space="preserve">e, if there is a clear requirement </w:t>
      </w:r>
      <w:r w:rsidR="00A671B9" w:rsidRPr="00941799">
        <w:t xml:space="preserve">or selection criteria </w:t>
      </w:r>
      <w:r w:rsidR="00463C2E" w:rsidRPr="00941799">
        <w:t xml:space="preserve">on the power calculation. </w:t>
      </w:r>
      <w:r w:rsidR="00352422" w:rsidRPr="00941799">
        <w:t xml:space="preserve">To secure consistency, a </w:t>
      </w:r>
      <w:r w:rsidR="002D3F2B" w:rsidRPr="00941799">
        <w:t xml:space="preserve">clear </w:t>
      </w:r>
      <w:r w:rsidR="00352422" w:rsidRPr="00941799">
        <w:t>RAN4 requirement on the sample RSRP</w:t>
      </w:r>
      <w:r w:rsidR="00FC2404" w:rsidRPr="00941799">
        <w:t>P</w:t>
      </w:r>
      <w:r w:rsidR="00C205C9" w:rsidRPr="00941799">
        <w:t xml:space="preserve"> should be defined</w:t>
      </w:r>
      <w:r w:rsidR="0090743E" w:rsidRPr="00941799">
        <w:t>, as discussed in Section 2.1.1.2</w:t>
      </w:r>
      <w:r w:rsidR="00C205C9" w:rsidRPr="00941799">
        <w:t xml:space="preserve">. </w:t>
      </w:r>
      <w:r w:rsidR="0090676C" w:rsidRPr="00941799">
        <w:t xml:space="preserve"> Since the </w:t>
      </w:r>
      <w:r w:rsidRPr="00941799">
        <w:t>timing info</w:t>
      </w:r>
      <w:r w:rsidR="0090676C" w:rsidRPr="00941799">
        <w:t xml:space="preserve"> for each </w:t>
      </w:r>
      <w:r w:rsidRPr="00941799">
        <w:t>sample</w:t>
      </w:r>
      <w:r w:rsidR="0090676C" w:rsidRPr="00941799">
        <w:t xml:space="preserve"> is quantized to a predefined sample grid, there is no ambiguity </w:t>
      </w:r>
      <w:r w:rsidR="00960E26" w:rsidRPr="00941799">
        <w:t xml:space="preserve">for the choice of </w:t>
      </w:r>
      <w:r w:rsidRPr="00941799">
        <w:t>sample</w:t>
      </w:r>
      <w:r w:rsidR="00960E26" w:rsidRPr="00941799">
        <w:t xml:space="preserve"> timing. </w:t>
      </w:r>
    </w:p>
    <w:p w14:paraId="7148D268" w14:textId="76C9B1FF" w:rsidR="00151D80" w:rsidRPr="00A671B9" w:rsidRDefault="003B5DC1" w:rsidP="00D35F36">
      <w:pPr>
        <w:pStyle w:val="ListParagraph"/>
        <w:numPr>
          <w:ilvl w:val="0"/>
          <w:numId w:val="28"/>
        </w:numPr>
      </w:pPr>
      <w:r w:rsidRPr="00A671B9">
        <w:t xml:space="preserve">For path based reporting, </w:t>
      </w:r>
      <w:r w:rsidR="00151D80" w:rsidRPr="00A671B9">
        <w:t>RSRPP reports depend heavily on the UE’s capability to estimate the true channel tap delays accurately as well as the UE’s capability to interpolate between directly observable TD CIR samples well.</w:t>
      </w:r>
      <w:r w:rsidR="00043E10" w:rsidRPr="00A671B9">
        <w:t xml:space="preserve"> </w:t>
      </w:r>
    </w:p>
    <w:p w14:paraId="03E78B04" w14:textId="0DB03986" w:rsidR="0022486B" w:rsidRPr="009D6BE6" w:rsidRDefault="005B6255" w:rsidP="00D35F36">
      <w:pPr>
        <w:pStyle w:val="ListParagraph"/>
        <w:numPr>
          <w:ilvl w:val="1"/>
          <w:numId w:val="28"/>
        </w:numPr>
      </w:pPr>
      <w:r w:rsidRPr="009D6BE6">
        <w:lastRenderedPageBreak/>
        <w:t xml:space="preserve">This dependency </w:t>
      </w:r>
      <w:r w:rsidR="008A6C4E" w:rsidRPr="009D6BE6">
        <w:t>in choosing the right path time</w:t>
      </w:r>
      <w:r w:rsidR="00724B8A">
        <w:t>-</w:t>
      </w:r>
      <w:r w:rsidR="008A6C4E" w:rsidRPr="009D6BE6">
        <w:t>of</w:t>
      </w:r>
      <w:r w:rsidR="00724B8A">
        <w:t>-</w:t>
      </w:r>
      <w:r w:rsidR="008A6C4E" w:rsidRPr="009D6BE6">
        <w:t xml:space="preserve">arrival </w:t>
      </w:r>
      <w:r w:rsidRPr="009D6BE6">
        <w:t xml:space="preserve">creates potential ambiguity between </w:t>
      </w:r>
      <w:r w:rsidR="00EE4755" w:rsidRPr="009D6BE6">
        <w:t xml:space="preserve">data collected during training and </w:t>
      </w:r>
      <w:r w:rsidR="00C07193" w:rsidRPr="009D6BE6">
        <w:t xml:space="preserve">reports received during inference. </w:t>
      </w:r>
    </w:p>
    <w:p w14:paraId="02FA2006" w14:textId="121454AA" w:rsidR="00C11665" w:rsidRPr="00FF7598" w:rsidRDefault="00A05F61" w:rsidP="00D35F36">
      <w:pPr>
        <w:pStyle w:val="ListParagraph"/>
        <w:numPr>
          <w:ilvl w:val="0"/>
          <w:numId w:val="28"/>
        </w:numPr>
      </w:pPr>
      <w:r w:rsidRPr="00A671B9">
        <w:t>The Rel-17 path-based</w:t>
      </w:r>
      <w:r w:rsidR="00AF081D" w:rsidRPr="00A671B9">
        <w:t xml:space="preserve"> report</w:t>
      </w:r>
      <w:r w:rsidRPr="00A671B9">
        <w:t>ing</w:t>
      </w:r>
      <w:r w:rsidR="00AF081D" w:rsidRPr="00A671B9">
        <w:t xml:space="preserve"> impose substantially higher computation complexity loads on the measurement nodes to prepare such reports.</w:t>
      </w:r>
    </w:p>
    <w:p w14:paraId="54EB39DF" w14:textId="77777777" w:rsidR="0060126B" w:rsidRPr="00194B5B" w:rsidRDefault="0060126B" w:rsidP="00151D80"/>
    <w:p w14:paraId="163CF479" w14:textId="7B519A15" w:rsidR="00151D80" w:rsidRPr="00194B5B" w:rsidRDefault="00151D80" w:rsidP="002938DE">
      <w:pPr>
        <w:pStyle w:val="Observation"/>
      </w:pPr>
      <w:bookmarkStart w:id="795" w:name="_Toc158978318"/>
      <w:bookmarkStart w:id="796" w:name="_Toc161827820"/>
      <w:bookmarkStart w:id="797" w:name="_Toc178961842"/>
      <w:r w:rsidRPr="00194B5B">
        <w:t xml:space="preserve">While both PDP sub-samples from regular sampling grid points and </w:t>
      </w:r>
      <w:r w:rsidR="00F875A1">
        <w:t>legacy path-based</w:t>
      </w:r>
      <w:r w:rsidRPr="00194B5B">
        <w:t xml:space="preserve">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w:t>
      </w:r>
      <w:bookmarkEnd w:id="795"/>
      <w:bookmarkEnd w:id="796"/>
      <w:r w:rsidR="003537B5">
        <w:t xml:space="preserve"> </w:t>
      </w:r>
      <w:r w:rsidR="00863A2E">
        <w:t xml:space="preserve">The </w:t>
      </w:r>
      <w:r w:rsidR="00577749">
        <w:t>Rel-17 path</w:t>
      </w:r>
      <w:r w:rsidR="00B939EC">
        <w:t xml:space="preserve">-based </w:t>
      </w:r>
      <w:r w:rsidR="00A05F61">
        <w:t>reporting impose substantially higher computation complexity loads on the measurement nodes than the sample-based reporting approach.</w:t>
      </w:r>
      <w:bookmarkEnd w:id="797"/>
    </w:p>
    <w:p w14:paraId="3B7B7490" w14:textId="77777777" w:rsidR="00151D80" w:rsidRPr="00194B5B" w:rsidRDefault="00151D80" w:rsidP="00151D80"/>
    <w:p w14:paraId="0A339168" w14:textId="179A7243" w:rsidR="00151D80" w:rsidRPr="00194B5B" w:rsidRDefault="00151D80" w:rsidP="00151D80">
      <w:r w:rsidRPr="00194B5B">
        <w:t>AI/ML models taking PDP sub-samples from a regular sampling grid points according to strongest powers had been extensively studied by the majority of sources during the SI phase as evidently documented in the TR 38.843. On the other hand, there has been no systematic study on the use of (off-grid) RSRPP reports as AI/ML model inputs in 3GPP. Particularly, the issues of accurate modeling of UE’s channel estimation and interpolation capabilities should be studied to check the feasibility of using such reports as AI/ML model inputs. At the minimum, the reported delays should be from an actual tap delay estimator operating at the correct SNR. For instance, a UE is not expected to find as accurate or as many tap delays for a low SNR (e.g., -5 dB) link to a far</w:t>
      </w:r>
      <w:r w:rsidR="008F2990">
        <w:t>-</w:t>
      </w:r>
      <w:r w:rsidRPr="00194B5B">
        <w:t xml:space="preserve">away TRP than for a high SNR (e.g., 30 dB) link to a close-by TRP. </w:t>
      </w:r>
      <w:r w:rsidR="008F2990">
        <w:t>Moreover, the configured reference signal (PRS or SRS) bandwidth is inversely related to the path timing detection accuracy, i.e., it significantly affects the achievable accuracy of the reported delays. Thus, w</w:t>
      </w:r>
      <w:r w:rsidRPr="00194B5B">
        <w:t>ithout correct modeling</w:t>
      </w:r>
      <w:r w:rsidR="008F2990">
        <w:t xml:space="preserve"> of reference signal detection at the receiver</w:t>
      </w:r>
      <w:r w:rsidRPr="00194B5B">
        <w:t>, the performance of (off-grid) RSRPP reports as AI/ML model inputs can be exaggerated and there will be model input distributional mismatch between training and inference phases.</w:t>
      </w:r>
    </w:p>
    <w:p w14:paraId="775DF521" w14:textId="77777777" w:rsidR="00151D80" w:rsidRPr="00194B5B" w:rsidRDefault="00151D80" w:rsidP="00151D80"/>
    <w:p w14:paraId="6A91F596" w14:textId="77777777" w:rsidR="00151D80" w:rsidRPr="00194B5B" w:rsidRDefault="00151D80" w:rsidP="002938DE">
      <w:pPr>
        <w:pStyle w:val="Observation"/>
      </w:pPr>
      <w:bookmarkStart w:id="798" w:name="_Toc161827821"/>
      <w:bookmarkStart w:id="799" w:name="_Toc178961843"/>
      <w:r w:rsidRPr="00194B5B">
        <w:t>There has been no systematic study on the use of (off-grid) RSRPP reports as AI/ML model inputs in 3GPP. Without correct modeling of UE channel estimation and interpolation capabilities, the performance of (off-grid) RSRPP reports as AI/ML model inputs can be exaggerated.</w:t>
      </w:r>
      <w:bookmarkEnd w:id="798"/>
      <w:bookmarkEnd w:id="799"/>
      <w:r w:rsidRPr="00194B5B">
        <w:t xml:space="preserve"> </w:t>
      </w:r>
    </w:p>
    <w:p w14:paraId="7C876C68" w14:textId="77777777" w:rsidR="00151D80" w:rsidRPr="00194B5B" w:rsidRDefault="00151D80" w:rsidP="002938DE">
      <w:pPr>
        <w:pStyle w:val="Observation"/>
      </w:pPr>
      <w:bookmarkStart w:id="800" w:name="_Toc161827822"/>
      <w:bookmarkStart w:id="801" w:name="_Toc178961844"/>
      <w:r w:rsidRPr="00194B5B">
        <w:t>If the UE receiver implementation issues are not studied, there will be model input distributional mismatch between training and inference phases, when different UEs with different receiver implementation are used in training vs inference.</w:t>
      </w:r>
      <w:bookmarkEnd w:id="800"/>
      <w:bookmarkEnd w:id="801"/>
    </w:p>
    <w:p w14:paraId="7256C7B7" w14:textId="77777777" w:rsidR="00151D80" w:rsidRPr="00194B5B" w:rsidRDefault="00151D80" w:rsidP="00151D80"/>
    <w:p w14:paraId="102A1DCE" w14:textId="77777777" w:rsidR="00BD3D8A" w:rsidRPr="00194B5B" w:rsidRDefault="00BD3D8A" w:rsidP="002938DE">
      <w:pPr>
        <w:pStyle w:val="Proposal"/>
      </w:pPr>
      <w:bookmarkStart w:id="802" w:name="_Toc178961893"/>
      <w:r>
        <w:t xml:space="preserve">When </w:t>
      </w:r>
      <w:r w:rsidRPr="00194B5B">
        <w:t>stud</w:t>
      </w:r>
      <w:r>
        <w:t>ying</w:t>
      </w:r>
      <w:r w:rsidRPr="00194B5B">
        <w:t xml:space="preserve"> the feasibility of (off-grid) RSRPP reports as AI/ML model inputs</w:t>
      </w:r>
      <w:r>
        <w:t>, the investigation should</w:t>
      </w:r>
      <w:r w:rsidRPr="00194B5B">
        <w:t xml:space="preserve"> </w:t>
      </w:r>
      <w:r>
        <w:t xml:space="preserve">be </w:t>
      </w:r>
      <w:r w:rsidRPr="00194B5B">
        <w:t>based on at least realistic modeling of UE’s channel estimation capabilities. The reported per-path delays should be from an actual path delay estimator operating at the correct SNR.</w:t>
      </w:r>
      <w:bookmarkEnd w:id="802"/>
    </w:p>
    <w:p w14:paraId="3AC634A3" w14:textId="77777777" w:rsidR="00BD3D8A" w:rsidRDefault="00BD3D8A" w:rsidP="00BD3D8A"/>
    <w:p w14:paraId="0638B417" w14:textId="77777777" w:rsidR="00151D80" w:rsidRPr="00194B5B" w:rsidRDefault="00151D80" w:rsidP="00151D80">
      <w:r w:rsidRPr="00194B5B">
        <w:t xml:space="preserve">In legacy measurement report of RSRPP together with per-path delay, there was no requirement on how to determine the reported values. Thus, different UE implementations are likely to produce different {per-path delay, per-path power} for a same radio channel. The observed channel measurement is the composite result of transmitter, radio channel, and receiver. Even if the transmitter and the radio channel stay constant, the UE receiver implementation differences will cause the observed channel measurements to vary from UE to UE. This causes the fingerprint of the radio channels of a given location to vary from UE to UE. </w:t>
      </w:r>
    </w:p>
    <w:p w14:paraId="48618C87" w14:textId="77777777" w:rsidR="00151D80" w:rsidRPr="00194B5B" w:rsidRDefault="00151D80" w:rsidP="00151D80">
      <w:r w:rsidRPr="00194B5B">
        <w:t xml:space="preserve">Consider the simplified example, where model training of LMF-side model uses channel measurements produced by UE#1, and model inference uses channel measurements from UE#2 to determine UE#2 location. If the radio channel fingerprint is different between UE#1 and UE#2 for a same location due to different UE receiver implementation, the LMF-side model cannot be expected to find the correct location for UE#2. </w:t>
      </w:r>
    </w:p>
    <w:p w14:paraId="0F56FC88" w14:textId="59C4F469" w:rsidR="006E57E7" w:rsidRDefault="006E57E7" w:rsidP="006E57E7">
      <w:r>
        <w:t>In the remaining of this section, we present extensive investigation on the following issues when comparing sample-based and path-based signaling:</w:t>
      </w:r>
    </w:p>
    <w:p w14:paraId="1722B497" w14:textId="16A3D84E" w:rsidR="006E57E7" w:rsidRPr="006A7D3B" w:rsidRDefault="006E57E7" w:rsidP="00D35F36">
      <w:pPr>
        <w:pStyle w:val="ListParagraph"/>
        <w:numPr>
          <w:ilvl w:val="0"/>
          <w:numId w:val="51"/>
        </w:numPr>
      </w:pPr>
      <w:r>
        <w:lastRenderedPageBreak/>
        <w:t xml:space="preserve">Measurement node </w:t>
      </w:r>
      <w:r w:rsidR="00E13E40">
        <w:t xml:space="preserve">receiver </w:t>
      </w:r>
      <w:r>
        <w:t>complexity</w:t>
      </w:r>
      <w:r w:rsidR="003213A0">
        <w:t xml:space="preserve"> (section </w:t>
      </w:r>
      <w:r w:rsidR="00500110">
        <w:fldChar w:fldCharType="begin"/>
      </w:r>
      <w:r w:rsidR="00500110">
        <w:instrText xml:space="preserve"> REF _Ref163068287 \r </w:instrText>
      </w:r>
      <w:r w:rsidR="00500110">
        <w:fldChar w:fldCharType="separate"/>
      </w:r>
      <w:r w:rsidR="00850DA1">
        <w:t>3.1.2.1</w:t>
      </w:r>
      <w:r w:rsidR="00500110">
        <w:fldChar w:fldCharType="end"/>
      </w:r>
      <w:r w:rsidR="003213A0">
        <w:t xml:space="preserve">) </w:t>
      </w:r>
    </w:p>
    <w:p w14:paraId="2976CDC3" w14:textId="7868FA20" w:rsidR="006E57E7" w:rsidRPr="00E76B01" w:rsidRDefault="006E57E7" w:rsidP="00D35F36">
      <w:pPr>
        <w:pStyle w:val="ListParagraph"/>
        <w:numPr>
          <w:ilvl w:val="0"/>
          <w:numId w:val="51"/>
        </w:numPr>
      </w:pPr>
      <w:r>
        <w:t>ML model robustness with measurement reports from different measurement nodes</w:t>
      </w:r>
      <w:r w:rsidR="003213A0">
        <w:t xml:space="preserve"> (section </w:t>
      </w:r>
      <w:r w:rsidR="00500110">
        <w:fldChar w:fldCharType="begin"/>
      </w:r>
      <w:r w:rsidR="00500110">
        <w:instrText xml:space="preserve"> REF _Ref163068290 \r </w:instrText>
      </w:r>
      <w:r w:rsidR="00500110">
        <w:fldChar w:fldCharType="separate"/>
      </w:r>
      <w:r w:rsidR="00850DA1">
        <w:t>3.1.2.2</w:t>
      </w:r>
      <w:r w:rsidR="00500110">
        <w:fldChar w:fldCharType="end"/>
      </w:r>
      <w:r w:rsidR="003213A0">
        <w:t>)</w:t>
      </w:r>
    </w:p>
    <w:p w14:paraId="7AEB4589" w14:textId="2578E320" w:rsidR="00935D46" w:rsidRPr="006A7D3B" w:rsidRDefault="00935D46" w:rsidP="00D35F36">
      <w:pPr>
        <w:pStyle w:val="ListParagraph"/>
        <w:numPr>
          <w:ilvl w:val="0"/>
          <w:numId w:val="51"/>
        </w:numPr>
      </w:pPr>
      <w:r>
        <w:t xml:space="preserve">Measurement node bandwidth </w:t>
      </w:r>
      <w:r w:rsidR="00E13E40">
        <w:t xml:space="preserve">processing </w:t>
      </w:r>
      <w:r>
        <w:t>capabilities</w:t>
      </w:r>
      <w:r w:rsidR="003213A0">
        <w:t xml:space="preserve"> (section </w:t>
      </w:r>
      <w:r w:rsidR="00500110">
        <w:fldChar w:fldCharType="begin"/>
      </w:r>
      <w:r w:rsidR="00500110">
        <w:instrText xml:space="preserve"> REF _Ref163068296 \r </w:instrText>
      </w:r>
      <w:r w:rsidR="00500110">
        <w:fldChar w:fldCharType="separate"/>
      </w:r>
      <w:r w:rsidR="00850DA1">
        <w:t>3.1.2.3</w:t>
      </w:r>
      <w:r w:rsidR="00500110">
        <w:fldChar w:fldCharType="end"/>
      </w:r>
      <w:r w:rsidR="003213A0">
        <w:t>)</w:t>
      </w:r>
    </w:p>
    <w:p w14:paraId="5EF2453C" w14:textId="1753153C" w:rsidR="006E57E7" w:rsidRDefault="006E57E7" w:rsidP="00D35F36">
      <w:pPr>
        <w:pStyle w:val="ListParagraph"/>
        <w:numPr>
          <w:ilvl w:val="0"/>
          <w:numId w:val="51"/>
        </w:numPr>
      </w:pPr>
      <w:r>
        <w:t>Positioning accuracy vs signaling size tradeoff</w:t>
      </w:r>
      <w:r w:rsidR="003213A0">
        <w:t xml:space="preserve"> (section </w:t>
      </w:r>
      <w:r w:rsidR="00500110">
        <w:fldChar w:fldCharType="begin"/>
      </w:r>
      <w:r w:rsidR="00500110">
        <w:instrText xml:space="preserve"> REF _Ref163068298 \r </w:instrText>
      </w:r>
      <w:r w:rsidR="00500110">
        <w:fldChar w:fldCharType="separate"/>
      </w:r>
      <w:r w:rsidR="00850DA1">
        <w:t>3.1.2.5</w:t>
      </w:r>
      <w:r w:rsidR="00500110">
        <w:fldChar w:fldCharType="end"/>
      </w:r>
      <w:r w:rsidR="003213A0">
        <w:t>)</w:t>
      </w:r>
    </w:p>
    <w:p w14:paraId="73335498" w14:textId="5AAA043A" w:rsidR="00AA2A24" w:rsidRPr="00394268" w:rsidRDefault="006F1ADE" w:rsidP="004157FD">
      <w:pPr>
        <w:pStyle w:val="Heading4"/>
      </w:pPr>
      <w:bookmarkStart w:id="803" w:name="_Ref163068287"/>
      <w:bookmarkStart w:id="804" w:name="_Ref163037168"/>
      <w:bookmarkStart w:id="805" w:name="_Toc165990983"/>
      <w:bookmarkStart w:id="806" w:name="_Toc178961650"/>
      <w:r>
        <w:t>High receiver c</w:t>
      </w:r>
      <w:r w:rsidR="00AA2A24">
        <w:t xml:space="preserve">omplexity </w:t>
      </w:r>
      <w:r w:rsidR="003213A0">
        <w:t>with</w:t>
      </w:r>
      <w:r w:rsidR="00AA2A24">
        <w:t xml:space="preserve"> path-based </w:t>
      </w:r>
      <w:r w:rsidR="00A5582B">
        <w:t>measurement</w:t>
      </w:r>
      <w:bookmarkEnd w:id="803"/>
      <w:bookmarkEnd w:id="804"/>
      <w:bookmarkEnd w:id="805"/>
      <w:bookmarkEnd w:id="806"/>
    </w:p>
    <w:p w14:paraId="6C3ED6C6" w14:textId="14C5B1ED" w:rsidR="008D24F5" w:rsidRDefault="00A47AE2" w:rsidP="001F46E8">
      <w:r>
        <w:t>For</w:t>
      </w:r>
      <w:r w:rsidR="00A9660F">
        <w:t xml:space="preserve"> direct sample</w:t>
      </w:r>
      <w:r w:rsidR="00F63291">
        <w:t>-</w:t>
      </w:r>
      <w:r w:rsidR="00A9660F">
        <w:t>based reporting</w:t>
      </w:r>
      <w:r>
        <w:t>,</w:t>
      </w:r>
      <w:r w:rsidR="00A9660F">
        <w:t xml:space="preserve"> </w:t>
      </w:r>
      <w:r>
        <w:t>a</w:t>
      </w:r>
      <w:r w:rsidR="00BA3E75">
        <w:t xml:space="preserve">s illustrated in </w:t>
      </w:r>
      <w:r w:rsidR="0070113F">
        <w:t xml:space="preserve">the upper branch of </w:t>
      </w:r>
      <w:r w:rsidR="00521D8A">
        <w:fldChar w:fldCharType="begin"/>
      </w:r>
      <w:r w:rsidR="00521D8A">
        <w:instrText xml:space="preserve"> REF _Ref162357902 \h </w:instrText>
      </w:r>
      <w:r w:rsidR="00521D8A">
        <w:fldChar w:fldCharType="separate"/>
      </w:r>
      <w:r w:rsidR="00850DA1" w:rsidRPr="00E215F0">
        <w:t xml:space="preserve">Figure </w:t>
      </w:r>
      <w:r w:rsidR="00850DA1">
        <w:rPr>
          <w:noProof/>
        </w:rPr>
        <w:t>7</w:t>
      </w:r>
      <w:r w:rsidR="00521D8A">
        <w:fldChar w:fldCharType="end"/>
      </w:r>
      <w:r w:rsidR="0070113F">
        <w:t>, the receiver</w:t>
      </w:r>
      <w:r w:rsidR="00521D8A">
        <w:t xml:space="preserve"> performs common and low complexity processing of the received reference symbols to generate the </w:t>
      </w:r>
      <w:r w:rsidR="007C7C43">
        <w:t>reporting samples.</w:t>
      </w:r>
      <w:r w:rsidR="00BA3E75">
        <w:t xml:space="preserve"> </w:t>
      </w:r>
    </w:p>
    <w:p w14:paraId="78FB8285" w14:textId="7435EF83" w:rsidR="004272D4" w:rsidRPr="00DA58A1" w:rsidRDefault="007C7C43" w:rsidP="004272D4">
      <w:r>
        <w:t xml:space="preserve">In contrast, the Rel-17 path-based reporting requires the receiver to perform </w:t>
      </w:r>
      <w:r w:rsidR="00AA1C83">
        <w:t xml:space="preserve">additional high complexity </w:t>
      </w:r>
      <w:r w:rsidR="0090599A">
        <w:t xml:space="preserve">processing of the received signals. </w:t>
      </w:r>
      <w:r w:rsidR="00DF0AF3">
        <w:t xml:space="preserve">Because the locations of the true channel </w:t>
      </w:r>
      <w:r w:rsidR="00101B55">
        <w:t>taps</w:t>
      </w:r>
      <w:r w:rsidR="00DF0AF3">
        <w:t xml:space="preserve"> are not directly observable, </w:t>
      </w:r>
      <w:r w:rsidR="004272D4">
        <w:t xml:space="preserve">their estimates can be obtained by </w:t>
      </w:r>
      <w:r w:rsidR="0076742A">
        <w:t xml:space="preserve">employing </w:t>
      </w:r>
      <w:r w:rsidR="00BE26EE">
        <w:t xml:space="preserve">a </w:t>
      </w:r>
      <w:r w:rsidR="0076742A">
        <w:t xml:space="preserve">path searcher and </w:t>
      </w:r>
      <w:r w:rsidR="004272D4">
        <w:t>channel estimator. In general, a</w:t>
      </w:r>
      <w:r w:rsidR="004272D4" w:rsidRPr="00DA58A1">
        <w:t xml:space="preserve"> </w:t>
      </w:r>
      <w:r w:rsidR="004272D4" w:rsidRPr="00BE26EE">
        <w:t xml:space="preserve">channel estimator </w:t>
      </w:r>
      <w:r w:rsidR="004272D4" w:rsidRPr="00DA58A1">
        <w:t xml:space="preserve">searches </w:t>
      </w:r>
      <m:oMath>
        <m:acc>
          <m:accPr>
            <m:ctrlPr>
              <w:rPr>
                <w:rFonts w:ascii="Cambria Math" w:hAnsi="Cambria Math"/>
                <w:i/>
              </w:rPr>
            </m:ctrlPr>
          </m:accPr>
          <m:e>
            <m:r>
              <w:rPr>
                <w:rFonts w:ascii="Cambria Math" w:hAnsi="Cambria Math"/>
              </w:rPr>
              <m:t>L</m:t>
            </m:r>
          </m:e>
        </m:acc>
      </m:oMath>
      <w:r w:rsidR="004272D4" w:rsidRPr="00DA58A1">
        <w:t xml:space="preserve"> estimated paths with complex gains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d>
          </m:e>
          <m:sub>
            <m:r>
              <w:rPr>
                <w:rFonts w:ascii="Cambria Math" w:hAnsi="Cambria Math"/>
              </w:rPr>
              <m:t>l</m:t>
            </m:r>
          </m:sub>
        </m:sSub>
      </m:oMath>
      <w:r w:rsidR="004272D4" w:rsidRPr="00DA58A1">
        <w:t xml:space="preserve"> and delays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oMath>
      <w:r w:rsidR="004272D4" w:rsidRPr="00DA58A1">
        <w:t xml:space="preserve"> to minimize the differences to the measured FD C</w:t>
      </w:r>
      <w:r w:rsidR="005A4960">
        <w:t>I</w:t>
      </w:r>
      <w:r w:rsidR="004272D4" w:rsidRPr="00DA58A1">
        <w:t>R samples:</w:t>
      </w:r>
    </w:p>
    <w:p w14:paraId="63CB14BC" w14:textId="77777777" w:rsidR="004272D4" w:rsidRPr="00DA58A1" w:rsidRDefault="009C13C0"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k</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e>
                      </m:d>
                    </m:e>
                    <m:sup>
                      <m:r>
                        <w:rPr>
                          <w:rFonts w:ascii="Cambria Math" w:hAnsi="Cambria Math"/>
                        </w:rPr>
                        <m:t>2</m:t>
                      </m:r>
                    </m:sup>
                  </m:sSup>
                </m:e>
              </m:nary>
            </m:e>
          </m:func>
        </m:oMath>
      </m:oMathPara>
    </w:p>
    <w:p w14:paraId="00E76A36" w14:textId="77777777" w:rsidR="004272D4" w:rsidRPr="00DA58A1" w:rsidRDefault="004272D4" w:rsidP="004272D4">
      <w:r w:rsidRPr="00DA58A1">
        <w:t>or to minimize the differences to the measured TD CIR samples:</w:t>
      </w:r>
    </w:p>
    <w:p w14:paraId="48E23B09" w14:textId="72542874" w:rsidR="004272D4" w:rsidRPr="00DA58A1" w:rsidRDefault="009C13C0"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d</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d>
                    </m:e>
                    <m:sup>
                      <m:r>
                        <w:rPr>
                          <w:rFonts w:ascii="Cambria Math" w:hAnsi="Cambria Math"/>
                        </w:rPr>
                        <m:t>2</m:t>
                      </m:r>
                    </m:sup>
                  </m:sSup>
                </m:e>
              </m:nary>
            </m:e>
          </m:func>
        </m:oMath>
      </m:oMathPara>
    </w:p>
    <w:p w14:paraId="625F9832" w14:textId="495C8D78" w:rsidR="00F90051" w:rsidRDefault="005349D2" w:rsidP="001F46E8">
      <w:r>
        <w:t>The estimated complex gains and delays are then used to interpolate</w:t>
      </w:r>
      <w:r w:rsidR="00E64727">
        <w:t xml:space="preserve"> into the channel responses </w:t>
      </w:r>
      <w:r w:rsidR="0019578F">
        <w:t xml:space="preserve">as </w:t>
      </w:r>
      <w:r w:rsidR="00E64727">
        <w:t>required by the Rel-17 RAN4 path definition:</w:t>
      </w:r>
    </w:p>
    <w:p w14:paraId="637EA7E5" w14:textId="607848B6" w:rsidR="000744D0" w:rsidRDefault="009C13C0" w:rsidP="001F46E8">
      <m:oMathPara>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e>
          </m:d>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oMath>
      </m:oMathPara>
    </w:p>
    <w:p w14:paraId="748E1B9B" w14:textId="4B85AD8B" w:rsidR="00BD33D2" w:rsidRDefault="00A2519D" w:rsidP="001F46E8">
      <w:r>
        <w:t>Clearly</w:t>
      </w:r>
      <w:r w:rsidR="005C1C8E">
        <w:t xml:space="preserve">, this is a set of much more computationally intensive </w:t>
      </w:r>
      <w:r w:rsidR="00F532F2">
        <w:t>workload</w:t>
      </w:r>
      <w:r w:rsidR="005C1C8E">
        <w:t xml:space="preserve"> than simply truncating or selecting the sample</w:t>
      </w:r>
      <w:r>
        <w:t>s with highest powers</w:t>
      </w:r>
      <w:r w:rsidR="00266C06">
        <w:t xml:space="preserve"> for the </w:t>
      </w:r>
      <w:r w:rsidR="00A44424">
        <w:t>sample-based</w:t>
      </w:r>
      <w:r w:rsidR="00266C06">
        <w:t xml:space="preserve"> reporting approach</w:t>
      </w:r>
      <w:r>
        <w:t>.</w:t>
      </w:r>
    </w:p>
    <w:p w14:paraId="5806DE71" w14:textId="77777777" w:rsidR="00A134EB" w:rsidRDefault="00A134EB" w:rsidP="001F46E8"/>
    <w:p w14:paraId="6AD7D35E" w14:textId="2E58BB8D" w:rsidR="00BD33D2" w:rsidRDefault="000F510A" w:rsidP="00B05629">
      <w:pPr>
        <w:jc w:val="center"/>
      </w:pPr>
      <w:r>
        <w:rPr>
          <w:noProof/>
        </w:rPr>
        <w:drawing>
          <wp:inline distT="0" distB="0" distL="0" distR="0" wp14:anchorId="6672B3D8" wp14:editId="2D11346B">
            <wp:extent cx="5769864" cy="182880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9864" cy="1828800"/>
                    </a:xfrm>
                    <a:prstGeom prst="rect">
                      <a:avLst/>
                    </a:prstGeom>
                    <a:noFill/>
                  </pic:spPr>
                </pic:pic>
              </a:graphicData>
            </a:graphic>
          </wp:inline>
        </w:drawing>
      </w:r>
    </w:p>
    <w:p w14:paraId="2EF5C42D" w14:textId="4924FEEE" w:rsidR="00052BF4" w:rsidRDefault="00052BF4" w:rsidP="00052BF4">
      <w:pPr>
        <w:pStyle w:val="Caption"/>
        <w:rPr>
          <w:lang w:eastAsia="ja-JP"/>
        </w:rPr>
      </w:pPr>
      <w:bookmarkStart w:id="807" w:name="_Ref162357902"/>
      <w:r w:rsidRPr="00E215F0">
        <w:t xml:space="preserve">Figure </w:t>
      </w:r>
      <w:r w:rsidR="00500110">
        <w:fldChar w:fldCharType="begin"/>
      </w:r>
      <w:r w:rsidR="00500110">
        <w:instrText xml:space="preserve"> SEQ Figure \* ARABIC </w:instrText>
      </w:r>
      <w:r w:rsidR="00500110">
        <w:fldChar w:fldCharType="separate"/>
      </w:r>
      <w:r w:rsidR="00850DA1">
        <w:rPr>
          <w:noProof/>
        </w:rPr>
        <w:t>7</w:t>
      </w:r>
      <w:r w:rsidR="00500110">
        <w:rPr>
          <w:noProof/>
        </w:rPr>
        <w:fldChar w:fldCharType="end"/>
      </w:r>
      <w:bookmarkEnd w:id="807"/>
      <w:r>
        <w:t xml:space="preserve"> Receiver processing</w:t>
      </w:r>
      <w:r w:rsidR="0070113F">
        <w:t xml:space="preserve"> flow</w:t>
      </w:r>
      <w:r>
        <w:t xml:space="preserve"> </w:t>
      </w:r>
      <w:r w:rsidR="008D24F5">
        <w:t>comparison between</w:t>
      </w:r>
      <w:r w:rsidR="00EB5A4E">
        <w:t xml:space="preserve"> direct</w:t>
      </w:r>
      <w:r w:rsidR="008D24F5">
        <w:t xml:space="preserve"> sample</w:t>
      </w:r>
      <w:r w:rsidR="00F63291">
        <w:t>-</w:t>
      </w:r>
      <w:r w:rsidR="00EB5A4E">
        <w:t xml:space="preserve">based reporting and Rel-17 </w:t>
      </w:r>
      <w:r w:rsidR="008D24F5">
        <w:t>path</w:t>
      </w:r>
      <w:r w:rsidR="00F63291">
        <w:t>-</w:t>
      </w:r>
      <w:r w:rsidR="008D24F5">
        <w:t>based reporting schemes</w:t>
      </w:r>
      <w:r w:rsidRPr="00E215F0">
        <w:t>.</w:t>
      </w:r>
    </w:p>
    <w:p w14:paraId="1A1F4DA4" w14:textId="77777777" w:rsidR="006B4571" w:rsidRDefault="006B4571" w:rsidP="001F46E8"/>
    <w:p w14:paraId="47F3C564" w14:textId="66548621" w:rsidR="00A134EB" w:rsidRDefault="00A134EB" w:rsidP="00A134EB">
      <w:r>
        <w:lastRenderedPageBreak/>
        <w:t xml:space="preserve">Furthermore, in order to control the computational complexity, channel estimation algorithms from different vendors are </w:t>
      </w:r>
      <w:r w:rsidR="006A6AF3">
        <w:t xml:space="preserve">expected to be </w:t>
      </w:r>
      <w:r>
        <w:t>different based on the respective tradeoff between the target channel estimate accuracy and hardware/software computation constraints. The following lists a few design choice dimensions:</w:t>
      </w:r>
    </w:p>
    <w:p w14:paraId="6DE86A9D" w14:textId="77777777" w:rsidR="00A134EB" w:rsidRPr="00885028" w:rsidRDefault="00A134EB" w:rsidP="00D35F36">
      <w:pPr>
        <w:pStyle w:val="ListParagraph"/>
        <w:numPr>
          <w:ilvl w:val="0"/>
          <w:numId w:val="47"/>
        </w:numPr>
      </w:pPr>
      <w:r>
        <w:t>Sophistication level of noise floor estimation</w:t>
      </w:r>
    </w:p>
    <w:p w14:paraId="084EE859" w14:textId="77777777" w:rsidR="00A134EB" w:rsidRPr="002E409D" w:rsidRDefault="00A134EB" w:rsidP="00D35F36">
      <w:pPr>
        <w:pStyle w:val="ListParagraph"/>
        <w:numPr>
          <w:ilvl w:val="0"/>
          <w:numId w:val="47"/>
        </w:numPr>
      </w:pPr>
      <w:r>
        <w:t>Iterative or one-shot estimation</w:t>
      </w:r>
    </w:p>
    <w:p w14:paraId="5634539B" w14:textId="77777777" w:rsidR="00A134EB" w:rsidRPr="0035560F" w:rsidRDefault="00A134EB" w:rsidP="00D35F36">
      <w:pPr>
        <w:pStyle w:val="ListParagraph"/>
        <w:numPr>
          <w:ilvl w:val="0"/>
          <w:numId w:val="47"/>
        </w:numPr>
      </w:pPr>
      <w:r>
        <w:t>Successive cancellation of found paths</w:t>
      </w:r>
    </w:p>
    <w:p w14:paraId="307840C5" w14:textId="77777777" w:rsidR="00A134EB" w:rsidRPr="00514083" w:rsidRDefault="00A134EB" w:rsidP="00D35F36">
      <w:pPr>
        <w:pStyle w:val="ListParagraph"/>
        <w:numPr>
          <w:ilvl w:val="0"/>
          <w:numId w:val="47"/>
        </w:numPr>
      </w:pPr>
      <w:r>
        <w:t>Linear or nonlinear estimation</w:t>
      </w:r>
    </w:p>
    <w:p w14:paraId="105988C8" w14:textId="77777777" w:rsidR="00A134EB" w:rsidRDefault="00A134EB" w:rsidP="00D35F36">
      <w:pPr>
        <w:pStyle w:val="ListParagraph"/>
        <w:numPr>
          <w:ilvl w:val="0"/>
          <w:numId w:val="47"/>
        </w:numPr>
      </w:pPr>
      <w:r>
        <w:t>How much super-resolution is employed</w:t>
      </w:r>
    </w:p>
    <w:p w14:paraId="4D6F0DB3" w14:textId="4D97F8C3" w:rsidR="00A134EB" w:rsidRDefault="006A6AF3" w:rsidP="001F46E8">
      <w:r>
        <w:t xml:space="preserve">In short, the channel estimation algorithm is up to implementation; alignment among all vendors is </w:t>
      </w:r>
      <w:r w:rsidR="00E952BC">
        <w:t xml:space="preserve">not </w:t>
      </w:r>
      <w:r w:rsidR="008B546F">
        <w:t>possible</w:t>
      </w:r>
      <w:r>
        <w:t xml:space="preserve">. </w:t>
      </w:r>
      <w:r w:rsidR="003D0D3A">
        <w:t xml:space="preserve">It is then questionable that an ML model trained with the path-based reports from one channel estimation algorithm </w:t>
      </w:r>
      <w:r w:rsidR="00F23D1D">
        <w:t>can perform as reliably</w:t>
      </w:r>
      <w:r w:rsidR="00396753">
        <w:t xml:space="preserve"> when used on path-based reports from a different channel estimation algorithm.</w:t>
      </w:r>
    </w:p>
    <w:p w14:paraId="1BF921AC" w14:textId="674C6A1C" w:rsidR="00FD795B" w:rsidRDefault="0017734E" w:rsidP="00FD795B">
      <w:r>
        <w:t>The effect of using t</w:t>
      </w:r>
      <w:r w:rsidR="00A35B31">
        <w:t xml:space="preserve">wo </w:t>
      </w:r>
      <w:r w:rsidR="00112697">
        <w:t>specific realization</w:t>
      </w:r>
      <w:r w:rsidR="00A35B31">
        <w:t xml:space="preserve">s of channel estimator </w:t>
      </w:r>
      <w:r w:rsidR="00112697">
        <w:t xml:space="preserve">is provided in </w:t>
      </w:r>
      <w:r w:rsidR="00112697">
        <w:fldChar w:fldCharType="begin"/>
      </w:r>
      <w:r w:rsidR="00112697">
        <w:instrText xml:space="preserve"> REF _Ref162361332 \h </w:instrText>
      </w:r>
      <w:r w:rsidR="00112697">
        <w:fldChar w:fldCharType="separate"/>
      </w:r>
      <w:r w:rsidR="00850DA1" w:rsidRPr="00E215F0">
        <w:t xml:space="preserve">Figure </w:t>
      </w:r>
      <w:r w:rsidR="00850DA1">
        <w:rPr>
          <w:noProof/>
        </w:rPr>
        <w:t>8</w:t>
      </w:r>
      <w:r w:rsidR="00112697">
        <w:fldChar w:fldCharType="end"/>
      </w:r>
      <w:r w:rsidR="00294DCF">
        <w:t xml:space="preserve"> to further the robustness discussion. </w:t>
      </w:r>
      <w:r>
        <w:t>In this example, t</w:t>
      </w:r>
      <w:r w:rsidR="00294DCF">
        <w:t>he true channel tap locations are</w:t>
      </w:r>
    </w:p>
    <w:p w14:paraId="3F8D7BAE" w14:textId="4568E757" w:rsidR="00FD795B" w:rsidRDefault="00A35B31" w:rsidP="00294DCF">
      <w:pPr>
        <w:jc w:val="center"/>
      </w:pPr>
      <w:r>
        <w:t>[</w:t>
      </w:r>
      <w:r w:rsidR="00FD795B">
        <w:t>35.8, 39.6, 42.7, 42.8, 46.6, 48.3, 52.5, 52.6, 53.1, 54.5, 54.7, 56.7, 60.4, 62.9, 64.7, 66.2, 73.6</w:t>
      </w:r>
      <w:r>
        <w:t>].</w:t>
      </w:r>
    </w:p>
    <w:p w14:paraId="496C5EB0" w14:textId="0B164D5A" w:rsidR="00C85E5F" w:rsidRDefault="0017734E" w:rsidP="00FD795B">
      <w:r>
        <w:t xml:space="preserve">Two channel estimators are applied to the same channel in </w:t>
      </w:r>
      <w:r>
        <w:fldChar w:fldCharType="begin"/>
      </w:r>
      <w:r>
        <w:instrText xml:space="preserve"> REF _Ref162361332 \h </w:instrText>
      </w:r>
      <w:r>
        <w:fldChar w:fldCharType="separate"/>
      </w:r>
      <w:r w:rsidR="00850DA1" w:rsidRPr="00E215F0">
        <w:t xml:space="preserve">Figure </w:t>
      </w:r>
      <w:r w:rsidR="00850DA1">
        <w:rPr>
          <w:noProof/>
        </w:rPr>
        <w:t>8</w:t>
      </w:r>
      <w:r>
        <w:fldChar w:fldCharType="end"/>
      </w:r>
      <w:r>
        <w:t xml:space="preserve"> where different choices are made for the third bullet above (i.e., whether to apply successive cancellation of found paths)</w:t>
      </w:r>
      <w:r w:rsidR="00C85E5F">
        <w:t xml:space="preserve"> while holding other design choices the same</w:t>
      </w:r>
      <w:r>
        <w:t xml:space="preserve">: (a) </w:t>
      </w:r>
      <w:r w:rsidR="00BA324E">
        <w:t xml:space="preserve">a </w:t>
      </w:r>
      <w:r w:rsidR="005E53FD">
        <w:t>channel estimator without successive cancelation</w:t>
      </w:r>
      <w:r w:rsidR="005E53FD" w:rsidDel="0017734E">
        <w:t xml:space="preserve"> </w:t>
      </w:r>
      <w:r w:rsidR="005E53FD">
        <w:t>of found paths</w:t>
      </w:r>
      <w:r>
        <w:t xml:space="preserve">; and (b) a channel estimator with successive cancelation of found paths. </w:t>
      </w:r>
    </w:p>
    <w:p w14:paraId="0CF55BC7" w14:textId="0B0E94BA" w:rsidR="00294DCF" w:rsidRDefault="00C85E5F" w:rsidP="00D35F36">
      <w:pPr>
        <w:pStyle w:val="ListParagraph"/>
        <w:numPr>
          <w:ilvl w:val="0"/>
          <w:numId w:val="54"/>
        </w:numPr>
      </w:pPr>
      <w:r w:rsidRPr="35DAF9E0">
        <w:t>For channel estimator choice (a),</w:t>
      </w:r>
      <w:r w:rsidR="0017734E" w:rsidRPr="35DAF9E0">
        <w:t xml:space="preserve"> </w:t>
      </w:r>
      <w:r w:rsidR="005E53FD" w:rsidRPr="35DAF9E0">
        <w:t>it was able to find</w:t>
      </w:r>
      <w:r w:rsidR="00E252C4" w:rsidRPr="35DAF9E0">
        <w:t xml:space="preserve"> the path</w:t>
      </w:r>
      <w:r w:rsidR="005E53FD" w:rsidRPr="35DAF9E0">
        <w:t xml:space="preserve"> </w:t>
      </w:r>
      <w:r w:rsidR="00B2330A" w:rsidRPr="35DAF9E0">
        <w:t xml:space="preserve">clustered around 42.7. But the true channel tap at 39.6 </w:t>
      </w:r>
      <w:r w:rsidR="00583C0B" w:rsidRPr="35DAF9E0">
        <w:t xml:space="preserve">was </w:t>
      </w:r>
      <w:r w:rsidR="00A54D74" w:rsidRPr="35DAF9E0">
        <w:t xml:space="preserve">missed because it was </w:t>
      </w:r>
      <w:r w:rsidR="00897C06" w:rsidRPr="35DAF9E0">
        <w:t>overshadowed by the sidelobe</w:t>
      </w:r>
      <w:r w:rsidR="0069005E" w:rsidRPr="35DAF9E0">
        <w:t>s</w:t>
      </w:r>
      <w:r w:rsidR="00897C06" w:rsidRPr="35DAF9E0">
        <w:t xml:space="preserve"> </w:t>
      </w:r>
      <w:r w:rsidR="00583C0B" w:rsidRPr="35DAF9E0">
        <w:t>of the 42.7 cluster</w:t>
      </w:r>
      <w:r w:rsidR="00A54D74" w:rsidRPr="35DAF9E0">
        <w:t xml:space="preserve">. Similarly, </w:t>
      </w:r>
      <w:r w:rsidR="007526B4" w:rsidRPr="35DAF9E0">
        <w:t>the two true channel taps at 46.6 and 48.3 was treated as one path.</w:t>
      </w:r>
    </w:p>
    <w:p w14:paraId="43324F23" w14:textId="66324190" w:rsidR="00EA5A6F" w:rsidRDefault="00276426" w:rsidP="00D35F36">
      <w:pPr>
        <w:pStyle w:val="ListParagraph"/>
        <w:numPr>
          <w:ilvl w:val="0"/>
          <w:numId w:val="54"/>
        </w:numPr>
      </w:pPr>
      <w:r>
        <w:t xml:space="preserve">For a channel estimator </w:t>
      </w:r>
      <w:r w:rsidR="00C85E5F">
        <w:t>choice (b)</w:t>
      </w:r>
      <w:r>
        <w:t xml:space="preserve">, it was able to separate </w:t>
      </w:r>
      <w:r w:rsidR="00431731">
        <w:t xml:space="preserve">the path at 39.6 from </w:t>
      </w:r>
      <w:r>
        <w:t>the 42.7 cluster</w:t>
      </w:r>
      <w:r w:rsidR="00431731">
        <w:t>. Similarly, both paths at 46.6 and 48.3 are found by this more capable channel estimator.</w:t>
      </w:r>
    </w:p>
    <w:p w14:paraId="1DC27265" w14:textId="0D13785D" w:rsidR="001A0C51" w:rsidRDefault="00265B82" w:rsidP="001A0C51">
      <w:r>
        <w:t xml:space="preserve">Note further that the </w:t>
      </w:r>
      <w:r w:rsidR="0025652A">
        <w:t>estimate</w:t>
      </w:r>
      <w:r w:rsidR="0056010F">
        <w:t>d</w:t>
      </w:r>
      <w:r w:rsidR="0025652A">
        <w:t xml:space="preserve"> </w:t>
      </w:r>
      <w:r w:rsidR="0056010F">
        <w:t xml:space="preserve">channel coefficients are closer to true channel coefficients when </w:t>
      </w:r>
      <w:r w:rsidR="000A26D6">
        <w:t xml:space="preserve">such successive cancelation of found paths is </w:t>
      </w:r>
      <w:r w:rsidR="00B24F0A">
        <w:t>used in the estimation process.</w:t>
      </w:r>
      <w:r w:rsidR="001A0C51">
        <w:t xml:space="preserve"> </w:t>
      </w:r>
      <w:r w:rsidR="001A0C51" w:rsidRPr="001A0C51">
        <w:t>For instance</w:t>
      </w:r>
      <w:r w:rsidR="001A0C51">
        <w:t xml:space="preserve">, compare the </w:t>
      </w:r>
      <w:r w:rsidR="00781ADA">
        <w:t xml:space="preserve">estimated magnitudes for the </w:t>
      </w:r>
      <w:r w:rsidR="000916E2">
        <w:t xml:space="preserve">taps found around </w:t>
      </w:r>
      <w:r w:rsidR="00FB0634">
        <w:t>47</w:t>
      </w:r>
      <w:r w:rsidR="00205F01">
        <w:t xml:space="preserve"> or those around </w:t>
      </w:r>
      <w:r w:rsidR="007274B3">
        <w:t>63.</w:t>
      </w:r>
      <w:r w:rsidR="00B45D5E">
        <w:t xml:space="preserve"> </w:t>
      </w:r>
      <w:r w:rsidR="00C04B0E">
        <w:t xml:space="preserve">It can also enable more accurate path delay estimation. For instance, it can be observed </w:t>
      </w:r>
      <w:r w:rsidR="00486E10">
        <w:t xml:space="preserve">that the delay of the first </w:t>
      </w:r>
      <w:r w:rsidR="00C24081">
        <w:t>path</w:t>
      </w:r>
      <w:r w:rsidR="00530479">
        <w:t xml:space="preserve"> is estimated more accurately </w:t>
      </w:r>
      <w:r w:rsidR="008E5FA7">
        <w:t xml:space="preserve">with </w:t>
      </w:r>
      <w:r w:rsidR="00F77DD1">
        <w:t>successive cancelation of found paths</w:t>
      </w:r>
      <w:r w:rsidR="000671A8">
        <w:t>.</w:t>
      </w:r>
    </w:p>
    <w:p w14:paraId="5910279D" w14:textId="57F04FC1" w:rsidR="00B82BF3" w:rsidRDefault="00B82BF3" w:rsidP="00FD795B">
      <w:r>
        <w:t xml:space="preserve">It should be clear </w:t>
      </w:r>
      <w:r w:rsidR="00F73B94">
        <w:t xml:space="preserve">such successive cancellation or other equivalent techniques for improving channel estimation accuracy </w:t>
      </w:r>
      <w:r w:rsidR="00653A8B">
        <w:t xml:space="preserve">require </w:t>
      </w:r>
      <w:r w:rsidR="002A4E7E">
        <w:t>substantial increase in processing complexity for preparing the measurement reports.</w:t>
      </w:r>
    </w:p>
    <w:p w14:paraId="170F729D" w14:textId="77777777" w:rsidR="002A4E7E" w:rsidRDefault="002A4E7E" w:rsidP="00FD795B"/>
    <w:p w14:paraId="7EE6B329" w14:textId="3A365472" w:rsidR="00C87D7F" w:rsidRPr="00E215F0" w:rsidRDefault="00C87D7F" w:rsidP="002938DE">
      <w:pPr>
        <w:pStyle w:val="Observation"/>
      </w:pPr>
      <w:bookmarkStart w:id="808" w:name="_Toc178961845"/>
      <w:r>
        <w:t>Rel-17 path-based reporting requires much higher computational complexity for the measurement node than the sample-based reporting approach</w:t>
      </w:r>
      <w:r w:rsidR="007A1D5C">
        <w:t xml:space="preserve">, particularly when more capable and </w:t>
      </w:r>
      <w:r w:rsidR="00E911B3">
        <w:t xml:space="preserve">accurate </w:t>
      </w:r>
      <w:r w:rsidR="00C70BE9">
        <w:t xml:space="preserve">channel estimation </w:t>
      </w:r>
      <w:r w:rsidR="00CC0CED">
        <w:t>algorithms are used.</w:t>
      </w:r>
      <w:bookmarkEnd w:id="808"/>
    </w:p>
    <w:p w14:paraId="5F98A122" w14:textId="570BBED1" w:rsidR="00FD795B" w:rsidRDefault="00FD795B" w:rsidP="00EA3541">
      <w:pPr>
        <w:ind w:right="-374"/>
      </w:pPr>
    </w:p>
    <w:tbl>
      <w:tblPr>
        <w:tblStyle w:val="TableGrid"/>
        <w:tblW w:w="1080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6"/>
        <w:gridCol w:w="5556"/>
      </w:tblGrid>
      <w:tr w:rsidR="00E13E40" w14:paraId="039B2769" w14:textId="77777777" w:rsidTr="002451B4">
        <w:tc>
          <w:tcPr>
            <w:tcW w:w="5163" w:type="dxa"/>
          </w:tcPr>
          <w:p w14:paraId="73B83645" w14:textId="6096F57F" w:rsidR="0017734E" w:rsidRDefault="0017734E" w:rsidP="0017734E">
            <w:pPr>
              <w:pStyle w:val="ListParagraph"/>
              <w:ind w:left="0" w:right="-374"/>
            </w:pPr>
            <w:r w:rsidRPr="006B13F2">
              <w:rPr>
                <w:noProof/>
              </w:rPr>
              <w:lastRenderedPageBreak/>
              <w:drawing>
                <wp:inline distT="0" distB="0" distL="0" distR="0" wp14:anchorId="1A54E946" wp14:editId="4685D7A1">
                  <wp:extent cx="3383280" cy="2633472"/>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83280" cy="2633472"/>
                          </a:xfrm>
                          <a:prstGeom prst="rect">
                            <a:avLst/>
                          </a:prstGeom>
                        </pic:spPr>
                      </pic:pic>
                    </a:graphicData>
                  </a:graphic>
                </wp:inline>
              </w:drawing>
            </w:r>
          </w:p>
        </w:tc>
        <w:tc>
          <w:tcPr>
            <w:tcW w:w="5637" w:type="dxa"/>
          </w:tcPr>
          <w:p w14:paraId="7D06F4F7" w14:textId="42101E73" w:rsidR="0017734E" w:rsidRDefault="0017734E" w:rsidP="0017734E">
            <w:pPr>
              <w:pStyle w:val="ListParagraph"/>
              <w:ind w:left="0" w:right="-374"/>
            </w:pPr>
            <w:r w:rsidRPr="006B13F2">
              <w:rPr>
                <w:noProof/>
              </w:rPr>
              <w:drawing>
                <wp:inline distT="0" distB="0" distL="0" distR="0" wp14:anchorId="7F6CF279" wp14:editId="119EFDDA">
                  <wp:extent cx="3383280" cy="2633472"/>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83280" cy="2633472"/>
                          </a:xfrm>
                          <a:prstGeom prst="rect">
                            <a:avLst/>
                          </a:prstGeom>
                        </pic:spPr>
                      </pic:pic>
                    </a:graphicData>
                  </a:graphic>
                </wp:inline>
              </w:drawing>
            </w:r>
          </w:p>
        </w:tc>
      </w:tr>
      <w:tr w:rsidR="00E13E40" w14:paraId="52562F2D" w14:textId="77777777" w:rsidTr="002451B4">
        <w:tc>
          <w:tcPr>
            <w:tcW w:w="5163" w:type="dxa"/>
          </w:tcPr>
          <w:p w14:paraId="41C3496F" w14:textId="42BFD744" w:rsidR="0017734E" w:rsidRPr="004157FD" w:rsidRDefault="0017734E" w:rsidP="002451B4">
            <w:pPr>
              <w:pStyle w:val="ListParagraph"/>
              <w:ind w:left="82" w:right="224"/>
            </w:pPr>
            <w:r>
              <w:t xml:space="preserve">(a). Using a channel estimator </w:t>
            </w:r>
            <w:r w:rsidRPr="004157FD">
              <w:rPr>
                <w:b/>
                <w:u w:val="single"/>
              </w:rPr>
              <w:t>without</w:t>
            </w:r>
            <w:r>
              <w:t xml:space="preserve"> successive cancelation of found paths</w:t>
            </w:r>
          </w:p>
        </w:tc>
        <w:tc>
          <w:tcPr>
            <w:tcW w:w="5637" w:type="dxa"/>
          </w:tcPr>
          <w:p w14:paraId="7BE4F6E5" w14:textId="54846681" w:rsidR="0017734E" w:rsidRPr="004157FD" w:rsidRDefault="0017734E" w:rsidP="00614536">
            <w:pPr>
              <w:pStyle w:val="ListParagraph"/>
              <w:numPr>
                <w:ilvl w:val="0"/>
                <w:numId w:val="0"/>
              </w:numPr>
              <w:ind w:left="188" w:right="106"/>
            </w:pPr>
            <w:r>
              <w:t xml:space="preserve">(b). Using a channel estimator </w:t>
            </w:r>
            <w:r w:rsidRPr="004157FD">
              <w:rPr>
                <w:b/>
                <w:u w:val="single"/>
              </w:rPr>
              <w:t>with</w:t>
            </w:r>
            <w:r>
              <w:t xml:space="preserve"> successive cancelation of found paths</w:t>
            </w:r>
          </w:p>
        </w:tc>
      </w:tr>
    </w:tbl>
    <w:p w14:paraId="4211F35A" w14:textId="28E4FBEB" w:rsidR="0017734E" w:rsidRDefault="0017734E" w:rsidP="00614536">
      <w:pPr>
        <w:pStyle w:val="ListParagraph"/>
        <w:numPr>
          <w:ilvl w:val="0"/>
          <w:numId w:val="0"/>
        </w:numPr>
        <w:ind w:left="-86" w:right="-374"/>
      </w:pPr>
    </w:p>
    <w:p w14:paraId="2D31BCDD" w14:textId="22E9C5A5" w:rsidR="002423DA" w:rsidRPr="00E215F0" w:rsidRDefault="002423DA" w:rsidP="002423DA">
      <w:pPr>
        <w:pStyle w:val="Caption"/>
      </w:pPr>
      <w:bookmarkStart w:id="809" w:name="_Ref162361332"/>
      <w:r w:rsidRPr="00E215F0">
        <w:t xml:space="preserve">Figure </w:t>
      </w:r>
      <w:r w:rsidR="00500110">
        <w:fldChar w:fldCharType="begin"/>
      </w:r>
      <w:r w:rsidR="00500110">
        <w:instrText xml:space="preserve"> SEQ Figure \* ARABIC </w:instrText>
      </w:r>
      <w:r w:rsidR="00500110">
        <w:fldChar w:fldCharType="separate"/>
      </w:r>
      <w:r w:rsidR="00850DA1">
        <w:rPr>
          <w:noProof/>
        </w:rPr>
        <w:t>8</w:t>
      </w:r>
      <w:r w:rsidR="00500110">
        <w:rPr>
          <w:noProof/>
        </w:rPr>
        <w:fldChar w:fldCharType="end"/>
      </w:r>
      <w:bookmarkEnd w:id="809"/>
      <w:r>
        <w:t xml:space="preserve"> Comparison of</w:t>
      </w:r>
      <w:r w:rsidR="00FE1993">
        <w:t xml:space="preserve"> </w:t>
      </w:r>
      <w:r w:rsidR="0017734E">
        <w:t>estimated path delays</w:t>
      </w:r>
      <w:r w:rsidR="00FE1993">
        <w:t xml:space="preserve"> from </w:t>
      </w:r>
      <w:r w:rsidR="0017734E">
        <w:t xml:space="preserve">(a) </w:t>
      </w:r>
      <w:r w:rsidR="00451691">
        <w:t xml:space="preserve">a </w:t>
      </w:r>
      <w:r w:rsidR="00FE1993">
        <w:t xml:space="preserve">channel estimator </w:t>
      </w:r>
      <w:r w:rsidR="00451691">
        <w:t xml:space="preserve">without successive cancelation of found paths and </w:t>
      </w:r>
      <w:r w:rsidR="0017734E">
        <w:t xml:space="preserve">(b) </w:t>
      </w:r>
      <w:r w:rsidR="00451691">
        <w:t>one with successive cancelation</w:t>
      </w:r>
      <w:r w:rsidRPr="00E215F0">
        <w:t>.</w:t>
      </w:r>
    </w:p>
    <w:p w14:paraId="530FF1F2" w14:textId="77777777" w:rsidR="00883705" w:rsidRDefault="00883705" w:rsidP="001F46E8"/>
    <w:p w14:paraId="7214E02D" w14:textId="5CA0A090" w:rsidR="00225BA9" w:rsidRPr="00394268" w:rsidRDefault="00453359" w:rsidP="004157FD">
      <w:pPr>
        <w:pStyle w:val="Heading4"/>
      </w:pPr>
      <w:bookmarkStart w:id="810" w:name="_Ref163068290"/>
      <w:bookmarkStart w:id="811" w:name="_Toc165990984"/>
      <w:bookmarkStart w:id="812" w:name="_Toc178961651"/>
      <w:r>
        <w:t>Lack of r</w:t>
      </w:r>
      <w:r w:rsidR="00225BA9">
        <w:t xml:space="preserve">obustness </w:t>
      </w:r>
      <w:r w:rsidR="003213A0">
        <w:t>with</w:t>
      </w:r>
      <w:r w:rsidR="00225BA9">
        <w:t xml:space="preserve"> path-based </w:t>
      </w:r>
      <w:r w:rsidR="00A5582B">
        <w:t>measurement</w:t>
      </w:r>
      <w:bookmarkEnd w:id="810"/>
      <w:bookmarkEnd w:id="811"/>
      <w:bookmarkEnd w:id="812"/>
      <w:r w:rsidR="00A5582B">
        <w:t xml:space="preserve"> </w:t>
      </w:r>
    </w:p>
    <w:p w14:paraId="44927348" w14:textId="77777777" w:rsidR="004503E3" w:rsidRDefault="00821CFA" w:rsidP="00890392">
      <w:r>
        <w:t>Based on the above discussion, it becomes paramount to investigate whether an ML model trained with the path-based reports from one channel estimation algorithm can perform as reliably when used on path-based reports from a different channel estimation algorithm.</w:t>
      </w:r>
      <w:r w:rsidR="00C52A30">
        <w:t xml:space="preserve"> </w:t>
      </w:r>
    </w:p>
    <w:p w14:paraId="16C7C379" w14:textId="551C65D1" w:rsidR="00890392" w:rsidRDefault="00C52A30" w:rsidP="00890392">
      <w:r>
        <w:t>Toward this end, w</w:t>
      </w:r>
      <w:r w:rsidR="00890392">
        <w:t xml:space="preserve">e prepare a dataset of the path </w:t>
      </w:r>
      <w:r w:rsidR="000A7B69">
        <w:t xml:space="preserve">delay </w:t>
      </w:r>
      <w:r w:rsidR="00890392">
        <w:t xml:space="preserve">reports from seven different channel estimation algorithms. A basic characterization of their behaviors is provided in </w:t>
      </w:r>
      <w:r w:rsidR="00890392">
        <w:fldChar w:fldCharType="begin"/>
      </w:r>
      <w:r w:rsidR="00890392">
        <w:instrText xml:space="preserve"> REF _Ref162360182 \h </w:instrText>
      </w:r>
      <w:r w:rsidR="00890392">
        <w:fldChar w:fldCharType="separate"/>
      </w:r>
      <w:r w:rsidR="00850DA1" w:rsidRPr="00E215F0">
        <w:t xml:space="preserve">Figure </w:t>
      </w:r>
      <w:r w:rsidR="00850DA1">
        <w:rPr>
          <w:noProof/>
        </w:rPr>
        <w:t>9</w:t>
      </w:r>
      <w:r w:rsidR="00890392">
        <w:fldChar w:fldCharType="end"/>
      </w:r>
      <w:r w:rsidR="00890392" w:rsidDel="000A7B69">
        <w:t xml:space="preserve"> </w:t>
      </w:r>
      <w:r w:rsidR="000A7B69">
        <w:t>which shows</w:t>
      </w:r>
      <w:r w:rsidR="00890392">
        <w:t xml:space="preserve"> the CDF of the number of detect paths by the seven different channel estimators for the 1000x18 links between 1000 random UE locations and the 18 TRPs in </w:t>
      </w:r>
      <w:r w:rsidR="00890392" w:rsidRPr="00E215F0">
        <w:t>the {60%, 6m, 2m} InF-DH scenario</w:t>
      </w:r>
      <w:r w:rsidR="00890392">
        <w:t>.</w:t>
      </w:r>
    </w:p>
    <w:p w14:paraId="08A2AD1C" w14:textId="77777777" w:rsidR="00890392" w:rsidRPr="00363552" w:rsidRDefault="00890392" w:rsidP="00D35F36">
      <w:pPr>
        <w:pStyle w:val="ListParagraph"/>
        <w:numPr>
          <w:ilvl w:val="0"/>
          <w:numId w:val="48"/>
        </w:numPr>
      </w:pPr>
      <w:r>
        <w:t>The true number of channel taps generated by the 3GPP channel model is around 25. But some of these taps can be very close to each other (see an example discussed below) and not distinguishable even with a 100 MHz reference signal bandwidth.</w:t>
      </w:r>
    </w:p>
    <w:p w14:paraId="63D7CED5" w14:textId="77777777" w:rsidR="00890392" w:rsidRPr="00363552" w:rsidRDefault="00890392" w:rsidP="00D35F36">
      <w:pPr>
        <w:pStyle w:val="ListParagraph"/>
        <w:numPr>
          <w:ilvl w:val="0"/>
          <w:numId w:val="48"/>
        </w:numPr>
      </w:pPr>
      <w:r>
        <w:t>The number of paths found by the channel estimators depends on</w:t>
      </w:r>
    </w:p>
    <w:p w14:paraId="69269C0A" w14:textId="77777777" w:rsidR="00890392" w:rsidRPr="00363552" w:rsidRDefault="00890392" w:rsidP="00D35F36">
      <w:pPr>
        <w:pStyle w:val="ListParagraph"/>
        <w:numPr>
          <w:ilvl w:val="1"/>
          <w:numId w:val="48"/>
        </w:numPr>
      </w:pPr>
      <w:r>
        <w:t>How close different true channel taps are</w:t>
      </w:r>
    </w:p>
    <w:p w14:paraId="093D2399" w14:textId="77777777" w:rsidR="00890392" w:rsidRPr="000709AA" w:rsidRDefault="00890392" w:rsidP="00D35F36">
      <w:pPr>
        <w:pStyle w:val="ListParagraph"/>
        <w:numPr>
          <w:ilvl w:val="1"/>
          <w:numId w:val="48"/>
        </w:numPr>
      </w:pPr>
      <w:r>
        <w:t>The SNR of the link</w:t>
      </w:r>
    </w:p>
    <w:p w14:paraId="098B50A5" w14:textId="77777777" w:rsidR="00890392" w:rsidRPr="000709AA" w:rsidRDefault="00890392" w:rsidP="00D35F36">
      <w:pPr>
        <w:pStyle w:val="ListParagraph"/>
        <w:numPr>
          <w:ilvl w:val="1"/>
          <w:numId w:val="48"/>
        </w:numPr>
      </w:pPr>
      <w:r>
        <w:t>The computational complexity budgeted for the channel estimators</w:t>
      </w:r>
    </w:p>
    <w:p w14:paraId="40A175ED" w14:textId="2D997B32" w:rsidR="00890392" w:rsidRDefault="00890392" w:rsidP="00D35F36">
      <w:pPr>
        <w:pStyle w:val="ListParagraph"/>
        <w:numPr>
          <w:ilvl w:val="1"/>
          <w:numId w:val="48"/>
        </w:numPr>
      </w:pPr>
      <w:r>
        <w:t>Sophistication level of the channel estimation algorithms</w:t>
      </w:r>
      <w:r w:rsidR="001844FD">
        <w:t xml:space="preserve">, see the design choice dimensions in section </w:t>
      </w:r>
      <w:r w:rsidR="00500110">
        <w:fldChar w:fldCharType="begin"/>
      </w:r>
      <w:r w:rsidR="00500110">
        <w:instrText xml:space="preserve"> REF _Ref163037168 \r </w:instrText>
      </w:r>
      <w:r w:rsidR="00500110">
        <w:fldChar w:fldCharType="separate"/>
      </w:r>
      <w:r w:rsidR="00850DA1">
        <w:t>3.1.2.1</w:t>
      </w:r>
      <w:r w:rsidR="00500110">
        <w:fldChar w:fldCharType="end"/>
      </w:r>
      <w:r w:rsidR="001844FD">
        <w:t>.</w:t>
      </w:r>
    </w:p>
    <w:p w14:paraId="0D35D07B" w14:textId="28144479" w:rsidR="00890392" w:rsidRDefault="00583DB8" w:rsidP="00890392">
      <w:r>
        <w:t>Note that, for channel estimators having similar overall found tap CDF</w:t>
      </w:r>
      <w:r w:rsidR="002A25C7">
        <w:t xml:space="preserve">, their </w:t>
      </w:r>
      <w:r w:rsidR="003F148E">
        <w:t xml:space="preserve">behavior </w:t>
      </w:r>
      <w:r w:rsidR="00D56951">
        <w:t xml:space="preserve">on </w:t>
      </w:r>
      <w:r w:rsidR="00893A21">
        <w:t xml:space="preserve">a </w:t>
      </w:r>
      <w:r w:rsidR="003F148E">
        <w:t>sp</w:t>
      </w:r>
      <w:r w:rsidR="009E00BC">
        <w:t xml:space="preserve">ecific </w:t>
      </w:r>
      <w:r w:rsidR="00BF510E">
        <w:t>input channel impulse response</w:t>
      </w:r>
      <w:r w:rsidR="00893A21">
        <w:t xml:space="preserve"> can be different. </w:t>
      </w:r>
      <w:r w:rsidR="00117C0F">
        <w:t xml:space="preserve">For instance, channel estimator B and G </w:t>
      </w:r>
      <w:r w:rsidR="006F735B">
        <w:t xml:space="preserve">have basically identical overall CDF for </w:t>
      </w:r>
      <w:r w:rsidR="00A250FF">
        <w:t>the number of detected</w:t>
      </w:r>
      <w:r w:rsidR="006F735B">
        <w:t xml:space="preserve"> taps</w:t>
      </w:r>
      <w:r w:rsidR="0018542C">
        <w:t xml:space="preserve"> </w:t>
      </w:r>
      <w:r w:rsidR="00E85B8D">
        <w:t xml:space="preserve">as </w:t>
      </w:r>
      <w:r w:rsidR="0018542C">
        <w:t xml:space="preserve">shown in </w:t>
      </w:r>
      <w:r w:rsidR="0018542C">
        <w:fldChar w:fldCharType="begin"/>
      </w:r>
      <w:r w:rsidR="0018542C">
        <w:instrText xml:space="preserve"> REF _Ref162360182 \h </w:instrText>
      </w:r>
      <w:r w:rsidR="0018542C">
        <w:fldChar w:fldCharType="separate"/>
      </w:r>
      <w:r w:rsidR="00850DA1" w:rsidRPr="00E215F0">
        <w:t xml:space="preserve">Figure </w:t>
      </w:r>
      <w:r w:rsidR="00850DA1">
        <w:rPr>
          <w:noProof/>
        </w:rPr>
        <w:t>9</w:t>
      </w:r>
      <w:r w:rsidR="0018542C">
        <w:fldChar w:fldCharType="end"/>
      </w:r>
      <w:r w:rsidR="006F735B">
        <w:t>.</w:t>
      </w:r>
      <w:r w:rsidR="005062AF">
        <w:t xml:space="preserve"> But as </w:t>
      </w:r>
      <w:r w:rsidR="00A250FF">
        <w:t xml:space="preserve">can be observed from </w:t>
      </w:r>
      <w:r w:rsidR="005062AF">
        <w:t xml:space="preserve">their joint PDF </w:t>
      </w:r>
      <w:r w:rsidR="006A15D2">
        <w:t xml:space="preserve">shown </w:t>
      </w:r>
      <w:r w:rsidR="00277441">
        <w:t xml:space="preserve">in </w:t>
      </w:r>
      <w:r w:rsidR="00C2610B">
        <w:fldChar w:fldCharType="begin"/>
      </w:r>
      <w:r w:rsidR="00C2610B">
        <w:instrText xml:space="preserve"> REF _Ref162432131 \h </w:instrText>
      </w:r>
      <w:r w:rsidR="00C2610B">
        <w:fldChar w:fldCharType="separate"/>
      </w:r>
      <w:r w:rsidR="00850DA1" w:rsidRPr="00E215F0">
        <w:t xml:space="preserve">Figure </w:t>
      </w:r>
      <w:r w:rsidR="00850DA1">
        <w:rPr>
          <w:noProof/>
        </w:rPr>
        <w:t>10</w:t>
      </w:r>
      <w:r w:rsidR="00C2610B">
        <w:fldChar w:fldCharType="end"/>
      </w:r>
      <w:r w:rsidR="001A738E">
        <w:t>,</w:t>
      </w:r>
      <w:r w:rsidR="00C2610B">
        <w:t xml:space="preserve"> </w:t>
      </w:r>
      <w:r w:rsidR="009E023C">
        <w:t xml:space="preserve">the </w:t>
      </w:r>
      <w:r w:rsidR="007B0141">
        <w:t xml:space="preserve">two channel estimators </w:t>
      </w:r>
      <w:r w:rsidR="002F206E">
        <w:t xml:space="preserve">more often find different number of </w:t>
      </w:r>
      <w:r w:rsidR="00C8723C">
        <w:t>paths.</w:t>
      </w:r>
    </w:p>
    <w:p w14:paraId="15BEEFD5" w14:textId="77777777" w:rsidR="000B0AD6" w:rsidRDefault="000B0AD6" w:rsidP="00890392"/>
    <w:p w14:paraId="648BA7D1" w14:textId="77777777" w:rsidR="00890392" w:rsidRDefault="00890392" w:rsidP="00890392">
      <w:pPr>
        <w:jc w:val="center"/>
      </w:pPr>
      <w:r>
        <w:rPr>
          <w:noProof/>
        </w:rPr>
        <w:lastRenderedPageBreak/>
        <w:drawing>
          <wp:inline distT="0" distB="0" distL="0" distR="0" wp14:anchorId="31AD9F28" wp14:editId="069BE8C1">
            <wp:extent cx="3657600" cy="28254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57600" cy="2825496"/>
                    </a:xfrm>
                    <a:prstGeom prst="rect">
                      <a:avLst/>
                    </a:prstGeom>
                    <a:noFill/>
                  </pic:spPr>
                </pic:pic>
              </a:graphicData>
            </a:graphic>
          </wp:inline>
        </w:drawing>
      </w:r>
    </w:p>
    <w:p w14:paraId="5CB1F269" w14:textId="599A5360" w:rsidR="00890392" w:rsidRPr="00E215F0" w:rsidRDefault="00890392" w:rsidP="00890392">
      <w:pPr>
        <w:pStyle w:val="Caption"/>
      </w:pPr>
      <w:bookmarkStart w:id="813" w:name="_Ref162360182"/>
      <w:r w:rsidRPr="00E215F0">
        <w:t xml:space="preserve">Figure </w:t>
      </w:r>
      <w:r w:rsidR="00500110">
        <w:fldChar w:fldCharType="begin"/>
      </w:r>
      <w:r w:rsidR="00500110">
        <w:instrText xml:space="preserve"> SEQ Figure \* ARABIC </w:instrText>
      </w:r>
      <w:r w:rsidR="00500110">
        <w:fldChar w:fldCharType="separate"/>
      </w:r>
      <w:r w:rsidR="00850DA1">
        <w:rPr>
          <w:noProof/>
        </w:rPr>
        <w:t>9</w:t>
      </w:r>
      <w:r w:rsidR="00500110">
        <w:rPr>
          <w:noProof/>
        </w:rPr>
        <w:fldChar w:fldCharType="end"/>
      </w:r>
      <w:bookmarkEnd w:id="813"/>
      <w:r w:rsidRPr="00E215F0">
        <w:t xml:space="preserve"> </w:t>
      </w:r>
      <w:r>
        <w:t xml:space="preserve">CDF of number of detect paths by the seven different channel estimators for the 1000x18 links between 1000 random UE locations and the 18 TRPs in </w:t>
      </w:r>
      <w:r w:rsidRPr="00E215F0">
        <w:t xml:space="preserve">the </w:t>
      </w:r>
      <w:r w:rsidRPr="00E215F0">
        <w:rPr>
          <w:lang w:eastAsia="ja-JP"/>
        </w:rPr>
        <w:t>{60%, 6m, 2m} InF-DH scenario</w:t>
      </w:r>
      <w:r w:rsidRPr="00E215F0">
        <w:t>.</w:t>
      </w:r>
    </w:p>
    <w:p w14:paraId="21FCCB14" w14:textId="01204547" w:rsidR="007B1109" w:rsidRDefault="007B1109" w:rsidP="00277441">
      <w:pPr>
        <w:jc w:val="center"/>
      </w:pPr>
      <w:r>
        <w:rPr>
          <w:noProof/>
        </w:rPr>
        <w:drawing>
          <wp:inline distT="0" distB="0" distL="0" distR="0" wp14:anchorId="4378536B" wp14:editId="7348AA46">
            <wp:extent cx="3200400" cy="31912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00400" cy="3191256"/>
                    </a:xfrm>
                    <a:prstGeom prst="rect">
                      <a:avLst/>
                    </a:prstGeom>
                    <a:noFill/>
                  </pic:spPr>
                </pic:pic>
              </a:graphicData>
            </a:graphic>
          </wp:inline>
        </w:drawing>
      </w:r>
    </w:p>
    <w:p w14:paraId="2F1FFFBE" w14:textId="5ED078CC" w:rsidR="00277441" w:rsidRPr="00E215F0" w:rsidRDefault="00277441" w:rsidP="00277441">
      <w:pPr>
        <w:pStyle w:val="Caption"/>
      </w:pPr>
      <w:bookmarkStart w:id="814" w:name="_Ref162432131"/>
      <w:r w:rsidRPr="00E215F0">
        <w:t xml:space="preserve">Figure </w:t>
      </w:r>
      <w:r w:rsidR="00500110">
        <w:fldChar w:fldCharType="begin"/>
      </w:r>
      <w:r w:rsidR="00500110">
        <w:instrText xml:space="preserve"> SEQ Figure \* ARABIC </w:instrText>
      </w:r>
      <w:r w:rsidR="00500110">
        <w:fldChar w:fldCharType="separate"/>
      </w:r>
      <w:r w:rsidR="00850DA1">
        <w:rPr>
          <w:noProof/>
        </w:rPr>
        <w:t>10</w:t>
      </w:r>
      <w:r w:rsidR="00500110">
        <w:rPr>
          <w:noProof/>
        </w:rPr>
        <w:fldChar w:fldCharType="end"/>
      </w:r>
      <w:bookmarkEnd w:id="814"/>
      <w:r w:rsidRPr="00E215F0">
        <w:t xml:space="preserve"> </w:t>
      </w:r>
      <w:r>
        <w:t xml:space="preserve">Joint PDF of number of detect paths </w:t>
      </w:r>
      <w:r w:rsidR="005C255C">
        <w:t xml:space="preserve">for channel estimator B and G </w:t>
      </w:r>
      <w:r>
        <w:t xml:space="preserve">for the 1000x18 links between 1000 random UE locations and the 18 TRPs in </w:t>
      </w:r>
      <w:r w:rsidRPr="00E215F0">
        <w:t xml:space="preserve">the </w:t>
      </w:r>
      <w:r w:rsidRPr="00E215F0">
        <w:rPr>
          <w:lang w:eastAsia="ja-JP"/>
        </w:rPr>
        <w:t>{60%, 6m, 2m} InF-DH scenario</w:t>
      </w:r>
      <w:r w:rsidRPr="00E215F0">
        <w:t>.</w:t>
      </w:r>
    </w:p>
    <w:p w14:paraId="216E3B57" w14:textId="77777777" w:rsidR="007B1109" w:rsidRDefault="007B1109" w:rsidP="001F46E8"/>
    <w:p w14:paraId="015285DF" w14:textId="066CE09A" w:rsidR="00D82886" w:rsidRDefault="00702BEC" w:rsidP="001F46E8">
      <w:r>
        <w:t xml:space="preserve">ML positioning models trained on the path reports from </w:t>
      </w:r>
      <w:r w:rsidR="00BF4088">
        <w:t xml:space="preserve">these seven channel estimators can </w:t>
      </w:r>
      <w:r w:rsidR="00B235D8">
        <w:t xml:space="preserve">achieve high positioning accuracy when applied to path reports </w:t>
      </w:r>
      <w:r w:rsidR="008863A3">
        <w:t>from the same channel estimators the models w</w:t>
      </w:r>
      <w:r w:rsidR="009C085F">
        <w:t>ere</w:t>
      </w:r>
      <w:r w:rsidR="008863A3">
        <w:t xml:space="preserve"> trained on.</w:t>
      </w:r>
      <w:r w:rsidR="00940A4F">
        <w:t xml:space="preserve"> The </w:t>
      </w:r>
      <w:r w:rsidR="00940A4F" w:rsidRPr="00086111">
        <w:t>90%tile 2D positioning accuracy</w:t>
      </w:r>
      <w:r w:rsidR="00940A4F">
        <w:t xml:space="preserve"> </w:t>
      </w:r>
      <w:r w:rsidR="000C2237">
        <w:t xml:space="preserve">values </w:t>
      </w:r>
      <w:r w:rsidR="000E6591">
        <w:t xml:space="preserve">of the </w:t>
      </w:r>
      <w:r w:rsidR="008448FF">
        <w:t xml:space="preserve">Rel-17 path-based </w:t>
      </w:r>
      <w:r w:rsidR="00172AB1">
        <w:t xml:space="preserve">PDP </w:t>
      </w:r>
      <w:r w:rsidR="008448FF">
        <w:t xml:space="preserve">models trained and tested on </w:t>
      </w:r>
      <w:r w:rsidR="008B7D16">
        <w:t xml:space="preserve">reports from </w:t>
      </w:r>
      <w:r w:rsidR="008448FF">
        <w:t xml:space="preserve">the same </w:t>
      </w:r>
      <w:r w:rsidR="008B7D16">
        <w:t xml:space="preserve">channel estimators </w:t>
      </w:r>
      <w:r w:rsidR="000C2237">
        <w:t xml:space="preserve">are compared to those of the sample-based </w:t>
      </w:r>
      <w:r w:rsidR="00172AB1">
        <w:t xml:space="preserve">PDP </w:t>
      </w:r>
      <w:r w:rsidR="004179CC">
        <w:t xml:space="preserve">models in </w:t>
      </w:r>
      <w:r w:rsidR="004179CC">
        <w:fldChar w:fldCharType="begin"/>
      </w:r>
      <w:r w:rsidR="004179CC">
        <w:instrText xml:space="preserve"> REF _Ref162429691 \h </w:instrText>
      </w:r>
      <w:r w:rsidR="004179CC">
        <w:fldChar w:fldCharType="separate"/>
      </w:r>
      <w:r w:rsidR="00850DA1" w:rsidRPr="00086111">
        <w:t xml:space="preserve">Table </w:t>
      </w:r>
      <w:r w:rsidR="00850DA1">
        <w:rPr>
          <w:noProof/>
        </w:rPr>
        <w:t>9</w:t>
      </w:r>
      <w:r w:rsidR="004179CC">
        <w:fldChar w:fldCharType="end"/>
      </w:r>
      <w:r w:rsidR="004179CC">
        <w:t>.</w:t>
      </w:r>
    </w:p>
    <w:p w14:paraId="7FF119ED" w14:textId="7F26326B" w:rsidR="004179CC" w:rsidRPr="00B33297" w:rsidRDefault="004179CC" w:rsidP="00292938">
      <w:r w:rsidRPr="00292938">
        <w:lastRenderedPageBreak/>
        <w:t xml:space="preserve">The columns of the </w:t>
      </w:r>
      <w:r>
        <w:t>Rel-17 path-based model</w:t>
      </w:r>
      <w:r w:rsidRPr="00292938">
        <w:t xml:space="preserve"> accuracy are </w:t>
      </w:r>
      <w:r w:rsidR="00835B74" w:rsidRPr="00292938">
        <w:t xml:space="preserve">sorted </w:t>
      </w:r>
      <w:r w:rsidR="003F1CA6" w:rsidRPr="00292938">
        <w:t xml:space="preserve">based on the </w:t>
      </w:r>
      <w:r w:rsidR="00684A74" w:rsidRPr="00292938">
        <w:t xml:space="preserve">channel estimators’ </w:t>
      </w:r>
      <w:r w:rsidR="001F4263" w:rsidRPr="00292938">
        <w:t xml:space="preserve">tendency to </w:t>
      </w:r>
      <w:r w:rsidR="00684A74" w:rsidRPr="00292938">
        <w:t>find less or more paths</w:t>
      </w:r>
      <w:r w:rsidR="00B33297" w:rsidRPr="00292938">
        <w:t xml:space="preserve"> as shown in </w:t>
      </w:r>
      <w:r w:rsidR="00B33297">
        <w:fldChar w:fldCharType="begin"/>
      </w:r>
      <w:r w:rsidR="00B33297">
        <w:instrText xml:space="preserve"> REF _Ref162360182 \h </w:instrText>
      </w:r>
      <w:r w:rsidR="00B33297">
        <w:fldChar w:fldCharType="separate"/>
      </w:r>
      <w:r w:rsidR="00850DA1" w:rsidRPr="00E215F0">
        <w:t xml:space="preserve">Figure </w:t>
      </w:r>
      <w:r w:rsidR="00850DA1">
        <w:rPr>
          <w:noProof/>
        </w:rPr>
        <w:t>9</w:t>
      </w:r>
      <w:r w:rsidR="00B33297">
        <w:fldChar w:fldCharType="end"/>
      </w:r>
      <w:r w:rsidR="00B33297" w:rsidRPr="00292938">
        <w:t xml:space="preserve">. That is, the curves from left to right in </w:t>
      </w:r>
      <w:r w:rsidR="00B33297">
        <w:fldChar w:fldCharType="begin"/>
      </w:r>
      <w:r w:rsidR="00B33297">
        <w:instrText xml:space="preserve"> REF _Ref162360182 \h </w:instrText>
      </w:r>
      <w:r w:rsidR="00B33297">
        <w:fldChar w:fldCharType="separate"/>
      </w:r>
      <w:r w:rsidR="00850DA1" w:rsidRPr="00E215F0">
        <w:t xml:space="preserve">Figure </w:t>
      </w:r>
      <w:r w:rsidR="00850DA1">
        <w:rPr>
          <w:noProof/>
        </w:rPr>
        <w:t>9</w:t>
      </w:r>
      <w:r w:rsidR="00B33297">
        <w:fldChar w:fldCharType="end"/>
      </w:r>
      <w:r w:rsidR="00B33297" w:rsidRPr="00292938">
        <w:t xml:space="preserve"> are corresponding to the columns from left to right in </w:t>
      </w:r>
      <w:r w:rsidR="00B33297">
        <w:fldChar w:fldCharType="begin"/>
      </w:r>
      <w:r w:rsidR="00B33297">
        <w:instrText xml:space="preserve"> REF _Ref162429691 \h </w:instrText>
      </w:r>
      <w:r w:rsidR="00B33297">
        <w:fldChar w:fldCharType="separate"/>
      </w:r>
      <w:r w:rsidR="00850DA1" w:rsidRPr="00086111">
        <w:t xml:space="preserve">Table </w:t>
      </w:r>
      <w:r w:rsidR="00850DA1">
        <w:rPr>
          <w:noProof/>
        </w:rPr>
        <w:t>9</w:t>
      </w:r>
      <w:r w:rsidR="00B33297">
        <w:fldChar w:fldCharType="end"/>
      </w:r>
      <w:r w:rsidR="00B33297" w:rsidRPr="00292938">
        <w:t>. This enables the following general observations.</w:t>
      </w:r>
    </w:p>
    <w:p w14:paraId="7C433CA5" w14:textId="07777877" w:rsidR="00B33297" w:rsidRDefault="009E34AB" w:rsidP="00D35F36">
      <w:pPr>
        <w:pStyle w:val="ListParagraph"/>
        <w:numPr>
          <w:ilvl w:val="0"/>
          <w:numId w:val="52"/>
        </w:numPr>
      </w:pPr>
      <w:r w:rsidRPr="00292938">
        <w:t xml:space="preserve">All these </w:t>
      </w:r>
      <w:r w:rsidR="004334A5" w:rsidRPr="00292938">
        <w:t xml:space="preserve">models using </w:t>
      </w:r>
      <w:r w:rsidR="004334A5">
        <w:t>Rel-17 path-based</w:t>
      </w:r>
      <w:r w:rsidR="004334A5" w:rsidRPr="00292938">
        <w:t xml:space="preserve"> reporting can achieve </w:t>
      </w:r>
      <w:r w:rsidR="0046492C" w:rsidRPr="00292938">
        <w:t xml:space="preserve">similar </w:t>
      </w:r>
      <w:r w:rsidR="0046492C" w:rsidRPr="00086111">
        <w:t>2D positioning accuracy</w:t>
      </w:r>
      <w:r w:rsidR="0046492C" w:rsidRPr="00292938">
        <w:t xml:space="preserve"> as models using sample-based reporting.</w:t>
      </w:r>
    </w:p>
    <w:p w14:paraId="35AC07E7" w14:textId="1197FD90" w:rsidR="00806723" w:rsidRPr="00806723" w:rsidRDefault="00A87E81" w:rsidP="00D35F36">
      <w:pPr>
        <w:pStyle w:val="ListParagraph"/>
        <w:numPr>
          <w:ilvl w:val="0"/>
          <w:numId w:val="49"/>
        </w:numPr>
      </w:pPr>
      <w:r w:rsidRPr="003E10BF">
        <w:t xml:space="preserve">Models using </w:t>
      </w:r>
      <w:r w:rsidR="00BF14E9">
        <w:t xml:space="preserve">Rel-17 path-based </w:t>
      </w:r>
      <w:r w:rsidRPr="003E10BF">
        <w:t xml:space="preserve">reports </w:t>
      </w:r>
      <w:r w:rsidR="00BF14E9" w:rsidRPr="003E10BF">
        <w:t>from more capable channel estimators (</w:t>
      </w:r>
      <w:r w:rsidR="008E585D" w:rsidRPr="003E10BF">
        <w:t xml:space="preserve">i.e., capable of finding more channel taps) </w:t>
      </w:r>
      <w:r w:rsidR="00BD717D" w:rsidRPr="003E10BF">
        <w:t>can</w:t>
      </w:r>
      <w:r w:rsidR="00D47019" w:rsidRPr="003E10BF">
        <w:t xml:space="preserve"> genera</w:t>
      </w:r>
      <w:r w:rsidR="0049083A" w:rsidRPr="003E10BF">
        <w:t>lly</w:t>
      </w:r>
      <w:r w:rsidR="00BD717D" w:rsidRPr="003E10BF">
        <w:t xml:space="preserve"> achieve better performance than those </w:t>
      </w:r>
      <w:r w:rsidR="0090138C" w:rsidRPr="003E10BF">
        <w:t xml:space="preserve">using </w:t>
      </w:r>
      <w:r w:rsidR="0075182A" w:rsidRPr="003E10BF">
        <w:t>reports from less capable models.</w:t>
      </w:r>
      <w:r w:rsidR="003E10BF" w:rsidRPr="003E10BF">
        <w:t xml:space="preserve"> </w:t>
      </w:r>
    </w:p>
    <w:p w14:paraId="7A13EB27" w14:textId="77777777" w:rsidR="00C2420F" w:rsidRDefault="00C2420F" w:rsidP="001F46E8"/>
    <w:p w14:paraId="459FC218" w14:textId="16A1F11D" w:rsidR="00AC1A72" w:rsidRPr="00E215F0" w:rsidRDefault="00523FD8" w:rsidP="002938DE">
      <w:pPr>
        <w:pStyle w:val="Observation"/>
      </w:pPr>
      <w:bookmarkStart w:id="815" w:name="_Toc178961846"/>
      <w:r>
        <w:t>Positioning accuracy of ML m</w:t>
      </w:r>
      <w:r w:rsidR="00AC1A72" w:rsidRPr="003E10BF">
        <w:t xml:space="preserve">odels using </w:t>
      </w:r>
      <w:r w:rsidR="00AC1A72">
        <w:t>Rel-17 path-based reports</w:t>
      </w:r>
      <w:r w:rsidR="00066C5F">
        <w:t xml:space="preserve">, which are trained and tested </w:t>
      </w:r>
      <w:r w:rsidR="008F7106">
        <w:t>with data generated by a specific measurement implementation,</w:t>
      </w:r>
      <w:r w:rsidR="00AC1A72">
        <w:t xml:space="preserve"> </w:t>
      </w:r>
      <w:r w:rsidR="000E7E5B">
        <w:t xml:space="preserve">depends </w:t>
      </w:r>
      <w:r w:rsidR="00D95421">
        <w:t xml:space="preserve">significantly </w:t>
      </w:r>
      <w:r w:rsidR="00DC2E39">
        <w:t xml:space="preserve">on the </w:t>
      </w:r>
      <w:r w:rsidR="00924D7B">
        <w:t xml:space="preserve">signal processing </w:t>
      </w:r>
      <w:r w:rsidR="00EC4A9A">
        <w:t>capabilit</w:t>
      </w:r>
      <w:r w:rsidR="00924D7B">
        <w:t>ies</w:t>
      </w:r>
      <w:r w:rsidR="00EC4A9A">
        <w:t xml:space="preserve"> of the </w:t>
      </w:r>
      <w:r w:rsidR="00924D7B">
        <w:t>measurement nodes</w:t>
      </w:r>
      <w:r w:rsidR="00AC1A72">
        <w:t>.</w:t>
      </w:r>
      <w:bookmarkEnd w:id="815"/>
    </w:p>
    <w:p w14:paraId="3FB609B9" w14:textId="77777777" w:rsidR="00AC1A72" w:rsidRDefault="00AC1A72" w:rsidP="001F46E8"/>
    <w:p w14:paraId="62D6DDA1" w14:textId="1982F588" w:rsidR="00D21669" w:rsidRDefault="007707D4" w:rsidP="00456FAF">
      <w:pPr>
        <w:pStyle w:val="Caption"/>
        <w:rPr>
          <w:lang w:eastAsia="ja-JP"/>
        </w:rPr>
      </w:pPr>
      <w:bookmarkStart w:id="816" w:name="_Ref162429691"/>
      <w:r w:rsidRPr="00086111">
        <w:t xml:space="preserve">Table </w:t>
      </w:r>
      <w:r w:rsidRPr="00086111">
        <w:fldChar w:fldCharType="begin"/>
      </w:r>
      <w:r w:rsidRPr="00086111">
        <w:instrText>SEQ Table \* ARABIC</w:instrText>
      </w:r>
      <w:r w:rsidRPr="00086111">
        <w:fldChar w:fldCharType="separate"/>
      </w:r>
      <w:r w:rsidR="00850DA1">
        <w:rPr>
          <w:noProof/>
        </w:rPr>
        <w:t>9</w:t>
      </w:r>
      <w:r w:rsidRPr="00086111">
        <w:fldChar w:fldCharType="end"/>
      </w:r>
      <w:bookmarkEnd w:id="816"/>
      <w:r w:rsidR="009241BB">
        <w:t>.</w:t>
      </w:r>
      <w:r w:rsidRPr="00086111">
        <w:t xml:space="preserve"> </w:t>
      </w:r>
      <w:r w:rsidRPr="00086111">
        <w:rPr>
          <w:lang w:eastAsia="ja-JP"/>
        </w:rPr>
        <w:t xml:space="preserve">90%tile </w:t>
      </w:r>
      <w:r w:rsidRPr="00086111">
        <w:t>2D positioning accuracy</w:t>
      </w:r>
      <w:r w:rsidR="00592B15">
        <w:t xml:space="preserve"> </w:t>
      </w:r>
      <w:r w:rsidR="00A7172A">
        <w:t>(meters)</w:t>
      </w:r>
      <w:r w:rsidR="00592B15">
        <w:t xml:space="preserve"> of PDP models</w:t>
      </w:r>
      <w:r w:rsidRPr="00086111">
        <w:t xml:space="preserve"> using </w:t>
      </w:r>
      <w:r w:rsidR="00D82886">
        <w:t>direct sample-based reporting or Rel-17 path-based report</w:t>
      </w:r>
      <w:r w:rsidR="00447D4F">
        <w:t xml:space="preserve">ing from seven different channel estimation algorithms </w:t>
      </w:r>
      <w:r w:rsidRPr="00086111">
        <w:t xml:space="preserve">for the </w:t>
      </w:r>
      <w:r w:rsidRPr="00086111">
        <w:rPr>
          <w:lang w:eastAsia="ja-JP"/>
        </w:rPr>
        <w:t>{60%, 6m, 2m} InF-DH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850DA1">
        <w:t>[6]</w:t>
      </w:r>
      <w:r w:rsidRPr="00E215F0">
        <w:fldChar w:fldCharType="end"/>
      </w:r>
      <w:r w:rsidRPr="00E215F0">
        <w:t>.</w:t>
      </w:r>
      <w:r w:rsidR="008863A3">
        <w:t xml:space="preserve"> </w:t>
      </w:r>
      <w:r w:rsidR="008863A3" w:rsidRPr="00DF7E3A">
        <w:t>For the models trained on the Rel-17 path-based report</w:t>
      </w:r>
      <w:r w:rsidR="0098187E" w:rsidRPr="00DF7E3A">
        <w:t xml:space="preserve">s, the </w:t>
      </w:r>
      <w:r w:rsidR="0098187E" w:rsidRPr="004157FD">
        <w:rPr>
          <w:i/>
          <w:u w:val="single"/>
        </w:rPr>
        <w:t>same</w:t>
      </w:r>
      <w:r w:rsidR="0098187E" w:rsidRPr="00DF7E3A">
        <w:t xml:space="preserve"> channel estimator was used for the training and inference</w:t>
      </w:r>
      <w:r w:rsidR="0098187E">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517D3F" w14:paraId="23E21A40" w14:textId="77777777">
        <w:tc>
          <w:tcPr>
            <w:tcW w:w="1525" w:type="dxa"/>
            <w:gridSpan w:val="2"/>
            <w:tcBorders>
              <w:right w:val="double" w:sz="4" w:space="0" w:color="auto"/>
            </w:tcBorders>
            <w:vAlign w:val="center"/>
          </w:tcPr>
          <w:p w14:paraId="645FF45D" w14:textId="77777777" w:rsidR="00517D3F" w:rsidRPr="007F5D82" w:rsidRDefault="00517D3F">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502E8646" w14:textId="2A5861C6" w:rsidR="00517D3F" w:rsidRPr="007F5D82" w:rsidRDefault="00517D3F">
            <w:pPr>
              <w:spacing w:before="40" w:after="40"/>
              <w:jc w:val="center"/>
              <w:rPr>
                <w:rFonts w:cs="Arial"/>
                <w:color w:val="000000"/>
                <w:sz w:val="20"/>
                <w:szCs w:val="20"/>
              </w:rPr>
            </w:pPr>
            <w:r w:rsidRPr="001F661F">
              <w:rPr>
                <w:sz w:val="20"/>
                <w:szCs w:val="20"/>
              </w:rPr>
              <w:t>90%tile 2D positioning errors [m]</w:t>
            </w:r>
            <w:r w:rsidR="00456FAF">
              <w:rPr>
                <w:sz w:val="20"/>
                <w:szCs w:val="20"/>
              </w:rPr>
              <w:t xml:space="preserve"> based on 100 MHz RS bandwidth</w:t>
            </w:r>
          </w:p>
        </w:tc>
      </w:tr>
      <w:tr w:rsidR="00517D3F" w14:paraId="5B38AFB0" w14:textId="77777777">
        <w:tc>
          <w:tcPr>
            <w:tcW w:w="762" w:type="dxa"/>
            <w:vMerge w:val="restart"/>
            <w:vAlign w:val="center"/>
          </w:tcPr>
          <w:p w14:paraId="3415D587" w14:textId="77777777" w:rsidR="00517D3F" w:rsidRPr="007F5D82" w:rsidRDefault="009C13C0">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44AD726F" w14:textId="77777777" w:rsidR="00517D3F" w:rsidRPr="007F5D82" w:rsidRDefault="009C13C0">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4D0BF6B9" w14:textId="77777777" w:rsidR="00517D3F" w:rsidRPr="007F5D82" w:rsidRDefault="00517D3F">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5F04EE59" w14:textId="77777777" w:rsidR="00517D3F" w:rsidRPr="007F5D82" w:rsidRDefault="00517D3F">
            <w:pPr>
              <w:spacing w:before="40" w:after="40"/>
              <w:jc w:val="center"/>
              <w:rPr>
                <w:rFonts w:cs="Arial"/>
                <w:color w:val="000000"/>
                <w:sz w:val="20"/>
                <w:szCs w:val="20"/>
              </w:rPr>
            </w:pPr>
            <w:r>
              <w:rPr>
                <w:rFonts w:cs="Arial"/>
                <w:color w:val="000000"/>
                <w:sz w:val="20"/>
                <w:szCs w:val="20"/>
              </w:rPr>
              <w:t>Path-based signaling</w:t>
            </w:r>
          </w:p>
        </w:tc>
      </w:tr>
      <w:tr w:rsidR="00517D3F" w14:paraId="0F865629" w14:textId="77777777">
        <w:tc>
          <w:tcPr>
            <w:tcW w:w="762" w:type="dxa"/>
            <w:vMerge/>
            <w:vAlign w:val="center"/>
          </w:tcPr>
          <w:p w14:paraId="28B8C73C" w14:textId="77777777" w:rsidR="00517D3F" w:rsidRPr="007F5D82" w:rsidRDefault="00517D3F">
            <w:pPr>
              <w:spacing w:before="40" w:after="40"/>
              <w:jc w:val="center"/>
              <w:rPr>
                <w:rFonts w:cs="Arial"/>
                <w:color w:val="000000"/>
                <w:sz w:val="20"/>
                <w:szCs w:val="20"/>
              </w:rPr>
            </w:pPr>
          </w:p>
        </w:tc>
        <w:tc>
          <w:tcPr>
            <w:tcW w:w="763" w:type="dxa"/>
            <w:vMerge/>
            <w:tcBorders>
              <w:right w:val="double" w:sz="4" w:space="0" w:color="auto"/>
            </w:tcBorders>
            <w:vAlign w:val="center"/>
          </w:tcPr>
          <w:p w14:paraId="53C00989"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093AA437" w14:textId="77777777" w:rsidR="00517D3F" w:rsidRPr="007F5D82" w:rsidRDefault="00517D3F">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29BA847C" w14:textId="77777777" w:rsidR="00517D3F" w:rsidRPr="007F5D82" w:rsidRDefault="00517D3F">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73794CDB" w14:textId="77777777" w:rsidR="00517D3F" w:rsidRPr="007F5D82" w:rsidRDefault="00517D3F">
            <w:pPr>
              <w:spacing w:before="40" w:after="40"/>
              <w:jc w:val="center"/>
              <w:rPr>
                <w:rFonts w:cs="Arial"/>
                <w:color w:val="000000"/>
                <w:sz w:val="20"/>
                <w:szCs w:val="20"/>
              </w:rPr>
            </w:pPr>
            <w:r>
              <w:rPr>
                <w:sz w:val="20"/>
                <w:szCs w:val="20"/>
              </w:rPr>
              <w:t>Different channel estimators</w:t>
            </w:r>
          </w:p>
        </w:tc>
      </w:tr>
      <w:tr w:rsidR="00517D3F" w14:paraId="3409728A" w14:textId="77777777">
        <w:tc>
          <w:tcPr>
            <w:tcW w:w="762" w:type="dxa"/>
            <w:vMerge/>
            <w:tcBorders>
              <w:bottom w:val="double" w:sz="4" w:space="0" w:color="auto"/>
            </w:tcBorders>
            <w:vAlign w:val="center"/>
          </w:tcPr>
          <w:p w14:paraId="2FA42C40" w14:textId="77777777" w:rsidR="00517D3F" w:rsidRPr="007F5D82" w:rsidRDefault="00517D3F">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4842666C"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3660088A"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1D345EAA" w14:textId="77777777" w:rsidR="00517D3F" w:rsidRPr="007F5D82" w:rsidRDefault="00517D3F">
            <w:pPr>
              <w:spacing w:before="40" w:after="40"/>
              <w:jc w:val="center"/>
              <w:rPr>
                <w:rFonts w:cs="Arial"/>
                <w:color w:val="000000"/>
                <w:sz w:val="20"/>
                <w:szCs w:val="20"/>
              </w:rPr>
            </w:pPr>
          </w:p>
        </w:tc>
        <w:tc>
          <w:tcPr>
            <w:tcW w:w="871" w:type="dxa"/>
            <w:tcBorders>
              <w:bottom w:val="double" w:sz="4" w:space="0" w:color="auto"/>
            </w:tcBorders>
            <w:vAlign w:val="center"/>
          </w:tcPr>
          <w:p w14:paraId="7D207300" w14:textId="77777777" w:rsidR="00517D3F" w:rsidRPr="007F5D82" w:rsidRDefault="00517D3F">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60E8BFA2" w14:textId="77777777" w:rsidR="00517D3F" w:rsidRPr="007F5D82" w:rsidRDefault="00517D3F">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5C0C94C6" w14:textId="77777777" w:rsidR="00517D3F" w:rsidRPr="007F5D82" w:rsidRDefault="00517D3F">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69B4517C" w14:textId="77777777" w:rsidR="00517D3F" w:rsidRPr="007F5D82" w:rsidRDefault="00517D3F">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45A6EEEB" w14:textId="77777777" w:rsidR="00517D3F" w:rsidRPr="007F5D82" w:rsidRDefault="00517D3F">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3028844A" w14:textId="77777777" w:rsidR="00517D3F" w:rsidRPr="007F5D82" w:rsidRDefault="00517D3F">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1D67D956" w14:textId="77777777" w:rsidR="00517D3F" w:rsidRPr="007F5D82" w:rsidRDefault="00517D3F">
            <w:pPr>
              <w:spacing w:before="40" w:after="40"/>
              <w:jc w:val="center"/>
              <w:rPr>
                <w:rFonts w:cs="Arial"/>
                <w:color w:val="000000"/>
                <w:sz w:val="20"/>
                <w:szCs w:val="20"/>
              </w:rPr>
            </w:pPr>
            <w:r w:rsidRPr="001F661F">
              <w:rPr>
                <w:sz w:val="20"/>
                <w:szCs w:val="20"/>
              </w:rPr>
              <w:t>C</w:t>
            </w:r>
          </w:p>
        </w:tc>
      </w:tr>
      <w:tr w:rsidR="00517D3F" w14:paraId="1EB67430" w14:textId="77777777">
        <w:tc>
          <w:tcPr>
            <w:tcW w:w="762" w:type="dxa"/>
            <w:tcBorders>
              <w:top w:val="double" w:sz="4" w:space="0" w:color="auto"/>
            </w:tcBorders>
            <w:vAlign w:val="center"/>
          </w:tcPr>
          <w:p w14:paraId="697BD7BF"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4F109C6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4B4C98A5"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1167" w:type="dxa"/>
            <w:tcBorders>
              <w:top w:val="double" w:sz="4" w:space="0" w:color="auto"/>
              <w:left w:val="double" w:sz="4" w:space="0" w:color="auto"/>
            </w:tcBorders>
            <w:vAlign w:val="bottom"/>
          </w:tcPr>
          <w:p w14:paraId="5488D67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tcBorders>
              <w:top w:val="double" w:sz="4" w:space="0" w:color="auto"/>
            </w:tcBorders>
            <w:vAlign w:val="center"/>
          </w:tcPr>
          <w:p w14:paraId="209996D6"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tcBorders>
              <w:top w:val="double" w:sz="4" w:space="0" w:color="auto"/>
            </w:tcBorders>
            <w:vAlign w:val="center"/>
          </w:tcPr>
          <w:p w14:paraId="3F3C5B45"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09864381"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tcBorders>
              <w:top w:val="double" w:sz="4" w:space="0" w:color="auto"/>
            </w:tcBorders>
            <w:vAlign w:val="center"/>
          </w:tcPr>
          <w:p w14:paraId="7ED872BE" w14:textId="77777777" w:rsidR="00517D3F" w:rsidRPr="007F5D82" w:rsidRDefault="00517D3F">
            <w:pPr>
              <w:spacing w:before="40" w:after="40"/>
              <w:jc w:val="center"/>
              <w:rPr>
                <w:rFonts w:cs="Arial"/>
                <w:color w:val="000000"/>
                <w:sz w:val="20"/>
                <w:szCs w:val="20"/>
              </w:rPr>
            </w:pPr>
            <w:r w:rsidRPr="001F661F">
              <w:rPr>
                <w:sz w:val="20"/>
                <w:szCs w:val="20"/>
              </w:rPr>
              <w:t>0.68</w:t>
            </w:r>
          </w:p>
        </w:tc>
        <w:tc>
          <w:tcPr>
            <w:tcW w:w="872" w:type="dxa"/>
            <w:tcBorders>
              <w:top w:val="double" w:sz="4" w:space="0" w:color="auto"/>
            </w:tcBorders>
            <w:vAlign w:val="center"/>
          </w:tcPr>
          <w:p w14:paraId="50B6DCC8"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872" w:type="dxa"/>
            <w:tcBorders>
              <w:top w:val="double" w:sz="4" w:space="0" w:color="auto"/>
            </w:tcBorders>
            <w:vAlign w:val="center"/>
          </w:tcPr>
          <w:p w14:paraId="1240C4F1" w14:textId="77777777" w:rsidR="00517D3F" w:rsidRPr="007F5D82" w:rsidRDefault="00517D3F">
            <w:pPr>
              <w:spacing w:before="40" w:after="40"/>
              <w:jc w:val="center"/>
              <w:rPr>
                <w:rFonts w:cs="Arial"/>
                <w:color w:val="000000"/>
                <w:sz w:val="20"/>
                <w:szCs w:val="20"/>
              </w:rPr>
            </w:pPr>
            <w:r w:rsidRPr="001F661F">
              <w:rPr>
                <w:sz w:val="20"/>
                <w:szCs w:val="20"/>
              </w:rPr>
              <w:t>0.57</w:t>
            </w:r>
          </w:p>
        </w:tc>
        <w:tc>
          <w:tcPr>
            <w:tcW w:w="872" w:type="dxa"/>
            <w:tcBorders>
              <w:top w:val="double" w:sz="4" w:space="0" w:color="auto"/>
            </w:tcBorders>
            <w:vAlign w:val="center"/>
          </w:tcPr>
          <w:p w14:paraId="59D014AF" w14:textId="77777777" w:rsidR="00517D3F" w:rsidRPr="007F5D82" w:rsidRDefault="00517D3F">
            <w:pPr>
              <w:spacing w:before="40" w:after="40"/>
              <w:jc w:val="center"/>
              <w:rPr>
                <w:rFonts w:cs="Arial"/>
                <w:color w:val="000000"/>
                <w:sz w:val="20"/>
                <w:szCs w:val="20"/>
              </w:rPr>
            </w:pPr>
            <w:r w:rsidRPr="001F661F">
              <w:rPr>
                <w:sz w:val="20"/>
                <w:szCs w:val="20"/>
              </w:rPr>
              <w:t>0.61</w:t>
            </w:r>
          </w:p>
        </w:tc>
      </w:tr>
      <w:tr w:rsidR="00517D3F" w14:paraId="39B1F56C" w14:textId="77777777">
        <w:tc>
          <w:tcPr>
            <w:tcW w:w="762" w:type="dxa"/>
            <w:vAlign w:val="center"/>
          </w:tcPr>
          <w:p w14:paraId="58941D8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453D471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5ADE0E88" w14:textId="77777777" w:rsidR="00517D3F" w:rsidRPr="007F5D82" w:rsidRDefault="00517D3F">
            <w:pPr>
              <w:spacing w:before="40" w:after="40"/>
              <w:jc w:val="center"/>
              <w:rPr>
                <w:rFonts w:cs="Arial"/>
                <w:color w:val="000000"/>
                <w:sz w:val="20"/>
                <w:szCs w:val="20"/>
              </w:rPr>
            </w:pPr>
            <w:r w:rsidRPr="001F661F">
              <w:rPr>
                <w:sz w:val="20"/>
                <w:szCs w:val="20"/>
              </w:rPr>
              <w:t>0.67</w:t>
            </w:r>
          </w:p>
        </w:tc>
        <w:tc>
          <w:tcPr>
            <w:tcW w:w="1167" w:type="dxa"/>
            <w:tcBorders>
              <w:left w:val="double" w:sz="4" w:space="0" w:color="auto"/>
            </w:tcBorders>
            <w:vAlign w:val="bottom"/>
          </w:tcPr>
          <w:p w14:paraId="13E05FE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vAlign w:val="center"/>
          </w:tcPr>
          <w:p w14:paraId="21CD1636"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vAlign w:val="center"/>
          </w:tcPr>
          <w:p w14:paraId="53D9ECE8"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6A627192" w14:textId="77777777" w:rsidR="00517D3F" w:rsidRPr="007F5D82" w:rsidRDefault="00517D3F">
            <w:pPr>
              <w:spacing w:before="40" w:after="40"/>
              <w:jc w:val="center"/>
              <w:rPr>
                <w:rFonts w:cs="Arial"/>
                <w:color w:val="000000"/>
                <w:sz w:val="20"/>
                <w:szCs w:val="20"/>
              </w:rPr>
            </w:pPr>
            <w:r w:rsidRPr="001F661F">
              <w:rPr>
                <w:sz w:val="20"/>
                <w:szCs w:val="20"/>
              </w:rPr>
              <w:t>0.73</w:t>
            </w:r>
          </w:p>
        </w:tc>
        <w:tc>
          <w:tcPr>
            <w:tcW w:w="872" w:type="dxa"/>
            <w:vAlign w:val="center"/>
          </w:tcPr>
          <w:p w14:paraId="5DABE074" w14:textId="77777777" w:rsidR="00517D3F" w:rsidRPr="007F5D82" w:rsidRDefault="00517D3F">
            <w:pPr>
              <w:spacing w:before="40" w:after="40"/>
              <w:jc w:val="center"/>
              <w:rPr>
                <w:rFonts w:cs="Arial"/>
                <w:color w:val="000000"/>
                <w:sz w:val="20"/>
                <w:szCs w:val="20"/>
              </w:rPr>
            </w:pPr>
            <w:r w:rsidRPr="001F661F">
              <w:rPr>
                <w:sz w:val="20"/>
                <w:szCs w:val="20"/>
              </w:rPr>
              <w:t>0.70</w:t>
            </w:r>
          </w:p>
        </w:tc>
        <w:tc>
          <w:tcPr>
            <w:tcW w:w="872" w:type="dxa"/>
            <w:vAlign w:val="center"/>
          </w:tcPr>
          <w:p w14:paraId="25CEA9FE"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045C45AD"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62E9AD80" w14:textId="77777777" w:rsidR="00517D3F" w:rsidRPr="007F5D82" w:rsidRDefault="00517D3F">
            <w:pPr>
              <w:spacing w:before="40" w:after="40"/>
              <w:jc w:val="center"/>
              <w:rPr>
                <w:rFonts w:cs="Arial"/>
                <w:color w:val="000000"/>
                <w:sz w:val="20"/>
                <w:szCs w:val="20"/>
              </w:rPr>
            </w:pPr>
            <w:r w:rsidRPr="001F661F">
              <w:rPr>
                <w:sz w:val="20"/>
                <w:szCs w:val="20"/>
              </w:rPr>
              <w:t>0.60</w:t>
            </w:r>
          </w:p>
        </w:tc>
      </w:tr>
      <w:tr w:rsidR="00517D3F" w14:paraId="4B6FBFD9" w14:textId="77777777">
        <w:tc>
          <w:tcPr>
            <w:tcW w:w="762" w:type="dxa"/>
            <w:tcBorders>
              <w:bottom w:val="double" w:sz="4" w:space="0" w:color="auto"/>
            </w:tcBorders>
            <w:vAlign w:val="center"/>
          </w:tcPr>
          <w:p w14:paraId="7B20F59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3A7B8FE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314B90B8" w14:textId="77777777" w:rsidR="00517D3F" w:rsidRPr="007F5D82" w:rsidRDefault="00517D3F">
            <w:pPr>
              <w:spacing w:before="40" w:after="40"/>
              <w:jc w:val="center"/>
              <w:rPr>
                <w:rFonts w:cs="Arial"/>
                <w:color w:val="000000"/>
                <w:sz w:val="20"/>
                <w:szCs w:val="20"/>
              </w:rPr>
            </w:pPr>
            <w:r w:rsidRPr="001F661F">
              <w:rPr>
                <w:sz w:val="20"/>
                <w:szCs w:val="20"/>
              </w:rPr>
              <w:t>0.75</w:t>
            </w:r>
          </w:p>
        </w:tc>
        <w:tc>
          <w:tcPr>
            <w:tcW w:w="1167" w:type="dxa"/>
            <w:tcBorders>
              <w:left w:val="double" w:sz="4" w:space="0" w:color="auto"/>
              <w:bottom w:val="double" w:sz="4" w:space="0" w:color="auto"/>
            </w:tcBorders>
            <w:vAlign w:val="bottom"/>
          </w:tcPr>
          <w:p w14:paraId="3AFB9E7D"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0.82</w:t>
            </w:r>
          </w:p>
        </w:tc>
        <w:tc>
          <w:tcPr>
            <w:tcW w:w="871" w:type="dxa"/>
            <w:tcBorders>
              <w:bottom w:val="double" w:sz="4" w:space="0" w:color="auto"/>
            </w:tcBorders>
            <w:vAlign w:val="center"/>
          </w:tcPr>
          <w:p w14:paraId="61FBEB5D" w14:textId="77777777" w:rsidR="00517D3F" w:rsidRPr="007F5D82" w:rsidRDefault="00517D3F">
            <w:pPr>
              <w:spacing w:before="40" w:after="40"/>
              <w:jc w:val="center"/>
              <w:rPr>
                <w:rFonts w:cs="Arial"/>
                <w:color w:val="000000"/>
                <w:sz w:val="20"/>
                <w:szCs w:val="20"/>
              </w:rPr>
            </w:pPr>
            <w:r w:rsidRPr="001F661F">
              <w:rPr>
                <w:sz w:val="20"/>
                <w:szCs w:val="20"/>
              </w:rPr>
              <w:t>0.88</w:t>
            </w:r>
          </w:p>
        </w:tc>
        <w:tc>
          <w:tcPr>
            <w:tcW w:w="872" w:type="dxa"/>
            <w:tcBorders>
              <w:bottom w:val="double" w:sz="4" w:space="0" w:color="auto"/>
            </w:tcBorders>
            <w:vAlign w:val="center"/>
          </w:tcPr>
          <w:p w14:paraId="18813357"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2F9B614E"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bottom w:val="double" w:sz="4" w:space="0" w:color="auto"/>
            </w:tcBorders>
            <w:vAlign w:val="center"/>
          </w:tcPr>
          <w:p w14:paraId="76F0B8DC"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0BF0D3B9"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tcBorders>
              <w:bottom w:val="double" w:sz="4" w:space="0" w:color="auto"/>
            </w:tcBorders>
            <w:vAlign w:val="center"/>
          </w:tcPr>
          <w:p w14:paraId="30F7272A"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tcBorders>
              <w:bottom w:val="double" w:sz="4" w:space="0" w:color="auto"/>
            </w:tcBorders>
            <w:vAlign w:val="center"/>
          </w:tcPr>
          <w:p w14:paraId="14A650A0" w14:textId="77777777" w:rsidR="00517D3F" w:rsidRPr="007F5D82" w:rsidRDefault="00517D3F">
            <w:pPr>
              <w:spacing w:before="40" w:after="40"/>
              <w:jc w:val="center"/>
              <w:rPr>
                <w:rFonts w:cs="Arial"/>
                <w:color w:val="000000"/>
                <w:sz w:val="20"/>
                <w:szCs w:val="20"/>
              </w:rPr>
            </w:pPr>
            <w:r w:rsidRPr="001F661F">
              <w:rPr>
                <w:sz w:val="20"/>
                <w:szCs w:val="20"/>
              </w:rPr>
              <w:t>0.70</w:t>
            </w:r>
          </w:p>
        </w:tc>
      </w:tr>
      <w:tr w:rsidR="00517D3F" w14:paraId="1271FD1F" w14:textId="77777777">
        <w:tc>
          <w:tcPr>
            <w:tcW w:w="762" w:type="dxa"/>
            <w:tcBorders>
              <w:top w:val="double" w:sz="4" w:space="0" w:color="auto"/>
            </w:tcBorders>
            <w:vAlign w:val="center"/>
          </w:tcPr>
          <w:p w14:paraId="191FCAB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73B1858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7C5BA5B0"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top w:val="double" w:sz="4" w:space="0" w:color="auto"/>
              <w:left w:val="double" w:sz="4" w:space="0" w:color="auto"/>
            </w:tcBorders>
            <w:vAlign w:val="bottom"/>
          </w:tcPr>
          <w:p w14:paraId="62F04CA4"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0.80</w:t>
            </w:r>
          </w:p>
        </w:tc>
        <w:tc>
          <w:tcPr>
            <w:tcW w:w="871" w:type="dxa"/>
            <w:tcBorders>
              <w:top w:val="double" w:sz="4" w:space="0" w:color="auto"/>
            </w:tcBorders>
            <w:vAlign w:val="center"/>
          </w:tcPr>
          <w:p w14:paraId="37B92B96" w14:textId="77777777" w:rsidR="00517D3F" w:rsidRPr="007F5D82" w:rsidRDefault="00517D3F">
            <w:pPr>
              <w:spacing w:before="40" w:after="40"/>
              <w:jc w:val="center"/>
              <w:rPr>
                <w:rFonts w:cs="Arial"/>
                <w:color w:val="000000"/>
                <w:sz w:val="20"/>
                <w:szCs w:val="20"/>
              </w:rPr>
            </w:pPr>
            <w:r w:rsidRPr="001F661F">
              <w:rPr>
                <w:sz w:val="20"/>
                <w:szCs w:val="20"/>
              </w:rPr>
              <w:t>0.85</w:t>
            </w:r>
          </w:p>
        </w:tc>
        <w:tc>
          <w:tcPr>
            <w:tcW w:w="872" w:type="dxa"/>
            <w:tcBorders>
              <w:top w:val="double" w:sz="4" w:space="0" w:color="auto"/>
            </w:tcBorders>
            <w:vAlign w:val="center"/>
          </w:tcPr>
          <w:p w14:paraId="55C9E492"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tcBorders>
              <w:top w:val="double" w:sz="4" w:space="0" w:color="auto"/>
            </w:tcBorders>
            <w:vAlign w:val="center"/>
          </w:tcPr>
          <w:p w14:paraId="3D528F07"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2345DF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4A8EAC51"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tcBorders>
              <w:top w:val="double" w:sz="4" w:space="0" w:color="auto"/>
            </w:tcBorders>
            <w:vAlign w:val="center"/>
          </w:tcPr>
          <w:p w14:paraId="5E756E66"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5A192A20" w14:textId="77777777" w:rsidR="00517D3F" w:rsidRPr="007F5D82" w:rsidRDefault="00517D3F">
            <w:pPr>
              <w:spacing w:before="40" w:after="40"/>
              <w:jc w:val="center"/>
              <w:rPr>
                <w:rFonts w:cs="Arial"/>
                <w:color w:val="000000"/>
                <w:sz w:val="20"/>
                <w:szCs w:val="20"/>
              </w:rPr>
            </w:pPr>
            <w:r w:rsidRPr="001F661F">
              <w:rPr>
                <w:sz w:val="20"/>
                <w:szCs w:val="20"/>
              </w:rPr>
              <w:t>0.77</w:t>
            </w:r>
          </w:p>
        </w:tc>
      </w:tr>
      <w:tr w:rsidR="00517D3F" w14:paraId="611BDCE3" w14:textId="77777777">
        <w:tc>
          <w:tcPr>
            <w:tcW w:w="762" w:type="dxa"/>
            <w:vAlign w:val="center"/>
          </w:tcPr>
          <w:p w14:paraId="3A084C8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6B6CAEB5"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43774386" w14:textId="77777777" w:rsidR="00517D3F" w:rsidRPr="007F5D82" w:rsidRDefault="00517D3F">
            <w:pPr>
              <w:spacing w:before="40" w:after="40"/>
              <w:jc w:val="center"/>
              <w:rPr>
                <w:rFonts w:cs="Arial"/>
                <w:color w:val="000000"/>
                <w:sz w:val="20"/>
                <w:szCs w:val="20"/>
              </w:rPr>
            </w:pPr>
            <w:r w:rsidRPr="001F661F">
              <w:rPr>
                <w:sz w:val="20"/>
                <w:szCs w:val="20"/>
              </w:rPr>
              <w:t>0.81</w:t>
            </w:r>
          </w:p>
        </w:tc>
        <w:tc>
          <w:tcPr>
            <w:tcW w:w="1167" w:type="dxa"/>
            <w:tcBorders>
              <w:left w:val="double" w:sz="4" w:space="0" w:color="auto"/>
            </w:tcBorders>
            <w:vAlign w:val="bottom"/>
          </w:tcPr>
          <w:p w14:paraId="51664990"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0.78</w:t>
            </w:r>
          </w:p>
        </w:tc>
        <w:tc>
          <w:tcPr>
            <w:tcW w:w="871" w:type="dxa"/>
            <w:vAlign w:val="center"/>
          </w:tcPr>
          <w:p w14:paraId="5C210A01"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vAlign w:val="center"/>
          </w:tcPr>
          <w:p w14:paraId="7A89A964"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vAlign w:val="center"/>
          </w:tcPr>
          <w:p w14:paraId="0E346A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vAlign w:val="center"/>
          </w:tcPr>
          <w:p w14:paraId="0BD9015C"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1F15D9D3"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vAlign w:val="center"/>
          </w:tcPr>
          <w:p w14:paraId="24523E5C"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022F0693" w14:textId="77777777" w:rsidR="00517D3F" w:rsidRPr="007F5D82" w:rsidRDefault="00517D3F">
            <w:pPr>
              <w:spacing w:before="40" w:after="40"/>
              <w:jc w:val="center"/>
              <w:rPr>
                <w:rFonts w:cs="Arial"/>
                <w:color w:val="000000"/>
                <w:sz w:val="20"/>
                <w:szCs w:val="20"/>
              </w:rPr>
            </w:pPr>
            <w:r w:rsidRPr="001F661F">
              <w:rPr>
                <w:sz w:val="20"/>
                <w:szCs w:val="20"/>
              </w:rPr>
              <w:t>0.74</w:t>
            </w:r>
          </w:p>
        </w:tc>
      </w:tr>
      <w:tr w:rsidR="00517D3F" w14:paraId="0468AA11" w14:textId="77777777">
        <w:tc>
          <w:tcPr>
            <w:tcW w:w="762" w:type="dxa"/>
            <w:vAlign w:val="center"/>
          </w:tcPr>
          <w:p w14:paraId="04F5E61C"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68896B0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7ADBE7D9"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left w:val="double" w:sz="4" w:space="0" w:color="auto"/>
            </w:tcBorders>
            <w:vAlign w:val="bottom"/>
          </w:tcPr>
          <w:p w14:paraId="615A56C8"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0.83</w:t>
            </w:r>
          </w:p>
        </w:tc>
        <w:tc>
          <w:tcPr>
            <w:tcW w:w="871" w:type="dxa"/>
            <w:vAlign w:val="center"/>
          </w:tcPr>
          <w:p w14:paraId="61C026AC" w14:textId="77777777" w:rsidR="00517D3F" w:rsidRPr="007F5D82" w:rsidRDefault="00517D3F">
            <w:pPr>
              <w:spacing w:before="40" w:after="40"/>
              <w:jc w:val="center"/>
              <w:rPr>
                <w:rFonts w:cs="Arial"/>
                <w:color w:val="000000"/>
                <w:sz w:val="20"/>
                <w:szCs w:val="20"/>
              </w:rPr>
            </w:pPr>
            <w:r w:rsidRPr="001F661F">
              <w:rPr>
                <w:sz w:val="20"/>
                <w:szCs w:val="20"/>
              </w:rPr>
              <w:t>0.90</w:t>
            </w:r>
          </w:p>
        </w:tc>
        <w:tc>
          <w:tcPr>
            <w:tcW w:w="872" w:type="dxa"/>
            <w:vAlign w:val="center"/>
          </w:tcPr>
          <w:p w14:paraId="23988388"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2CFAB33A"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28BA821A"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vAlign w:val="center"/>
          </w:tcPr>
          <w:p w14:paraId="161DE49B"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13D7DAE3"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5AF5025E" w14:textId="77777777" w:rsidR="00517D3F" w:rsidRPr="007F5D82" w:rsidRDefault="00517D3F">
            <w:pPr>
              <w:spacing w:before="40" w:after="40"/>
              <w:jc w:val="center"/>
              <w:rPr>
                <w:rFonts w:cs="Arial"/>
                <w:color w:val="000000"/>
                <w:sz w:val="20"/>
                <w:szCs w:val="20"/>
              </w:rPr>
            </w:pPr>
            <w:r w:rsidRPr="001F661F">
              <w:rPr>
                <w:sz w:val="20"/>
                <w:szCs w:val="20"/>
              </w:rPr>
              <w:t>0.74</w:t>
            </w:r>
          </w:p>
        </w:tc>
      </w:tr>
    </w:tbl>
    <w:p w14:paraId="037EA961" w14:textId="77777777" w:rsidR="00517D3F" w:rsidRDefault="00517D3F" w:rsidP="001F46E8"/>
    <w:p w14:paraId="25647C99" w14:textId="2878FA56" w:rsidR="00F2393F" w:rsidRDefault="00F92784" w:rsidP="001F46E8">
      <w:r>
        <w:t>While the m</w:t>
      </w:r>
      <w:r w:rsidRPr="003E10BF">
        <w:t xml:space="preserve">odels using </w:t>
      </w:r>
      <w:r>
        <w:t xml:space="preserve">Rel-17 path-based </w:t>
      </w:r>
      <w:r w:rsidRPr="003E10BF">
        <w:t>reports</w:t>
      </w:r>
      <w:r w:rsidR="00102E67">
        <w:t xml:space="preserve"> </w:t>
      </w:r>
      <w:r w:rsidR="006F4547">
        <w:t>from the same channel estimators</w:t>
      </w:r>
      <w:r w:rsidR="0013107A">
        <w:t xml:space="preserve"> as their respective training set can achieve comparable </w:t>
      </w:r>
      <w:r w:rsidR="0013107A" w:rsidRPr="00086111">
        <w:t>2D positioning accuracy</w:t>
      </w:r>
      <w:r w:rsidR="0013107A">
        <w:t xml:space="preserve"> as </w:t>
      </w:r>
      <w:r w:rsidR="000D6BB9">
        <w:t xml:space="preserve">the models using sample-based reporting, </w:t>
      </w:r>
      <w:r w:rsidR="00F81436">
        <w:t xml:space="preserve">such good </w:t>
      </w:r>
      <w:r w:rsidR="003665BB">
        <w:t xml:space="preserve">positioning accuracy does not carry to </w:t>
      </w:r>
      <w:r w:rsidR="00BA4EB3">
        <w:t xml:space="preserve">Rel-17 path-based </w:t>
      </w:r>
      <w:r w:rsidR="00BA4EB3" w:rsidRPr="003E10BF">
        <w:t>reports</w:t>
      </w:r>
      <w:r w:rsidR="00BA4EB3">
        <w:t xml:space="preserve"> from different channel estimators. </w:t>
      </w:r>
      <w:r w:rsidR="00ED7491">
        <w:t xml:space="preserve">In </w:t>
      </w:r>
      <w:r w:rsidR="00ED7491">
        <w:fldChar w:fldCharType="begin"/>
      </w:r>
      <w:r w:rsidR="00ED7491">
        <w:instrText xml:space="preserve"> REF _Ref162432273 \h </w:instrText>
      </w:r>
      <w:r w:rsidR="00ED7491">
        <w:fldChar w:fldCharType="separate"/>
      </w:r>
      <w:r w:rsidR="00850DA1" w:rsidRPr="00E215F0">
        <w:t xml:space="preserve">Figure </w:t>
      </w:r>
      <w:r w:rsidR="00850DA1">
        <w:rPr>
          <w:noProof/>
        </w:rPr>
        <w:t>11</w:t>
      </w:r>
      <w:r w:rsidR="00ED7491">
        <w:fldChar w:fldCharType="end"/>
      </w:r>
      <w:r w:rsidR="00ED7491">
        <w:t xml:space="preserve">, we show the </w:t>
      </w:r>
      <w:r w:rsidR="00ED7491" w:rsidRPr="00086111">
        <w:t xml:space="preserve">2D positioning </w:t>
      </w:r>
      <w:r w:rsidR="00D404F5">
        <w:t xml:space="preserve">error CDF of </w:t>
      </w:r>
      <w:r w:rsidR="00F67748">
        <w:t xml:space="preserve">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=128</m:t>
        </m:r>
      </m:oMath>
      <w:r w:rsidR="00F67748" w:rsidRPr="00F6774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=16</m:t>
        </m:r>
      </m:oMath>
      <w:r w:rsidR="00F67748">
        <w:t xml:space="preserve"> model trained on </w:t>
      </w:r>
      <w:r w:rsidR="00AB78FF">
        <w:t xml:space="preserve">PDP </w:t>
      </w:r>
      <w:r w:rsidR="00F67748">
        <w:t>path reports from channel estimator G and tested on path reports from different channel estimators.</w:t>
      </w:r>
    </w:p>
    <w:p w14:paraId="12A60EF7" w14:textId="366138BC" w:rsidR="007C6D58" w:rsidRPr="005162F9" w:rsidRDefault="00CE6078" w:rsidP="00D35F36">
      <w:pPr>
        <w:pStyle w:val="ListParagraph"/>
        <w:numPr>
          <w:ilvl w:val="0"/>
          <w:numId w:val="50"/>
        </w:numPr>
      </w:pPr>
      <w:r>
        <w:t xml:space="preserve">The model achieves </w:t>
      </w:r>
      <w:r w:rsidRPr="00086111">
        <w:t xml:space="preserve">90%tile 2D positioning </w:t>
      </w:r>
      <w:r>
        <w:t xml:space="preserve">error of </w:t>
      </w:r>
      <w:r w:rsidR="00D664BD">
        <w:t xml:space="preserve">0.65 m </w:t>
      </w:r>
      <w:r w:rsidR="005162F9">
        <w:t>when tested using reports from channel estimator G.</w:t>
      </w:r>
    </w:p>
    <w:p w14:paraId="512B2F25" w14:textId="52524D2D" w:rsidR="005162F9" w:rsidRPr="002D0797" w:rsidRDefault="005162F9" w:rsidP="00D35F36">
      <w:pPr>
        <w:pStyle w:val="ListParagraph"/>
        <w:numPr>
          <w:ilvl w:val="0"/>
          <w:numId w:val="50"/>
        </w:numPr>
      </w:pPr>
      <w:r>
        <w:t xml:space="preserve">As discussed in the above, </w:t>
      </w:r>
      <w:r w:rsidR="00F304FF">
        <w:t xml:space="preserve">channel estimator B and G have </w:t>
      </w:r>
      <w:r w:rsidR="009202DD">
        <w:t>basically identical overall CDF for found taps</w:t>
      </w:r>
      <w:r w:rsidR="00E85B8D" w:rsidRPr="00E85B8D">
        <w:t xml:space="preserve"> </w:t>
      </w:r>
      <w:r w:rsidR="00E85B8D">
        <w:t xml:space="preserve">as shown in </w:t>
      </w:r>
      <w:r w:rsidR="00E85B8D">
        <w:fldChar w:fldCharType="begin"/>
      </w:r>
      <w:r w:rsidR="00E85B8D">
        <w:instrText xml:space="preserve"> REF _Ref162360182 \h </w:instrText>
      </w:r>
      <w:r w:rsidR="00E85B8D">
        <w:fldChar w:fldCharType="separate"/>
      </w:r>
      <w:r w:rsidR="00850DA1" w:rsidRPr="00E215F0">
        <w:t xml:space="preserve">Figure </w:t>
      </w:r>
      <w:r w:rsidR="00850DA1">
        <w:rPr>
          <w:noProof/>
        </w:rPr>
        <w:t>9</w:t>
      </w:r>
      <w:r w:rsidR="00E85B8D">
        <w:fldChar w:fldCharType="end"/>
      </w:r>
      <w:r w:rsidR="0094366C">
        <w:t>. However, the</w:t>
      </w:r>
      <w:r w:rsidR="002B39AE">
        <w:t xml:space="preserve"> </w:t>
      </w:r>
      <w:r w:rsidR="002B39AE" w:rsidRPr="00086111">
        <w:t xml:space="preserve">90%tile 2D positioning </w:t>
      </w:r>
      <w:r w:rsidR="002B39AE">
        <w:t>error of the model degrades to</w:t>
      </w:r>
      <w:r w:rsidR="0094366C">
        <w:t xml:space="preserve"> </w:t>
      </w:r>
      <w:r w:rsidR="00EB4748">
        <w:t>1.17 m</w:t>
      </w:r>
      <w:r w:rsidR="002B39AE">
        <w:t xml:space="preserve">, </w:t>
      </w:r>
      <w:r w:rsidR="00593314">
        <w:t xml:space="preserve">which is </w:t>
      </w:r>
      <w:r w:rsidR="005B6CBA">
        <w:t>a</w:t>
      </w:r>
      <w:r w:rsidR="00593314">
        <w:t>n</w:t>
      </w:r>
      <w:r w:rsidR="005B6CBA">
        <w:t xml:space="preserve"> 80% </w:t>
      </w:r>
      <w:r w:rsidR="00447023">
        <w:t xml:space="preserve">increase in </w:t>
      </w:r>
      <w:r w:rsidR="005B6CBA">
        <w:t>positioning error</w:t>
      </w:r>
      <w:r w:rsidR="001349EE">
        <w:t>.</w:t>
      </w:r>
    </w:p>
    <w:p w14:paraId="14AE7C1C" w14:textId="21BFF707" w:rsidR="002D0797" w:rsidRPr="005B6CBA" w:rsidRDefault="002D0797" w:rsidP="00D35F36">
      <w:pPr>
        <w:pStyle w:val="ListParagraph"/>
        <w:numPr>
          <w:ilvl w:val="1"/>
          <w:numId w:val="50"/>
        </w:numPr>
      </w:pPr>
      <w:r>
        <w:t xml:space="preserve">On the other hand, channel estimator C has substantially </w:t>
      </w:r>
      <w:r w:rsidR="006754D7">
        <w:t xml:space="preserve">different number of detected paths than channel estimator G. But the </w:t>
      </w:r>
      <w:r w:rsidR="006754D7" w:rsidRPr="00086111">
        <w:t xml:space="preserve">90%tile 2D positioning </w:t>
      </w:r>
      <w:r w:rsidR="006754D7">
        <w:t xml:space="preserve">error of the model only degrades to </w:t>
      </w:r>
      <w:r w:rsidR="00DD76A6">
        <w:t>0.82</w:t>
      </w:r>
      <w:r w:rsidR="006754D7">
        <w:t xml:space="preserve"> m</w:t>
      </w:r>
      <w:r w:rsidR="00DD76A6">
        <w:t>.</w:t>
      </w:r>
    </w:p>
    <w:p w14:paraId="786F3237" w14:textId="22567DB7" w:rsidR="005B6CBA" w:rsidRPr="001349EE" w:rsidRDefault="00B37F24" w:rsidP="00D35F36">
      <w:pPr>
        <w:pStyle w:val="ListParagraph"/>
        <w:numPr>
          <w:ilvl w:val="0"/>
          <w:numId w:val="50"/>
        </w:numPr>
      </w:pPr>
      <w:r>
        <w:t xml:space="preserve">Furthermore, </w:t>
      </w:r>
      <w:r w:rsidR="002A5581">
        <w:t xml:space="preserve">channel estimator </w:t>
      </w:r>
      <w:r w:rsidR="00447D46">
        <w:t>A</w:t>
      </w:r>
      <w:r w:rsidR="002A5581">
        <w:t xml:space="preserve"> and </w:t>
      </w:r>
      <w:r w:rsidR="00447D46">
        <w:t>F</w:t>
      </w:r>
      <w:r w:rsidR="002A5581">
        <w:t xml:space="preserve"> </w:t>
      </w:r>
      <w:r w:rsidR="00447D46">
        <w:t xml:space="preserve">also </w:t>
      </w:r>
      <w:r w:rsidR="002A5581">
        <w:t xml:space="preserve">have </w:t>
      </w:r>
      <w:r w:rsidR="00447D46">
        <w:t xml:space="preserve">very similar </w:t>
      </w:r>
      <w:r w:rsidR="002A5581">
        <w:t>overall CDF for found taps</w:t>
      </w:r>
      <w:r w:rsidR="002A5581" w:rsidRPr="00E85B8D">
        <w:t xml:space="preserve"> </w:t>
      </w:r>
      <w:r w:rsidR="002A5581">
        <w:t xml:space="preserve">as shown in </w:t>
      </w:r>
      <w:r w:rsidR="002A5581">
        <w:fldChar w:fldCharType="begin"/>
      </w:r>
      <w:r w:rsidR="002A5581">
        <w:instrText xml:space="preserve"> REF _Ref162360182 \h </w:instrText>
      </w:r>
      <w:r w:rsidR="002A5581">
        <w:fldChar w:fldCharType="separate"/>
      </w:r>
      <w:r w:rsidR="00850DA1" w:rsidRPr="00E215F0">
        <w:t xml:space="preserve">Figure </w:t>
      </w:r>
      <w:r w:rsidR="00850DA1">
        <w:rPr>
          <w:noProof/>
        </w:rPr>
        <w:t>9</w:t>
      </w:r>
      <w:r w:rsidR="002A5581">
        <w:fldChar w:fldCharType="end"/>
      </w:r>
      <w:r w:rsidR="002A5581">
        <w:t>.</w:t>
      </w:r>
      <w:r w:rsidR="00447D46">
        <w:t xml:space="preserve"> </w:t>
      </w:r>
      <w:r w:rsidR="00C94231">
        <w:t>The model</w:t>
      </w:r>
      <w:r w:rsidR="00593314">
        <w:t xml:space="preserve">’s responses to the Rel-17 path-based </w:t>
      </w:r>
      <w:r w:rsidR="00593314" w:rsidRPr="003E10BF">
        <w:t>reports</w:t>
      </w:r>
      <w:r w:rsidR="00593314">
        <w:t xml:space="preserve"> from these channel estimators are quite different</w:t>
      </w:r>
      <w:r w:rsidR="001349EE">
        <w:t>.</w:t>
      </w:r>
    </w:p>
    <w:p w14:paraId="2DCB45CB" w14:textId="1D04763D" w:rsidR="001349EE" w:rsidRPr="00447023" w:rsidRDefault="000A6F35" w:rsidP="00D35F36">
      <w:pPr>
        <w:pStyle w:val="ListParagraph"/>
        <w:numPr>
          <w:ilvl w:val="1"/>
          <w:numId w:val="50"/>
        </w:numPr>
      </w:pPr>
      <w:r>
        <w:t>When tested on reports from channel estimator A</w:t>
      </w:r>
      <w:r w:rsidR="002A209A">
        <w:t xml:space="preserve">, </w:t>
      </w:r>
      <w:r w:rsidR="009376E2">
        <w:t xml:space="preserve">the </w:t>
      </w:r>
      <w:r w:rsidR="009376E2" w:rsidRPr="00086111">
        <w:t xml:space="preserve">90%tile 2D positioning </w:t>
      </w:r>
      <w:r w:rsidR="009376E2">
        <w:t>error of the model degrades to 1.54 m.</w:t>
      </w:r>
    </w:p>
    <w:p w14:paraId="037B6859" w14:textId="4F38B38A" w:rsidR="00447023" w:rsidRDefault="000A7A25" w:rsidP="00D35F36">
      <w:pPr>
        <w:pStyle w:val="ListParagraph"/>
        <w:numPr>
          <w:ilvl w:val="1"/>
          <w:numId w:val="50"/>
        </w:numPr>
      </w:pPr>
      <w:r>
        <w:t xml:space="preserve">When tested on reports from channel estimator F, the </w:t>
      </w:r>
      <w:r w:rsidRPr="00086111">
        <w:t xml:space="preserve">90%tile 2D positioning </w:t>
      </w:r>
      <w:r>
        <w:t xml:space="preserve">error of the model degrades to </w:t>
      </w:r>
      <w:r w:rsidR="0066270B">
        <w:t>0.79</w:t>
      </w:r>
      <w:r>
        <w:t xml:space="preserve"> m</w:t>
      </w:r>
      <w:r w:rsidR="0066270B">
        <w:t>.</w:t>
      </w:r>
    </w:p>
    <w:p w14:paraId="00060FE4" w14:textId="7F8A825F" w:rsidR="000A10C1" w:rsidRDefault="000A10C1" w:rsidP="001F46E8">
      <w:r>
        <w:lastRenderedPageBreak/>
        <w:t xml:space="preserve">The above evaluation results show that, even setting aside </w:t>
      </w:r>
      <w:r w:rsidR="00A65ABA">
        <w:t xml:space="preserve">the large dimensions and ranges of possible channel estimation algorithm design tradeoffs, </w:t>
      </w:r>
      <w:r w:rsidR="00DC11C9">
        <w:t xml:space="preserve">channel estimators that yield similar number of </w:t>
      </w:r>
      <w:r w:rsidR="00BF5648">
        <w:t>detected</w:t>
      </w:r>
      <w:r w:rsidR="00E84627">
        <w:t xml:space="preserve"> </w:t>
      </w:r>
      <w:r w:rsidR="00DC11C9">
        <w:t>pat</w:t>
      </w:r>
      <w:r w:rsidR="00E84627">
        <w:t xml:space="preserve">hs can </w:t>
      </w:r>
      <w:r w:rsidR="009970A3">
        <w:t xml:space="preserve">still </w:t>
      </w:r>
      <w:r w:rsidR="0039422D">
        <w:t xml:space="preserve">lead to widely different ML model </w:t>
      </w:r>
      <w:r w:rsidR="00BB6EAD">
        <w:t>performance.</w:t>
      </w:r>
    </w:p>
    <w:p w14:paraId="391EDB8B" w14:textId="6BB5BEB0" w:rsidR="00A359E4" w:rsidRDefault="00A359E4" w:rsidP="0096476D">
      <w:pPr>
        <w:jc w:val="center"/>
      </w:pPr>
      <w:r>
        <w:rPr>
          <w:noProof/>
        </w:rPr>
        <w:drawing>
          <wp:inline distT="0" distB="0" distL="0" distR="0" wp14:anchorId="7A1C1699" wp14:editId="5BCDF0CE">
            <wp:extent cx="3657600" cy="275234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4C15DE11" w14:textId="0751A5BF" w:rsidR="00A359E4" w:rsidRPr="00E215F0" w:rsidRDefault="00A359E4" w:rsidP="00A359E4">
      <w:pPr>
        <w:pStyle w:val="Caption"/>
      </w:pPr>
      <w:bookmarkStart w:id="817" w:name="_Ref162432273"/>
      <w:r w:rsidRPr="00E215F0">
        <w:t xml:space="preserve">Figure </w:t>
      </w:r>
      <w:r w:rsidR="00500110">
        <w:fldChar w:fldCharType="begin"/>
      </w:r>
      <w:r w:rsidR="00500110">
        <w:instrText xml:space="preserve"> SEQ Figure \* ARABIC </w:instrText>
      </w:r>
      <w:r w:rsidR="00500110">
        <w:fldChar w:fldCharType="separate"/>
      </w:r>
      <w:r w:rsidR="00850DA1">
        <w:rPr>
          <w:noProof/>
        </w:rPr>
        <w:t>11</w:t>
      </w:r>
      <w:r w:rsidR="00500110">
        <w:rPr>
          <w:noProof/>
        </w:rPr>
        <w:fldChar w:fldCharType="end"/>
      </w:r>
      <w:bookmarkEnd w:id="817"/>
      <w:r w:rsidRPr="00E215F0">
        <w:t xml:space="preserve"> </w:t>
      </w:r>
      <w:r>
        <w:t xml:space="preserve">CDF of 2D positioning errors </w:t>
      </w:r>
      <w:r w:rsidR="003E12AF">
        <w:t xml:space="preserve">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0099017B"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rsidR="0099017B">
        <w:t xml:space="preserve"> </w:t>
      </w:r>
      <w:r w:rsidR="003E12AF">
        <w:t xml:space="preserve">model trained on </w:t>
      </w:r>
      <w:r w:rsidR="001F4A3E">
        <w:t xml:space="preserve">PDP </w:t>
      </w:r>
      <w:r w:rsidR="003E12AF">
        <w:t xml:space="preserve">path reports from channel estimator G and tested on path reports from </w:t>
      </w:r>
      <w:r w:rsidR="003E12AF" w:rsidRPr="004157FD">
        <w:rPr>
          <w:i/>
          <w:u w:val="single"/>
        </w:rPr>
        <w:t>different</w:t>
      </w:r>
      <w:r w:rsidR="003E12AF">
        <w:t xml:space="preserve"> channel estimators </w:t>
      </w:r>
      <w:r>
        <w:t xml:space="preserve">in </w:t>
      </w:r>
      <w:r w:rsidRPr="00E215F0">
        <w:t xml:space="preserve">the </w:t>
      </w:r>
      <w:r w:rsidRPr="00E215F0">
        <w:rPr>
          <w:lang w:eastAsia="ja-JP"/>
        </w:rPr>
        <w:t>{60%, 6m, 2m} InF-DH scenario</w:t>
      </w:r>
      <w:r w:rsidRPr="00E215F0">
        <w:t>.</w:t>
      </w:r>
    </w:p>
    <w:p w14:paraId="70981ACF" w14:textId="77777777" w:rsidR="00394268" w:rsidRDefault="00394268" w:rsidP="001F46E8"/>
    <w:p w14:paraId="62AB7AD9" w14:textId="3DED714E" w:rsidR="00E72809" w:rsidRDefault="009241BB" w:rsidP="00F87BE6">
      <w:r>
        <w:t xml:space="preserve">While the evaluations above </w:t>
      </w:r>
      <w:r w:rsidR="007B249B">
        <w:t>focused on</w:t>
      </w:r>
      <w:r>
        <w:t xml:space="preserve"> </w:t>
      </w:r>
      <w:r w:rsidR="007B249B">
        <w:t xml:space="preserve">path-based </w:t>
      </w:r>
      <w:r>
        <w:t xml:space="preserve">PDP as model input, </w:t>
      </w:r>
      <w:r w:rsidR="007B249B">
        <w:t>the same experiment</w:t>
      </w:r>
      <w:r>
        <w:t xml:space="preserve"> is performed below using </w:t>
      </w:r>
      <w:r w:rsidR="007B249B">
        <w:t xml:space="preserve">path-based </w:t>
      </w:r>
      <w:r>
        <w:t xml:space="preserve">CIR as model input. </w:t>
      </w:r>
      <w:r w:rsidR="0086162D">
        <w:t xml:space="preserve">The </w:t>
      </w:r>
      <w:r w:rsidR="0086162D" w:rsidRPr="00086111">
        <w:t>90%tile 2D positioning accuracy</w:t>
      </w:r>
      <w:r w:rsidR="0086162D">
        <w:t xml:space="preserve"> values of the Rel-17 path-based </w:t>
      </w:r>
      <w:r w:rsidR="00F511A0">
        <w:t xml:space="preserve">2-port </w:t>
      </w:r>
      <w:r w:rsidR="00BA1D70">
        <w:t>CIR</w:t>
      </w:r>
      <w:r w:rsidR="0086162D">
        <w:t xml:space="preserve"> models trained and tested on reports from the same channel estimators are compared to those of the sample-based PDP models in</w:t>
      </w:r>
      <w:r w:rsidR="00BA1D70">
        <w:t xml:space="preserve"> </w:t>
      </w:r>
      <w:r w:rsidR="0007052A">
        <w:fldChar w:fldCharType="begin"/>
      </w:r>
      <w:r w:rsidR="0007052A">
        <w:instrText xml:space="preserve"> REF _Ref162881378 \h </w:instrText>
      </w:r>
      <w:r w:rsidR="0007052A">
        <w:fldChar w:fldCharType="separate"/>
      </w:r>
      <w:r w:rsidR="00850DA1" w:rsidRPr="00086111">
        <w:t xml:space="preserve">Table </w:t>
      </w:r>
      <w:r w:rsidR="00850DA1">
        <w:rPr>
          <w:noProof/>
        </w:rPr>
        <w:t>10</w:t>
      </w:r>
      <w:r w:rsidR="0007052A">
        <w:fldChar w:fldCharType="end"/>
      </w:r>
      <w:r w:rsidR="0086162D">
        <w:t>.</w:t>
      </w:r>
      <w:r w:rsidR="00E72809">
        <w:t xml:space="preserve"> </w:t>
      </w:r>
      <w:r w:rsidR="00BC0509">
        <w:t xml:space="preserve">Compared to using the PDP </w:t>
      </w:r>
      <w:r w:rsidR="00974C68">
        <w:t xml:space="preserve">path-based </w:t>
      </w:r>
      <w:r w:rsidR="00BC0509">
        <w:t xml:space="preserve">reports, ML models using the </w:t>
      </w:r>
      <w:r w:rsidR="00E72809">
        <w:t xml:space="preserve">CIR </w:t>
      </w:r>
      <w:r w:rsidR="00974C68">
        <w:t xml:space="preserve">path-based </w:t>
      </w:r>
      <w:r w:rsidR="00BC0509">
        <w:t xml:space="preserve">reports achieves a reduction </w:t>
      </w:r>
      <w:r w:rsidR="005D60EE">
        <w:t>of 4.4% in 90%tile 2D positioning errors</w:t>
      </w:r>
      <w:r w:rsidR="00F87BE6">
        <w:t xml:space="preserve"> though s</w:t>
      </w:r>
      <w:r w:rsidR="002116F4">
        <w:t>ome channel estimators enable more improvement</w:t>
      </w:r>
      <w:r w:rsidR="001C29C6">
        <w:t>s than the others.</w:t>
      </w:r>
    </w:p>
    <w:p w14:paraId="75E39B4B" w14:textId="711ABC2C" w:rsidR="00AC1DA6" w:rsidRDefault="00AC1DA6" w:rsidP="00AC1DA6">
      <w:r>
        <w:t xml:space="preserve">In </w:t>
      </w:r>
      <w:r>
        <w:fldChar w:fldCharType="begin"/>
      </w:r>
      <w:r>
        <w:instrText xml:space="preserve"> REF _Ref162882191 \h </w:instrText>
      </w:r>
      <w:r>
        <w:fldChar w:fldCharType="separate"/>
      </w:r>
      <w:r w:rsidR="00850DA1" w:rsidRPr="00E215F0">
        <w:t xml:space="preserve">Figure </w:t>
      </w:r>
      <w:r w:rsidR="00850DA1">
        <w:rPr>
          <w:noProof/>
        </w:rPr>
        <w:t>12</w:t>
      </w:r>
      <w:r>
        <w:fldChar w:fldCharType="end"/>
      </w:r>
      <w:r>
        <w:t xml:space="preserve">, we show the </w:t>
      </w:r>
      <w:r w:rsidRPr="00086111">
        <w:t xml:space="preserve">2D positioning </w:t>
      </w:r>
      <w:r>
        <w:t xml:space="preserve">error CDF of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=128</m:t>
        </m:r>
      </m:oMath>
      <w:r w:rsidRPr="00F6774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=16</m:t>
        </m:r>
      </m:oMath>
      <w:r>
        <w:t xml:space="preserve"> model trained on </w:t>
      </w:r>
      <w:r w:rsidR="00F529D9">
        <w:t xml:space="preserve">2-port </w:t>
      </w:r>
      <w:r w:rsidR="00AB5EA2">
        <w:t xml:space="preserve">CIR </w:t>
      </w:r>
      <w:r>
        <w:t>path reports from channel estimator G and tested on path reports from different channel estimators.</w:t>
      </w:r>
    </w:p>
    <w:p w14:paraId="37C97945" w14:textId="71C9452B" w:rsidR="00AC1DA6" w:rsidRPr="005162F9" w:rsidRDefault="00AC1DA6" w:rsidP="00D35F36">
      <w:pPr>
        <w:pStyle w:val="ListParagraph"/>
        <w:numPr>
          <w:ilvl w:val="0"/>
          <w:numId w:val="50"/>
        </w:numPr>
      </w:pPr>
      <w:r>
        <w:t xml:space="preserve">The model achieves </w:t>
      </w:r>
      <w:r w:rsidRPr="00086111">
        <w:t xml:space="preserve">90%tile 2D positioning </w:t>
      </w:r>
      <w:r>
        <w:t>error of 0.5</w:t>
      </w:r>
      <w:r w:rsidR="00EC3B3A">
        <w:t>6</w:t>
      </w:r>
      <w:r>
        <w:t xml:space="preserve"> m when tested using reports from channel estimator G.</w:t>
      </w:r>
    </w:p>
    <w:p w14:paraId="473E0AA2" w14:textId="4D261021" w:rsidR="00AC1DA6" w:rsidRPr="002D0797" w:rsidRDefault="00AC1DA6" w:rsidP="00D35F36">
      <w:pPr>
        <w:pStyle w:val="ListParagraph"/>
        <w:numPr>
          <w:ilvl w:val="0"/>
          <w:numId w:val="50"/>
        </w:numPr>
      </w:pPr>
      <w:r>
        <w:t>As discussed in the above, channel estimator B and G have basically identical overall CDF for found taps</w:t>
      </w:r>
      <w:r w:rsidRPr="00E85B8D">
        <w:t xml:space="preserve"> </w:t>
      </w:r>
      <w:r>
        <w:t xml:space="preserve">as shown in </w:t>
      </w:r>
      <w:r>
        <w:fldChar w:fldCharType="begin"/>
      </w:r>
      <w:r>
        <w:instrText xml:space="preserve"> REF _Ref162360182 \h </w:instrText>
      </w:r>
      <w:r>
        <w:fldChar w:fldCharType="separate"/>
      </w:r>
      <w:r w:rsidR="00850DA1" w:rsidRPr="00E215F0">
        <w:t xml:space="preserve">Figure </w:t>
      </w:r>
      <w:r w:rsidR="00850DA1">
        <w:rPr>
          <w:noProof/>
        </w:rPr>
        <w:t>9</w:t>
      </w:r>
      <w:r>
        <w:fldChar w:fldCharType="end"/>
      </w:r>
      <w:r>
        <w:t xml:space="preserve">. However, the </w:t>
      </w:r>
      <w:r w:rsidRPr="00086111">
        <w:t xml:space="preserve">90%tile 2D positioning </w:t>
      </w:r>
      <w:r>
        <w:t>error of the model degrades to 1.</w:t>
      </w:r>
      <w:r w:rsidR="00D22494">
        <w:t>2</w:t>
      </w:r>
      <w:r>
        <w:t xml:space="preserve">1 m, which is an </w:t>
      </w:r>
      <w:r w:rsidR="006B34BB">
        <w:t>116</w:t>
      </w:r>
      <w:r>
        <w:t>% increase in positioning error.</w:t>
      </w:r>
    </w:p>
    <w:p w14:paraId="322AB607" w14:textId="2B908FD8" w:rsidR="00AC1DA6" w:rsidRPr="005B6CBA" w:rsidRDefault="00AC1DA6" w:rsidP="00D35F36">
      <w:pPr>
        <w:pStyle w:val="ListParagraph"/>
        <w:numPr>
          <w:ilvl w:val="1"/>
          <w:numId w:val="50"/>
        </w:numPr>
      </w:pPr>
      <w:r>
        <w:t xml:space="preserve">On the other hand, channel estimator C has substantially different number of detected paths than channel estimator G. But the </w:t>
      </w:r>
      <w:r w:rsidRPr="00086111">
        <w:t xml:space="preserve">90%tile 2D positioning </w:t>
      </w:r>
      <w:r>
        <w:t>error of the model only degrades to 0.</w:t>
      </w:r>
      <w:r w:rsidR="00A7199E">
        <w:t>70</w:t>
      </w:r>
      <w:r>
        <w:t xml:space="preserve"> m.</w:t>
      </w:r>
    </w:p>
    <w:p w14:paraId="2B9607D5" w14:textId="2D315FD8" w:rsidR="00AC1DA6" w:rsidRPr="001349EE" w:rsidRDefault="00AC1DA6" w:rsidP="00D35F36">
      <w:pPr>
        <w:pStyle w:val="ListParagraph"/>
        <w:numPr>
          <w:ilvl w:val="0"/>
          <w:numId w:val="50"/>
        </w:numPr>
      </w:pPr>
      <w:r>
        <w:t>Furthermore, channel estimator A and F also have very similar overall CDF for found taps</w:t>
      </w:r>
      <w:r w:rsidRPr="00E85B8D">
        <w:t xml:space="preserve"> </w:t>
      </w:r>
      <w:r>
        <w:t xml:space="preserve">as shown in </w:t>
      </w:r>
      <w:r>
        <w:fldChar w:fldCharType="begin"/>
      </w:r>
      <w:r>
        <w:instrText xml:space="preserve"> REF _Ref162360182 \h </w:instrText>
      </w:r>
      <w:r>
        <w:fldChar w:fldCharType="separate"/>
      </w:r>
      <w:r w:rsidR="00850DA1" w:rsidRPr="00E215F0">
        <w:t xml:space="preserve">Figure </w:t>
      </w:r>
      <w:r w:rsidR="00850DA1">
        <w:rPr>
          <w:noProof/>
        </w:rPr>
        <w:t>9</w:t>
      </w:r>
      <w:r>
        <w:fldChar w:fldCharType="end"/>
      </w:r>
      <w:r>
        <w:t xml:space="preserve">. The model’s responses to the Rel-17 path-based </w:t>
      </w:r>
      <w:r w:rsidRPr="003E10BF">
        <w:t>reports</w:t>
      </w:r>
      <w:r>
        <w:t xml:space="preserve"> from these channel estimators are quite different.</w:t>
      </w:r>
    </w:p>
    <w:p w14:paraId="35B72F53" w14:textId="4FC4A7EC" w:rsidR="00AC1DA6" w:rsidRPr="00447023" w:rsidRDefault="00AC1DA6" w:rsidP="00D35F36">
      <w:pPr>
        <w:pStyle w:val="ListParagraph"/>
        <w:numPr>
          <w:ilvl w:val="1"/>
          <w:numId w:val="50"/>
        </w:numPr>
      </w:pPr>
      <w:r>
        <w:t xml:space="preserve">When tested on reports from channel estimator A, the </w:t>
      </w:r>
      <w:r w:rsidRPr="00086111">
        <w:t xml:space="preserve">90%tile 2D positioning </w:t>
      </w:r>
      <w:r>
        <w:t>error of the model degrades to 1.</w:t>
      </w:r>
      <w:r w:rsidR="005A68CB">
        <w:t>86</w:t>
      </w:r>
      <w:r>
        <w:t xml:space="preserve"> m.</w:t>
      </w:r>
    </w:p>
    <w:p w14:paraId="3ACCA843" w14:textId="4C17E885" w:rsidR="00667CCA" w:rsidRDefault="00AC1DA6" w:rsidP="00D35F36">
      <w:pPr>
        <w:pStyle w:val="ListParagraph"/>
        <w:numPr>
          <w:ilvl w:val="1"/>
          <w:numId w:val="50"/>
        </w:numPr>
      </w:pPr>
      <w:r>
        <w:t xml:space="preserve">When tested on reports from channel estimator F, the </w:t>
      </w:r>
      <w:r w:rsidRPr="00086111">
        <w:t xml:space="preserve">90%tile 2D positioning </w:t>
      </w:r>
      <w:r>
        <w:t>error of the model degrades to 0.7</w:t>
      </w:r>
      <w:r w:rsidR="002E73D2">
        <w:t>2</w:t>
      </w:r>
      <w:r>
        <w:t xml:space="preserve"> m.</w:t>
      </w:r>
    </w:p>
    <w:p w14:paraId="5E831879" w14:textId="403D79FA" w:rsidR="009241BB" w:rsidRDefault="007B249B" w:rsidP="001F46E8">
      <w:r>
        <w:t xml:space="preserve">Overall, compared to path-based PDP as model input, path-based </w:t>
      </w:r>
      <w:r w:rsidR="009241BB">
        <w:t>CIR reports enable marginal positioning accuracy improvements (4.4% error reduction averaged across different channel estimators) while requiring quadruple signaling sizes. The ML models using CIR path reports are even more sensitive to channel estimator mismatch between training and inference phases.</w:t>
      </w:r>
    </w:p>
    <w:p w14:paraId="077C80AA" w14:textId="77777777" w:rsidR="009241BB" w:rsidRDefault="009241BB" w:rsidP="001F46E8"/>
    <w:p w14:paraId="6F96FA2F" w14:textId="4D959619" w:rsidR="00120073" w:rsidRPr="00E215F0" w:rsidRDefault="00120073" w:rsidP="002938DE">
      <w:pPr>
        <w:pStyle w:val="Observation"/>
      </w:pPr>
      <w:bookmarkStart w:id="818" w:name="_Toc178961847"/>
      <w:r w:rsidRPr="003E10BF">
        <w:lastRenderedPageBreak/>
        <w:t xml:space="preserve">Models </w:t>
      </w:r>
      <w:r w:rsidR="009241BB">
        <w:t>trained</w:t>
      </w:r>
      <w:r w:rsidRPr="003E10BF">
        <w:t xml:space="preserve"> using </w:t>
      </w:r>
      <w:r>
        <w:t>Rel-17 path-based reports prepared by one channel estimator do not generalize to reports from different channel estimators.</w:t>
      </w:r>
      <w:bookmarkEnd w:id="818"/>
    </w:p>
    <w:p w14:paraId="0E08D736" w14:textId="77777777" w:rsidR="00120073" w:rsidRPr="00E215F0" w:rsidRDefault="00120073" w:rsidP="002938DE">
      <w:pPr>
        <w:pStyle w:val="Observation"/>
      </w:pPr>
      <w:bookmarkStart w:id="819" w:name="_Toc178961848"/>
      <w:r>
        <w:t>Given the large dimensions and ranges of possible channel estimation algorithm design tradeoffs and algorithm behaviors, fingerprinting type ML models do not generalize to measurement reports generated from different channel estimation implementations.</w:t>
      </w:r>
      <w:bookmarkEnd w:id="819"/>
    </w:p>
    <w:p w14:paraId="0434E918" w14:textId="00BE0B6A" w:rsidR="00120073" w:rsidRPr="00194B5B" w:rsidRDefault="00286CF5" w:rsidP="002938DE">
      <w:pPr>
        <w:pStyle w:val="Observation"/>
      </w:pPr>
      <w:bookmarkStart w:id="820" w:name="_Toc178961849"/>
      <w:r>
        <w:t xml:space="preserve">Models using path-based PDP and path-based CIR as model input are </w:t>
      </w:r>
      <w:r w:rsidR="009C189F">
        <w:t xml:space="preserve">sensitive to </w:t>
      </w:r>
      <w:r w:rsidR="00F30E85">
        <w:t>channel estimator mismatch between training and inference phases</w:t>
      </w:r>
      <w:r>
        <w:t>, with higher sensitivity observed for path-based CIR</w:t>
      </w:r>
      <w:r w:rsidR="00F30E85" w:rsidDel="00286CF5">
        <w:t>.</w:t>
      </w:r>
      <w:bookmarkEnd w:id="820"/>
    </w:p>
    <w:p w14:paraId="324B170B" w14:textId="77777777" w:rsidR="00667CCA" w:rsidRDefault="00667CCA" w:rsidP="001F46E8"/>
    <w:p w14:paraId="34DA2C8E" w14:textId="7ED3ED5A" w:rsidR="00EA7956" w:rsidRDefault="00EA7956" w:rsidP="00EA7956">
      <w:pPr>
        <w:pStyle w:val="Caption"/>
      </w:pPr>
      <w:bookmarkStart w:id="821" w:name="_Ref162881378"/>
      <w:r w:rsidRPr="00086111">
        <w:t xml:space="preserve">Table </w:t>
      </w:r>
      <w:r w:rsidRPr="00086111">
        <w:fldChar w:fldCharType="begin"/>
      </w:r>
      <w:r w:rsidRPr="00086111">
        <w:instrText>SEQ Table \* ARABIC</w:instrText>
      </w:r>
      <w:r w:rsidRPr="00086111">
        <w:fldChar w:fldCharType="separate"/>
      </w:r>
      <w:r w:rsidR="00850DA1">
        <w:rPr>
          <w:noProof/>
        </w:rPr>
        <w:t>10</w:t>
      </w:r>
      <w:r w:rsidRPr="00086111">
        <w:fldChar w:fldCharType="end"/>
      </w:r>
      <w:bookmarkEnd w:id="821"/>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w:t>
      </w:r>
      <w:r w:rsidR="00F529D9">
        <w:t xml:space="preserve">2-port </w:t>
      </w:r>
      <w:r>
        <w:t>CIR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{60%, 6m, 2m} InF-DH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850DA1">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F24453" w14:paraId="3BCDEF9F" w14:textId="77777777" w:rsidTr="005E7756">
        <w:tc>
          <w:tcPr>
            <w:tcW w:w="1525" w:type="dxa"/>
            <w:gridSpan w:val="2"/>
            <w:tcBorders>
              <w:right w:val="double" w:sz="4" w:space="0" w:color="auto"/>
            </w:tcBorders>
            <w:vAlign w:val="center"/>
          </w:tcPr>
          <w:p w14:paraId="26BF6F0F" w14:textId="77777777" w:rsidR="00F24453" w:rsidRPr="007F5D82" w:rsidRDefault="00F24453" w:rsidP="005E7756">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19145357" w14:textId="77777777" w:rsidR="00F24453" w:rsidRPr="007F5D82" w:rsidRDefault="00F24453" w:rsidP="005E7756">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100 MHz RS bandwidth</w:t>
            </w:r>
          </w:p>
        </w:tc>
      </w:tr>
      <w:tr w:rsidR="00F24453" w14:paraId="5741C809" w14:textId="77777777" w:rsidTr="005E7756">
        <w:tc>
          <w:tcPr>
            <w:tcW w:w="762" w:type="dxa"/>
            <w:vMerge w:val="restart"/>
            <w:vAlign w:val="center"/>
          </w:tcPr>
          <w:p w14:paraId="666E7762" w14:textId="77777777" w:rsidR="00F24453" w:rsidRPr="007F5D82" w:rsidRDefault="009C13C0" w:rsidP="005E7756">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36E6D586" w14:textId="77777777" w:rsidR="00F24453" w:rsidRPr="007F5D82" w:rsidRDefault="009C13C0" w:rsidP="005E7756">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509A573C"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4C1185AB"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Path-based signaling</w:t>
            </w:r>
          </w:p>
        </w:tc>
      </w:tr>
      <w:tr w:rsidR="00F24453" w14:paraId="5FCC743E" w14:textId="77777777" w:rsidTr="005E7756">
        <w:tc>
          <w:tcPr>
            <w:tcW w:w="762" w:type="dxa"/>
            <w:vMerge/>
            <w:vAlign w:val="center"/>
          </w:tcPr>
          <w:p w14:paraId="11A3F616" w14:textId="77777777" w:rsidR="00F24453" w:rsidRPr="007F5D82" w:rsidRDefault="00F24453" w:rsidP="005E7756">
            <w:pPr>
              <w:spacing w:before="40" w:after="40"/>
              <w:jc w:val="center"/>
              <w:rPr>
                <w:rFonts w:cs="Arial"/>
                <w:color w:val="000000"/>
                <w:sz w:val="20"/>
                <w:szCs w:val="20"/>
              </w:rPr>
            </w:pPr>
          </w:p>
        </w:tc>
        <w:tc>
          <w:tcPr>
            <w:tcW w:w="763" w:type="dxa"/>
            <w:vMerge/>
            <w:tcBorders>
              <w:right w:val="double" w:sz="4" w:space="0" w:color="auto"/>
            </w:tcBorders>
            <w:vAlign w:val="center"/>
          </w:tcPr>
          <w:p w14:paraId="5A246449" w14:textId="77777777" w:rsidR="00F24453" w:rsidRPr="007F5D82" w:rsidRDefault="00F24453" w:rsidP="005E7756">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41282A7F" w14:textId="77777777" w:rsidR="00F24453" w:rsidRPr="007F5D82" w:rsidRDefault="00F24453" w:rsidP="005E7756">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3CF32C25" w14:textId="77777777" w:rsidR="00F24453" w:rsidRPr="007F5D82" w:rsidRDefault="00F24453" w:rsidP="005E7756">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57F15165" w14:textId="77777777" w:rsidR="00F24453" w:rsidRPr="007F5D82" w:rsidRDefault="00F24453" w:rsidP="005E7756">
            <w:pPr>
              <w:spacing w:before="40" w:after="40"/>
              <w:jc w:val="center"/>
              <w:rPr>
                <w:rFonts w:cs="Arial"/>
                <w:color w:val="000000"/>
                <w:sz w:val="20"/>
                <w:szCs w:val="20"/>
              </w:rPr>
            </w:pPr>
            <w:r>
              <w:rPr>
                <w:sz w:val="20"/>
                <w:szCs w:val="20"/>
              </w:rPr>
              <w:t>Different channel estimators</w:t>
            </w:r>
          </w:p>
        </w:tc>
      </w:tr>
      <w:tr w:rsidR="00F24453" w14:paraId="2ABFD660" w14:textId="77777777" w:rsidTr="005E7756">
        <w:tc>
          <w:tcPr>
            <w:tcW w:w="762" w:type="dxa"/>
            <w:vMerge/>
            <w:tcBorders>
              <w:bottom w:val="double" w:sz="4" w:space="0" w:color="auto"/>
            </w:tcBorders>
            <w:vAlign w:val="center"/>
          </w:tcPr>
          <w:p w14:paraId="41946596" w14:textId="77777777" w:rsidR="00F24453" w:rsidRPr="007F5D82" w:rsidRDefault="00F24453" w:rsidP="005E7756">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7509F704" w14:textId="77777777" w:rsidR="00F24453" w:rsidRPr="007F5D82" w:rsidRDefault="00F24453" w:rsidP="005E7756">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1A565841" w14:textId="77777777" w:rsidR="00F24453" w:rsidRPr="007F5D82" w:rsidRDefault="00F24453" w:rsidP="005E7756">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7D847C91" w14:textId="77777777" w:rsidR="00F24453" w:rsidRPr="007F5D82" w:rsidRDefault="00F24453" w:rsidP="005E7756">
            <w:pPr>
              <w:spacing w:before="40" w:after="40"/>
              <w:jc w:val="center"/>
              <w:rPr>
                <w:rFonts w:cs="Arial"/>
                <w:color w:val="000000"/>
                <w:sz w:val="20"/>
                <w:szCs w:val="20"/>
              </w:rPr>
            </w:pPr>
          </w:p>
        </w:tc>
        <w:tc>
          <w:tcPr>
            <w:tcW w:w="871" w:type="dxa"/>
            <w:tcBorders>
              <w:bottom w:val="double" w:sz="4" w:space="0" w:color="auto"/>
            </w:tcBorders>
            <w:vAlign w:val="center"/>
          </w:tcPr>
          <w:p w14:paraId="5EABC767" w14:textId="77777777" w:rsidR="00F24453" w:rsidRPr="007F5D82" w:rsidRDefault="00F24453" w:rsidP="005E7756">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7F0D96A7" w14:textId="77777777" w:rsidR="00F24453" w:rsidRPr="007F5D82" w:rsidRDefault="00F24453" w:rsidP="005E7756">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47597583" w14:textId="77777777" w:rsidR="00F24453" w:rsidRPr="007F5D82" w:rsidRDefault="00F24453" w:rsidP="005E7756">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4DFDEB58" w14:textId="77777777" w:rsidR="00F24453" w:rsidRPr="007F5D82" w:rsidRDefault="00F24453" w:rsidP="005E7756">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213A771F" w14:textId="77777777" w:rsidR="00F24453" w:rsidRPr="007F5D82" w:rsidRDefault="00F24453" w:rsidP="005E7756">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5AF8A62B" w14:textId="77777777" w:rsidR="00F24453" w:rsidRPr="007F5D82" w:rsidRDefault="00F24453" w:rsidP="005E7756">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100BAB85" w14:textId="77777777" w:rsidR="00F24453" w:rsidRPr="007F5D82" w:rsidRDefault="00F24453" w:rsidP="005E7756">
            <w:pPr>
              <w:spacing w:before="40" w:after="40"/>
              <w:jc w:val="center"/>
              <w:rPr>
                <w:rFonts w:cs="Arial"/>
                <w:color w:val="000000"/>
                <w:sz w:val="20"/>
                <w:szCs w:val="20"/>
              </w:rPr>
            </w:pPr>
            <w:r w:rsidRPr="001F661F">
              <w:rPr>
                <w:sz w:val="20"/>
                <w:szCs w:val="20"/>
              </w:rPr>
              <w:t>C</w:t>
            </w:r>
          </w:p>
        </w:tc>
      </w:tr>
      <w:tr w:rsidR="00F24453" w14:paraId="5279858A" w14:textId="77777777" w:rsidTr="005E7756">
        <w:tc>
          <w:tcPr>
            <w:tcW w:w="762" w:type="dxa"/>
            <w:tcBorders>
              <w:top w:val="double" w:sz="4" w:space="0" w:color="auto"/>
            </w:tcBorders>
            <w:vAlign w:val="center"/>
          </w:tcPr>
          <w:p w14:paraId="1C8FD82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5564EBC5"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1BB5D1F7"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0.68</w:t>
            </w:r>
          </w:p>
        </w:tc>
        <w:tc>
          <w:tcPr>
            <w:tcW w:w="1167" w:type="dxa"/>
            <w:tcBorders>
              <w:top w:val="double" w:sz="4" w:space="0" w:color="auto"/>
              <w:left w:val="double" w:sz="4" w:space="0" w:color="auto"/>
            </w:tcBorders>
            <w:vAlign w:val="bottom"/>
          </w:tcPr>
          <w:p w14:paraId="2944ABB3"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0.68</w:t>
            </w:r>
          </w:p>
        </w:tc>
        <w:tc>
          <w:tcPr>
            <w:tcW w:w="871" w:type="dxa"/>
            <w:tcBorders>
              <w:top w:val="double" w:sz="4" w:space="0" w:color="auto"/>
            </w:tcBorders>
            <w:vAlign w:val="center"/>
          </w:tcPr>
          <w:p w14:paraId="4A7BC9F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0.80</w:t>
            </w:r>
          </w:p>
        </w:tc>
        <w:tc>
          <w:tcPr>
            <w:tcW w:w="872" w:type="dxa"/>
            <w:tcBorders>
              <w:top w:val="double" w:sz="4" w:space="0" w:color="auto"/>
            </w:tcBorders>
            <w:vAlign w:val="center"/>
          </w:tcPr>
          <w:p w14:paraId="0A00F88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624C2CE9"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0.79</w:t>
            </w:r>
          </w:p>
        </w:tc>
        <w:tc>
          <w:tcPr>
            <w:tcW w:w="872" w:type="dxa"/>
            <w:tcBorders>
              <w:top w:val="double" w:sz="4" w:space="0" w:color="auto"/>
            </w:tcBorders>
            <w:vAlign w:val="center"/>
          </w:tcPr>
          <w:p w14:paraId="1F63D1D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0.65</w:t>
            </w:r>
          </w:p>
        </w:tc>
        <w:tc>
          <w:tcPr>
            <w:tcW w:w="872" w:type="dxa"/>
            <w:tcBorders>
              <w:top w:val="double" w:sz="4" w:space="0" w:color="auto"/>
            </w:tcBorders>
            <w:vAlign w:val="center"/>
          </w:tcPr>
          <w:p w14:paraId="537708B7"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0.71</w:t>
            </w:r>
          </w:p>
        </w:tc>
        <w:tc>
          <w:tcPr>
            <w:tcW w:w="872" w:type="dxa"/>
            <w:tcBorders>
              <w:top w:val="double" w:sz="4" w:space="0" w:color="auto"/>
            </w:tcBorders>
            <w:vAlign w:val="center"/>
          </w:tcPr>
          <w:p w14:paraId="189630D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0.50</w:t>
            </w:r>
          </w:p>
        </w:tc>
        <w:tc>
          <w:tcPr>
            <w:tcW w:w="872" w:type="dxa"/>
            <w:tcBorders>
              <w:top w:val="double" w:sz="4" w:space="0" w:color="auto"/>
            </w:tcBorders>
            <w:vAlign w:val="center"/>
          </w:tcPr>
          <w:p w14:paraId="54DD8D10"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0.60</w:t>
            </w:r>
          </w:p>
        </w:tc>
      </w:tr>
      <w:tr w:rsidR="00F24453" w14:paraId="4242A0BF" w14:textId="77777777" w:rsidTr="005E7756">
        <w:tc>
          <w:tcPr>
            <w:tcW w:w="762" w:type="dxa"/>
            <w:vAlign w:val="center"/>
          </w:tcPr>
          <w:p w14:paraId="1B04DA19"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242FB831"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55B9F1BD"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0.64</w:t>
            </w:r>
          </w:p>
        </w:tc>
        <w:tc>
          <w:tcPr>
            <w:tcW w:w="1167" w:type="dxa"/>
            <w:tcBorders>
              <w:left w:val="double" w:sz="4" w:space="0" w:color="auto"/>
            </w:tcBorders>
            <w:vAlign w:val="bottom"/>
          </w:tcPr>
          <w:p w14:paraId="597BB381"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0.67</w:t>
            </w:r>
          </w:p>
        </w:tc>
        <w:tc>
          <w:tcPr>
            <w:tcW w:w="871" w:type="dxa"/>
            <w:vAlign w:val="center"/>
          </w:tcPr>
          <w:p w14:paraId="79A23F8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606B9B1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0.74</w:t>
            </w:r>
          </w:p>
        </w:tc>
        <w:tc>
          <w:tcPr>
            <w:tcW w:w="872" w:type="dxa"/>
            <w:vAlign w:val="center"/>
          </w:tcPr>
          <w:p w14:paraId="1B2ACAF5"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53B8D28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747231E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5BF06997"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0.56</w:t>
            </w:r>
          </w:p>
        </w:tc>
        <w:tc>
          <w:tcPr>
            <w:tcW w:w="872" w:type="dxa"/>
            <w:vAlign w:val="center"/>
          </w:tcPr>
          <w:p w14:paraId="310FB29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0.59</w:t>
            </w:r>
          </w:p>
        </w:tc>
      </w:tr>
      <w:tr w:rsidR="00F24453" w14:paraId="5A010EC4" w14:textId="77777777" w:rsidTr="005E7756">
        <w:tc>
          <w:tcPr>
            <w:tcW w:w="762" w:type="dxa"/>
            <w:tcBorders>
              <w:bottom w:val="double" w:sz="4" w:space="0" w:color="auto"/>
            </w:tcBorders>
            <w:vAlign w:val="center"/>
          </w:tcPr>
          <w:p w14:paraId="111D9615"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37135D2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7CEA4E00"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0.70</w:t>
            </w:r>
          </w:p>
        </w:tc>
        <w:tc>
          <w:tcPr>
            <w:tcW w:w="1167" w:type="dxa"/>
            <w:tcBorders>
              <w:left w:val="double" w:sz="4" w:space="0" w:color="auto"/>
              <w:bottom w:val="double" w:sz="4" w:space="0" w:color="auto"/>
            </w:tcBorders>
            <w:vAlign w:val="bottom"/>
          </w:tcPr>
          <w:p w14:paraId="43BF6138"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0.78</w:t>
            </w:r>
          </w:p>
        </w:tc>
        <w:tc>
          <w:tcPr>
            <w:tcW w:w="871" w:type="dxa"/>
            <w:tcBorders>
              <w:bottom w:val="double" w:sz="4" w:space="0" w:color="auto"/>
            </w:tcBorders>
            <w:vAlign w:val="center"/>
          </w:tcPr>
          <w:p w14:paraId="200167B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0.85</w:t>
            </w:r>
          </w:p>
        </w:tc>
        <w:tc>
          <w:tcPr>
            <w:tcW w:w="872" w:type="dxa"/>
            <w:tcBorders>
              <w:bottom w:val="double" w:sz="4" w:space="0" w:color="auto"/>
            </w:tcBorders>
            <w:vAlign w:val="center"/>
          </w:tcPr>
          <w:p w14:paraId="70F42D5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0.79</w:t>
            </w:r>
          </w:p>
        </w:tc>
        <w:tc>
          <w:tcPr>
            <w:tcW w:w="872" w:type="dxa"/>
            <w:tcBorders>
              <w:bottom w:val="double" w:sz="4" w:space="0" w:color="auto"/>
            </w:tcBorders>
            <w:vAlign w:val="center"/>
          </w:tcPr>
          <w:p w14:paraId="627D6C3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0.80</w:t>
            </w:r>
          </w:p>
        </w:tc>
        <w:tc>
          <w:tcPr>
            <w:tcW w:w="872" w:type="dxa"/>
            <w:tcBorders>
              <w:bottom w:val="double" w:sz="4" w:space="0" w:color="auto"/>
            </w:tcBorders>
            <w:vAlign w:val="center"/>
          </w:tcPr>
          <w:p w14:paraId="00ACE6E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0.77</w:t>
            </w:r>
          </w:p>
        </w:tc>
        <w:tc>
          <w:tcPr>
            <w:tcW w:w="872" w:type="dxa"/>
            <w:tcBorders>
              <w:bottom w:val="double" w:sz="4" w:space="0" w:color="auto"/>
            </w:tcBorders>
            <w:vAlign w:val="center"/>
          </w:tcPr>
          <w:p w14:paraId="0421ED0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0.73</w:t>
            </w:r>
          </w:p>
        </w:tc>
        <w:tc>
          <w:tcPr>
            <w:tcW w:w="872" w:type="dxa"/>
            <w:tcBorders>
              <w:bottom w:val="double" w:sz="4" w:space="0" w:color="auto"/>
            </w:tcBorders>
            <w:vAlign w:val="center"/>
          </w:tcPr>
          <w:p w14:paraId="248DF9B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0.75</w:t>
            </w:r>
          </w:p>
        </w:tc>
        <w:tc>
          <w:tcPr>
            <w:tcW w:w="872" w:type="dxa"/>
            <w:tcBorders>
              <w:bottom w:val="double" w:sz="4" w:space="0" w:color="auto"/>
            </w:tcBorders>
            <w:vAlign w:val="center"/>
          </w:tcPr>
          <w:p w14:paraId="75B27360"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0.75</w:t>
            </w:r>
          </w:p>
        </w:tc>
      </w:tr>
      <w:tr w:rsidR="00F24453" w14:paraId="7B319869" w14:textId="77777777" w:rsidTr="005E7756">
        <w:tc>
          <w:tcPr>
            <w:tcW w:w="762" w:type="dxa"/>
            <w:tcBorders>
              <w:top w:val="double" w:sz="4" w:space="0" w:color="auto"/>
            </w:tcBorders>
            <w:vAlign w:val="center"/>
          </w:tcPr>
          <w:p w14:paraId="75A05230"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227DE53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52D01AEB"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0.82</w:t>
            </w:r>
          </w:p>
        </w:tc>
        <w:tc>
          <w:tcPr>
            <w:tcW w:w="1167" w:type="dxa"/>
            <w:tcBorders>
              <w:top w:val="double" w:sz="4" w:space="0" w:color="auto"/>
              <w:left w:val="double" w:sz="4" w:space="0" w:color="auto"/>
            </w:tcBorders>
            <w:vAlign w:val="bottom"/>
          </w:tcPr>
          <w:p w14:paraId="14A58756"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0.76</w:t>
            </w:r>
          </w:p>
        </w:tc>
        <w:tc>
          <w:tcPr>
            <w:tcW w:w="871" w:type="dxa"/>
            <w:tcBorders>
              <w:top w:val="double" w:sz="4" w:space="0" w:color="auto"/>
            </w:tcBorders>
            <w:vAlign w:val="center"/>
          </w:tcPr>
          <w:p w14:paraId="2D45992D"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6212304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0.78</w:t>
            </w:r>
          </w:p>
        </w:tc>
        <w:tc>
          <w:tcPr>
            <w:tcW w:w="872" w:type="dxa"/>
            <w:tcBorders>
              <w:top w:val="double" w:sz="4" w:space="0" w:color="auto"/>
            </w:tcBorders>
            <w:vAlign w:val="center"/>
          </w:tcPr>
          <w:p w14:paraId="6ED236C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118D6D15"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799E75F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tcBorders>
              <w:top w:val="double" w:sz="4" w:space="0" w:color="auto"/>
            </w:tcBorders>
            <w:vAlign w:val="center"/>
          </w:tcPr>
          <w:p w14:paraId="4F21C0C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0.73</w:t>
            </w:r>
          </w:p>
        </w:tc>
        <w:tc>
          <w:tcPr>
            <w:tcW w:w="872" w:type="dxa"/>
            <w:tcBorders>
              <w:top w:val="double" w:sz="4" w:space="0" w:color="auto"/>
            </w:tcBorders>
            <w:vAlign w:val="center"/>
          </w:tcPr>
          <w:p w14:paraId="5CEC9589"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0.71</w:t>
            </w:r>
          </w:p>
        </w:tc>
      </w:tr>
      <w:tr w:rsidR="00F24453" w14:paraId="09E17B63" w14:textId="77777777" w:rsidTr="005E7756">
        <w:tc>
          <w:tcPr>
            <w:tcW w:w="762" w:type="dxa"/>
            <w:vAlign w:val="center"/>
          </w:tcPr>
          <w:p w14:paraId="38B0E6B6"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758FA39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2284B386"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0.82</w:t>
            </w:r>
          </w:p>
        </w:tc>
        <w:tc>
          <w:tcPr>
            <w:tcW w:w="1167" w:type="dxa"/>
            <w:tcBorders>
              <w:left w:val="double" w:sz="4" w:space="0" w:color="auto"/>
            </w:tcBorders>
            <w:vAlign w:val="bottom"/>
          </w:tcPr>
          <w:p w14:paraId="57E7EE53"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0.73</w:t>
            </w:r>
          </w:p>
        </w:tc>
        <w:tc>
          <w:tcPr>
            <w:tcW w:w="871" w:type="dxa"/>
            <w:vAlign w:val="center"/>
          </w:tcPr>
          <w:p w14:paraId="77AECD67"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080ACDCD"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2185DBC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274E5FBB"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04BB4003"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1E93539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0.70</w:t>
            </w:r>
          </w:p>
        </w:tc>
        <w:tc>
          <w:tcPr>
            <w:tcW w:w="872" w:type="dxa"/>
            <w:vAlign w:val="center"/>
          </w:tcPr>
          <w:p w14:paraId="14FB5B1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0.68</w:t>
            </w:r>
          </w:p>
        </w:tc>
      </w:tr>
      <w:tr w:rsidR="00F24453" w14:paraId="4A6CE73A" w14:textId="77777777" w:rsidTr="005E7756">
        <w:tc>
          <w:tcPr>
            <w:tcW w:w="762" w:type="dxa"/>
            <w:vAlign w:val="center"/>
          </w:tcPr>
          <w:p w14:paraId="2A474122"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0A9A89B9"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65A245E9"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0.80</w:t>
            </w:r>
          </w:p>
        </w:tc>
        <w:tc>
          <w:tcPr>
            <w:tcW w:w="1167" w:type="dxa"/>
            <w:tcBorders>
              <w:left w:val="double" w:sz="4" w:space="0" w:color="auto"/>
            </w:tcBorders>
            <w:vAlign w:val="bottom"/>
          </w:tcPr>
          <w:p w14:paraId="1D60F555"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0.79</w:t>
            </w:r>
          </w:p>
        </w:tc>
        <w:tc>
          <w:tcPr>
            <w:tcW w:w="871" w:type="dxa"/>
            <w:vAlign w:val="center"/>
          </w:tcPr>
          <w:p w14:paraId="2BB070C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0.86</w:t>
            </w:r>
          </w:p>
        </w:tc>
        <w:tc>
          <w:tcPr>
            <w:tcW w:w="872" w:type="dxa"/>
            <w:vAlign w:val="center"/>
          </w:tcPr>
          <w:p w14:paraId="2AE282C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0.79</w:t>
            </w:r>
          </w:p>
        </w:tc>
        <w:tc>
          <w:tcPr>
            <w:tcW w:w="872" w:type="dxa"/>
            <w:vAlign w:val="center"/>
          </w:tcPr>
          <w:p w14:paraId="4EBF6D3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0.80</w:t>
            </w:r>
          </w:p>
        </w:tc>
        <w:tc>
          <w:tcPr>
            <w:tcW w:w="872" w:type="dxa"/>
            <w:vAlign w:val="center"/>
          </w:tcPr>
          <w:p w14:paraId="20CD08C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0.81</w:t>
            </w:r>
          </w:p>
        </w:tc>
        <w:tc>
          <w:tcPr>
            <w:tcW w:w="872" w:type="dxa"/>
            <w:vAlign w:val="center"/>
          </w:tcPr>
          <w:p w14:paraId="74D5BC09"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469BA300"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0.77</w:t>
            </w:r>
          </w:p>
        </w:tc>
        <w:tc>
          <w:tcPr>
            <w:tcW w:w="872" w:type="dxa"/>
            <w:vAlign w:val="center"/>
          </w:tcPr>
          <w:p w14:paraId="5BC9090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0.73</w:t>
            </w:r>
          </w:p>
        </w:tc>
      </w:tr>
    </w:tbl>
    <w:p w14:paraId="403D7EAC" w14:textId="77777777" w:rsidR="00F24453" w:rsidRDefault="00F24453" w:rsidP="00F24453">
      <w:pPr>
        <w:rPr>
          <w:lang w:eastAsia="en-GB"/>
        </w:rPr>
      </w:pPr>
    </w:p>
    <w:p w14:paraId="304A0B40" w14:textId="77777777" w:rsidR="00EA7956" w:rsidRDefault="00EA7956" w:rsidP="00013A41">
      <w:pPr>
        <w:spacing w:before="40" w:after="40"/>
      </w:pPr>
    </w:p>
    <w:p w14:paraId="418BDDB8" w14:textId="5BE03C1C" w:rsidR="001F4A3E" w:rsidRDefault="009304AB" w:rsidP="001F4A3E">
      <w:pPr>
        <w:jc w:val="center"/>
      </w:pPr>
      <w:r>
        <w:rPr>
          <w:noProof/>
        </w:rPr>
        <w:drawing>
          <wp:inline distT="0" distB="0" distL="0" distR="0" wp14:anchorId="2979A873" wp14:editId="09BABC14">
            <wp:extent cx="3657600" cy="275234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2DC5BB01" w14:textId="3BDE0BBB" w:rsidR="001F4A3E" w:rsidRPr="00E215F0" w:rsidRDefault="001F4A3E" w:rsidP="001F4A3E">
      <w:pPr>
        <w:pStyle w:val="Caption"/>
      </w:pPr>
      <w:bookmarkStart w:id="822" w:name="_Ref162882191"/>
      <w:r w:rsidRPr="00E215F0">
        <w:t xml:space="preserve">Figure </w:t>
      </w:r>
      <w:r w:rsidR="00500110">
        <w:fldChar w:fldCharType="begin"/>
      </w:r>
      <w:r w:rsidR="00500110">
        <w:instrText xml:space="preserve"> SEQ Figure \* ARABIC </w:instrText>
      </w:r>
      <w:r w:rsidR="00500110">
        <w:fldChar w:fldCharType="separate"/>
      </w:r>
      <w:r w:rsidR="00850DA1">
        <w:rPr>
          <w:noProof/>
        </w:rPr>
        <w:t>12</w:t>
      </w:r>
      <w:r w:rsidR="00500110">
        <w:rPr>
          <w:noProof/>
        </w:rPr>
        <w:fldChar w:fldCharType="end"/>
      </w:r>
      <w:bookmarkEnd w:id="822"/>
      <w:r w:rsidRPr="00E215F0">
        <w:t xml:space="preserve"> </w:t>
      </w:r>
      <w:r>
        <w:t xml:space="preserve">CDF of 2D positioning errors 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t xml:space="preserve"> model trained on </w:t>
      </w:r>
      <w:r w:rsidR="00F529D9">
        <w:t xml:space="preserve">2-port </w:t>
      </w:r>
      <w:r>
        <w:t xml:space="preserve">CIR path reports from channel estimator G and tested on path reports from </w:t>
      </w:r>
      <w:r w:rsidRPr="004157FD">
        <w:rPr>
          <w:i/>
          <w:u w:val="single"/>
        </w:rPr>
        <w:t xml:space="preserve">different </w:t>
      </w:r>
      <w:r>
        <w:t xml:space="preserve">channel estimators in </w:t>
      </w:r>
      <w:r w:rsidRPr="00E215F0">
        <w:t xml:space="preserve">the </w:t>
      </w:r>
      <w:r w:rsidRPr="00E215F0">
        <w:rPr>
          <w:lang w:eastAsia="ja-JP"/>
        </w:rPr>
        <w:t>{60%, 6m, 2m} InF-DH scenario</w:t>
      </w:r>
      <w:r w:rsidRPr="00E215F0">
        <w:t>.</w:t>
      </w:r>
    </w:p>
    <w:p w14:paraId="31805BC5" w14:textId="77777777" w:rsidR="00EA7956" w:rsidRDefault="00EA7956" w:rsidP="001F46E8"/>
    <w:p w14:paraId="245721B1" w14:textId="5BB56375" w:rsidR="003B4849" w:rsidRPr="00394268" w:rsidRDefault="003B4849" w:rsidP="004157FD">
      <w:pPr>
        <w:pStyle w:val="Heading4"/>
      </w:pPr>
      <w:bookmarkStart w:id="823" w:name="_Ref163068296"/>
      <w:bookmarkStart w:id="824" w:name="_Toc165990985"/>
      <w:bookmarkStart w:id="825" w:name="_Toc178961652"/>
      <w:r>
        <w:t xml:space="preserve">Processing </w:t>
      </w:r>
      <w:r w:rsidR="00291C89">
        <w:t>bandwidth/</w:t>
      </w:r>
      <w:r>
        <w:t>capabilit</w:t>
      </w:r>
      <w:r w:rsidR="00291C89">
        <w:t>y</w:t>
      </w:r>
      <w:r>
        <w:t xml:space="preserve"> issues</w:t>
      </w:r>
      <w:bookmarkEnd w:id="823"/>
      <w:bookmarkEnd w:id="824"/>
      <w:bookmarkEnd w:id="825"/>
    </w:p>
    <w:p w14:paraId="3A24B485" w14:textId="4F1CE54F" w:rsidR="00A5582B" w:rsidRDefault="00A5582B" w:rsidP="004C5901">
      <w:r>
        <w:t>In this section, we investigate the dependency of path-based measurements on RS bandwidth and receiver processing capability.</w:t>
      </w:r>
    </w:p>
    <w:p w14:paraId="5A48FE93" w14:textId="5D9B07DE" w:rsidR="00E24300" w:rsidRDefault="0021594D" w:rsidP="004C5901">
      <w:r>
        <w:t xml:space="preserve">In </w:t>
      </w:r>
      <w:r>
        <w:fldChar w:fldCharType="begin"/>
      </w:r>
      <w:r>
        <w:instrText xml:space="preserve"> REF _Ref162429691 \h </w:instrText>
      </w:r>
      <w:r>
        <w:fldChar w:fldCharType="separate"/>
      </w:r>
      <w:r w:rsidR="00850DA1" w:rsidRPr="00086111">
        <w:t xml:space="preserve">Table </w:t>
      </w:r>
      <w:r w:rsidR="00850DA1">
        <w:rPr>
          <w:noProof/>
        </w:rPr>
        <w:t>9</w:t>
      </w:r>
      <w:r>
        <w:fldChar w:fldCharType="end"/>
      </w:r>
      <w:r>
        <w:t xml:space="preserve"> and </w:t>
      </w:r>
      <w:r>
        <w:fldChar w:fldCharType="begin"/>
      </w:r>
      <w:r>
        <w:instrText xml:space="preserve"> REF _Ref162881378 \h </w:instrText>
      </w:r>
      <w:r>
        <w:fldChar w:fldCharType="separate"/>
      </w:r>
      <w:r w:rsidR="00850DA1" w:rsidRPr="00086111">
        <w:t xml:space="preserve">Table </w:t>
      </w:r>
      <w:r w:rsidR="00850DA1">
        <w:rPr>
          <w:noProof/>
        </w:rPr>
        <w:t>10</w:t>
      </w:r>
      <w:r>
        <w:fldChar w:fldCharType="end"/>
      </w:r>
      <w:r>
        <w:t>,</w:t>
      </w:r>
      <w:r w:rsidR="001C181F">
        <w:t xml:space="preserve"> we compare the </w:t>
      </w:r>
      <w:r w:rsidR="001C181F" w:rsidRPr="00086111">
        <w:t>90%tile 2D positioning accuracy</w:t>
      </w:r>
      <w:r w:rsidR="001C181F">
        <w:t xml:space="preserve"> of models using direct sample-based reporting or Rel-17 path-based reporting </w:t>
      </w:r>
      <w:r w:rsidR="005F2C77">
        <w:t xml:space="preserve">assuming an RS bandwidth of 100 MHz. </w:t>
      </w:r>
      <w:r w:rsidR="00C52217">
        <w:t xml:space="preserve">We </w:t>
      </w:r>
      <w:r w:rsidR="00BD7DF1">
        <w:t xml:space="preserve">found that </w:t>
      </w:r>
    </w:p>
    <w:p w14:paraId="090D3827" w14:textId="580A972C" w:rsidR="001C2F47" w:rsidRPr="0082572E" w:rsidRDefault="00A45DF9" w:rsidP="00D35F36">
      <w:pPr>
        <w:pStyle w:val="ListParagraph"/>
        <w:numPr>
          <w:ilvl w:val="0"/>
          <w:numId w:val="53"/>
        </w:numPr>
      </w:pPr>
      <w:r>
        <w:t xml:space="preserve">For </w:t>
      </w:r>
      <w:r w:rsidR="00707F47">
        <w:t xml:space="preserve">an </w:t>
      </w:r>
      <w:r>
        <w:t>RS bandwidth</w:t>
      </w:r>
      <w:r w:rsidR="00707F47">
        <w:t xml:space="preserve"> of 100 MHz</w:t>
      </w:r>
      <w:r>
        <w:t xml:space="preserve">, </w:t>
      </w:r>
      <w:r w:rsidRPr="00292938">
        <w:t>a</w:t>
      </w:r>
      <w:r w:rsidR="000C3D12" w:rsidRPr="00292938">
        <w:t xml:space="preserve">ll models using </w:t>
      </w:r>
      <w:r w:rsidR="000C3D12">
        <w:t>Rel-17 path-based</w:t>
      </w:r>
      <w:r w:rsidR="000C3D12" w:rsidRPr="00292938">
        <w:t xml:space="preserve"> reporting can achieve similar </w:t>
      </w:r>
      <w:r w:rsidR="000C3D12" w:rsidRPr="00086111">
        <w:t>2D positioning accuracy</w:t>
      </w:r>
      <w:r w:rsidR="000C3D12" w:rsidRPr="00292938">
        <w:t xml:space="preserve"> as models using sample-based reporting.</w:t>
      </w:r>
      <w:r w:rsidR="004C5901">
        <w:t xml:space="preserve"> </w:t>
      </w:r>
      <w:r w:rsidR="000C3D12" w:rsidRPr="003E10BF">
        <w:t xml:space="preserve">Models using </w:t>
      </w:r>
      <w:r w:rsidR="000C3D12">
        <w:t xml:space="preserve">Rel-17 path-based </w:t>
      </w:r>
      <w:r w:rsidR="000C3D12" w:rsidRPr="003E10BF">
        <w:t xml:space="preserve">reports from more capable channel estimators (i.e., capable of finding more channel taps) can generally achieve better performance than those using reports from less capable models. </w:t>
      </w:r>
      <w:r w:rsidR="001C2F47">
        <w:t xml:space="preserve">On the other hand, when simpler and low computational complexity </w:t>
      </w:r>
      <w:r w:rsidR="001C2F47" w:rsidRPr="003E10BF">
        <w:t>channel estimators</w:t>
      </w:r>
      <w:r w:rsidR="001C2F47">
        <w:t xml:space="preserve"> are used for preparing the measurement reports, m</w:t>
      </w:r>
      <w:r w:rsidR="001C2F47" w:rsidRPr="003E10BF">
        <w:t xml:space="preserve">odels using </w:t>
      </w:r>
      <w:r w:rsidR="001C2F47">
        <w:t>Rel-17 path-based reports can slightly underperform models using sample-based reporting.</w:t>
      </w:r>
    </w:p>
    <w:p w14:paraId="5464F54D" w14:textId="77777777" w:rsidR="00CC261F" w:rsidRDefault="00CC261F" w:rsidP="003B4849"/>
    <w:p w14:paraId="06A015DC" w14:textId="702CBC8B" w:rsidR="00CC261F" w:rsidRDefault="00CC261F" w:rsidP="002938DE">
      <w:pPr>
        <w:pStyle w:val="Observation"/>
      </w:pPr>
      <w:bookmarkStart w:id="826" w:name="_Toc178961850"/>
      <w:r>
        <w:t>On the basis of a same large RS bandwidth (e.g., 100 MHz), m</w:t>
      </w:r>
      <w:r w:rsidRPr="003E10BF">
        <w:t xml:space="preserve">odels using </w:t>
      </w:r>
      <w:r>
        <w:t xml:space="preserve">Rel-17 path-based measurements </w:t>
      </w:r>
      <w:r w:rsidR="0099375A">
        <w:t xml:space="preserve">on average </w:t>
      </w:r>
      <w:r w:rsidR="005C274C">
        <w:t xml:space="preserve">achieve similar </w:t>
      </w:r>
      <w:r w:rsidR="00E07789">
        <w:t xml:space="preserve">positioning accuracy </w:t>
      </w:r>
      <w:r w:rsidR="0099375A">
        <w:t xml:space="preserve">as </w:t>
      </w:r>
      <w:r>
        <w:t>models using sample-based measurements.</w:t>
      </w:r>
      <w:bookmarkEnd w:id="826"/>
      <w:r>
        <w:t xml:space="preserve"> </w:t>
      </w:r>
    </w:p>
    <w:p w14:paraId="46733CE3" w14:textId="77777777" w:rsidR="00CC261F" w:rsidRPr="00DF2B5B" w:rsidRDefault="00CC261F" w:rsidP="004157FD">
      <w:r w:rsidRPr="00DF2B5B">
        <w:t>The performance variation of the path-based measurements depends on whether more capable / high computational complexity channel estimators or simpler / lower complexity channel estimators are used for preparing the path measurement reports.</w:t>
      </w:r>
    </w:p>
    <w:p w14:paraId="30C1149A" w14:textId="77777777" w:rsidR="00CC261F" w:rsidRDefault="00CC261F" w:rsidP="003B4849"/>
    <w:p w14:paraId="0DD8F96A" w14:textId="3F7950CC" w:rsidR="000C3D12" w:rsidRDefault="002A3EE5" w:rsidP="003B4849">
      <w:r>
        <w:t xml:space="preserve">In </w:t>
      </w:r>
      <w:r>
        <w:fldChar w:fldCharType="begin"/>
      </w:r>
      <w:r>
        <w:instrText xml:space="preserve"> REF _Ref163037480 \h </w:instrText>
      </w:r>
      <w:r>
        <w:fldChar w:fldCharType="separate"/>
      </w:r>
      <w:r w:rsidR="00850DA1" w:rsidRPr="00086111">
        <w:t xml:space="preserve">Table </w:t>
      </w:r>
      <w:r w:rsidR="00850DA1">
        <w:rPr>
          <w:noProof/>
        </w:rPr>
        <w:t>11</w:t>
      </w:r>
      <w:r>
        <w:fldChar w:fldCharType="end"/>
      </w:r>
      <w:r>
        <w:t xml:space="preserve">, </w:t>
      </w:r>
      <w:r w:rsidR="00E24300">
        <w:t xml:space="preserve">we compare the </w:t>
      </w:r>
      <w:r w:rsidR="00E24300" w:rsidRPr="00086111">
        <w:t>90%tile 2D positioning accuracy</w:t>
      </w:r>
      <w:r w:rsidR="00E24300">
        <w:t xml:space="preserve"> of models using direct sample-based reporting or Rel-17 path-based reporting assuming an RS bandwidth of 25 MHz.</w:t>
      </w:r>
      <w:r w:rsidR="004714E8">
        <w:t xml:space="preserve"> We observe that</w:t>
      </w:r>
    </w:p>
    <w:p w14:paraId="09A4B609" w14:textId="22D9EE5C" w:rsidR="00557B57" w:rsidRDefault="00A45DF9" w:rsidP="00D35F36">
      <w:pPr>
        <w:pStyle w:val="ListParagraph"/>
        <w:numPr>
          <w:ilvl w:val="0"/>
          <w:numId w:val="53"/>
        </w:numPr>
      </w:pPr>
      <w:r w:rsidRPr="00557B57">
        <w:t xml:space="preserve">For </w:t>
      </w:r>
      <w:r w:rsidR="00707F47">
        <w:t>an</w:t>
      </w:r>
      <w:r w:rsidRPr="00557B57">
        <w:t xml:space="preserve"> RS bandwidth</w:t>
      </w:r>
      <w:r w:rsidR="00707F47">
        <w:t xml:space="preserve"> of 25 MHz</w:t>
      </w:r>
      <w:r w:rsidRPr="00557B57">
        <w:t>,</w:t>
      </w:r>
      <w:r w:rsidR="00FC7970" w:rsidRPr="00557B57">
        <w:t xml:space="preserve"> </w:t>
      </w:r>
      <w:r w:rsidR="00557B57" w:rsidRPr="00292938">
        <w:t>models using sample-based reporting</w:t>
      </w:r>
      <w:r w:rsidR="00557B57" w:rsidRPr="00557B57">
        <w:t xml:space="preserve"> </w:t>
      </w:r>
      <w:r w:rsidR="00557B57" w:rsidRPr="00292938">
        <w:t xml:space="preserve">achieve </w:t>
      </w:r>
      <w:r w:rsidR="00557B57">
        <w:t xml:space="preserve">better </w:t>
      </w:r>
      <w:r w:rsidR="00557B57" w:rsidRPr="00086111">
        <w:t>2D positioning accuracy</w:t>
      </w:r>
      <w:r w:rsidR="00557B57" w:rsidRPr="00292938">
        <w:t xml:space="preserve"> </w:t>
      </w:r>
      <w:r w:rsidR="00557B57">
        <w:t xml:space="preserve">than </w:t>
      </w:r>
      <w:r w:rsidRPr="00292938">
        <w:t xml:space="preserve">models using </w:t>
      </w:r>
      <w:r>
        <w:t>Rel-17 path-based</w:t>
      </w:r>
      <w:r w:rsidRPr="00292938">
        <w:t xml:space="preserve"> reporting</w:t>
      </w:r>
      <w:r w:rsidR="00557B57">
        <w:t>.</w:t>
      </w:r>
      <w:r w:rsidR="008F3240">
        <w:t xml:space="preserve"> ML models using Rel-17 path-based reporting </w:t>
      </w:r>
      <w:r w:rsidR="00DA1FA3">
        <w:t xml:space="preserve">on average </w:t>
      </w:r>
      <w:r w:rsidR="008F3240">
        <w:t>have 2</w:t>
      </w:r>
      <w:r w:rsidR="002A0A74">
        <w:t>8</w:t>
      </w:r>
      <w:r w:rsidR="008F3240">
        <w:t xml:space="preserve">% higher </w:t>
      </w:r>
      <w:r w:rsidR="008F3240" w:rsidRPr="00A46601">
        <w:t xml:space="preserve">90%tile 2D positioning </w:t>
      </w:r>
      <w:r w:rsidR="00CC261F">
        <w:t xml:space="preserve">error </w:t>
      </w:r>
      <w:r w:rsidR="008F3240">
        <w:t>than ML models using sample-based reporting</w:t>
      </w:r>
      <w:r w:rsidR="00DA1FA3">
        <w:t>.</w:t>
      </w:r>
    </w:p>
    <w:p w14:paraId="3A423433" w14:textId="77777777" w:rsidR="00750884" w:rsidRDefault="00750884" w:rsidP="00750884"/>
    <w:p w14:paraId="00A2B12C" w14:textId="76CA95AA" w:rsidR="00781F1F" w:rsidRPr="00E215F0" w:rsidRDefault="00781F1F" w:rsidP="002938DE">
      <w:pPr>
        <w:pStyle w:val="Observation"/>
      </w:pPr>
      <w:bookmarkStart w:id="827" w:name="_Toc163127624"/>
      <w:bookmarkStart w:id="828" w:name="_Toc163128488"/>
      <w:bookmarkStart w:id="829" w:name="_Toc163133008"/>
      <w:bookmarkStart w:id="830" w:name="_Toc163145184"/>
      <w:bookmarkStart w:id="831" w:name="_Toc163145413"/>
      <w:bookmarkStart w:id="832" w:name="_Toc163147958"/>
      <w:bookmarkStart w:id="833" w:name="_Toc178961851"/>
      <w:bookmarkEnd w:id="827"/>
      <w:bookmarkEnd w:id="828"/>
      <w:bookmarkEnd w:id="829"/>
      <w:bookmarkEnd w:id="830"/>
      <w:bookmarkEnd w:id="831"/>
      <w:bookmarkEnd w:id="832"/>
      <w:r>
        <w:t>On the basis of</w:t>
      </w:r>
      <w:r w:rsidR="007957C2">
        <w:t xml:space="preserve"> a</w:t>
      </w:r>
      <w:r>
        <w:t xml:space="preserve"> same small RS bandwidth (e.g., 25 MHz), </w:t>
      </w:r>
      <w:r w:rsidR="00A33D39">
        <w:t xml:space="preserve">ML </w:t>
      </w:r>
      <w:r>
        <w:t>m</w:t>
      </w:r>
      <w:r w:rsidRPr="003E10BF">
        <w:t xml:space="preserve">odels using </w:t>
      </w:r>
      <w:r>
        <w:t xml:space="preserve">Rel-17 path-based </w:t>
      </w:r>
      <w:r w:rsidR="00A33D39">
        <w:t xml:space="preserve">reporting on average have 26% higher </w:t>
      </w:r>
      <w:r w:rsidR="00A33D39" w:rsidRPr="00A46601">
        <w:t xml:space="preserve">90%tile 2D positioning </w:t>
      </w:r>
      <w:r w:rsidR="00A7172A">
        <w:t xml:space="preserve">error </w:t>
      </w:r>
      <w:r w:rsidR="00A33D39">
        <w:t>than ML</w:t>
      </w:r>
      <w:r>
        <w:t xml:space="preserve"> models using sample-based reporting.</w:t>
      </w:r>
      <w:bookmarkEnd w:id="833"/>
    </w:p>
    <w:p w14:paraId="23D5B0DA" w14:textId="19604FE0" w:rsidR="00D300EB" w:rsidRDefault="00D300EB" w:rsidP="00D300EB">
      <w:pPr>
        <w:pStyle w:val="Caption"/>
        <w:rPr>
          <w:lang w:eastAsia="ja-JP"/>
        </w:rPr>
      </w:pPr>
      <w:bookmarkStart w:id="834" w:name="_Ref163037480"/>
      <w:r w:rsidRPr="00086111">
        <w:t xml:space="preserve">Table </w:t>
      </w:r>
      <w:r w:rsidRPr="00086111">
        <w:fldChar w:fldCharType="begin"/>
      </w:r>
      <w:r w:rsidRPr="00086111">
        <w:instrText>SEQ Table \* ARABIC</w:instrText>
      </w:r>
      <w:r w:rsidRPr="00086111">
        <w:fldChar w:fldCharType="separate"/>
      </w:r>
      <w:r w:rsidR="00850DA1">
        <w:rPr>
          <w:noProof/>
        </w:rPr>
        <w:t>11</w:t>
      </w:r>
      <w:r w:rsidRPr="00086111">
        <w:fldChar w:fldCharType="end"/>
      </w:r>
      <w:bookmarkEnd w:id="834"/>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{60%, 6m, 2m} InF-DH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850DA1">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51"/>
        <w:gridCol w:w="752"/>
        <w:gridCol w:w="1266"/>
        <w:gridCol w:w="1167"/>
        <w:gridCol w:w="860"/>
        <w:gridCol w:w="861"/>
        <w:gridCol w:w="861"/>
        <w:gridCol w:w="861"/>
        <w:gridCol w:w="861"/>
        <w:gridCol w:w="861"/>
        <w:gridCol w:w="861"/>
      </w:tblGrid>
      <w:tr w:rsidR="00E61402" w14:paraId="217A9A02" w14:textId="77777777" w:rsidTr="00E61402">
        <w:tc>
          <w:tcPr>
            <w:tcW w:w="1503" w:type="dxa"/>
            <w:gridSpan w:val="2"/>
            <w:tcBorders>
              <w:right w:val="double" w:sz="4" w:space="0" w:color="auto"/>
            </w:tcBorders>
            <w:vAlign w:val="center"/>
          </w:tcPr>
          <w:p w14:paraId="421A6050"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Test cases</w:t>
            </w:r>
          </w:p>
        </w:tc>
        <w:tc>
          <w:tcPr>
            <w:tcW w:w="8459" w:type="dxa"/>
            <w:gridSpan w:val="9"/>
            <w:tcBorders>
              <w:left w:val="double" w:sz="4" w:space="0" w:color="auto"/>
            </w:tcBorders>
            <w:vAlign w:val="center"/>
          </w:tcPr>
          <w:p w14:paraId="08EDAFB6"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90%tile 2D positioning errors [m] based on 25 MHz RS bandwidth</w:t>
            </w:r>
          </w:p>
        </w:tc>
      </w:tr>
      <w:tr w:rsidR="00E61402" w14:paraId="21E085FA" w14:textId="77777777" w:rsidTr="00E61402">
        <w:tc>
          <w:tcPr>
            <w:tcW w:w="751" w:type="dxa"/>
            <w:vMerge w:val="restart"/>
            <w:vAlign w:val="center"/>
          </w:tcPr>
          <w:p w14:paraId="7772FDBD" w14:textId="77777777" w:rsidR="00E61402" w:rsidRPr="007F5D82"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52" w:type="dxa"/>
            <w:vMerge w:val="restart"/>
            <w:tcBorders>
              <w:right w:val="double" w:sz="4" w:space="0" w:color="auto"/>
            </w:tcBorders>
            <w:vAlign w:val="center"/>
          </w:tcPr>
          <w:p w14:paraId="117D32A6" w14:textId="77777777" w:rsidR="00E61402" w:rsidRPr="007F5D82" w:rsidRDefault="009C13C0"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1266" w:type="dxa"/>
            <w:vMerge w:val="restart"/>
            <w:tcBorders>
              <w:left w:val="double" w:sz="4" w:space="0" w:color="auto"/>
              <w:right w:val="double" w:sz="4" w:space="0" w:color="auto"/>
            </w:tcBorders>
            <w:vAlign w:val="center"/>
          </w:tcPr>
          <w:p w14:paraId="0B0CCEDE" w14:textId="77777777" w:rsidR="00E61402" w:rsidRPr="007F5D82" w:rsidRDefault="00E61402" w:rsidP="005E7756">
            <w:pPr>
              <w:spacing w:before="40" w:after="40"/>
              <w:jc w:val="center"/>
              <w:rPr>
                <w:rFonts w:cs="Arial"/>
                <w:color w:val="000000"/>
                <w:sz w:val="20"/>
                <w:szCs w:val="20"/>
              </w:rPr>
            </w:pPr>
            <w:r>
              <w:rPr>
                <w:rFonts w:cs="Arial"/>
                <w:color w:val="000000"/>
                <w:sz w:val="20"/>
                <w:szCs w:val="20"/>
              </w:rPr>
              <w:t>Sample based signaling</w:t>
            </w:r>
          </w:p>
        </w:tc>
        <w:tc>
          <w:tcPr>
            <w:tcW w:w="7193" w:type="dxa"/>
            <w:gridSpan w:val="8"/>
            <w:tcBorders>
              <w:left w:val="double" w:sz="4" w:space="0" w:color="auto"/>
            </w:tcBorders>
            <w:vAlign w:val="center"/>
          </w:tcPr>
          <w:p w14:paraId="0568D5D8" w14:textId="77777777" w:rsidR="00E61402" w:rsidRPr="007F5D82" w:rsidRDefault="00E61402" w:rsidP="005E7756">
            <w:pPr>
              <w:spacing w:before="40" w:after="40"/>
              <w:jc w:val="center"/>
              <w:rPr>
                <w:rFonts w:cs="Arial"/>
                <w:color w:val="000000"/>
                <w:sz w:val="20"/>
                <w:szCs w:val="20"/>
              </w:rPr>
            </w:pPr>
            <w:r>
              <w:rPr>
                <w:rFonts w:cs="Arial"/>
                <w:color w:val="000000"/>
                <w:sz w:val="20"/>
                <w:szCs w:val="20"/>
              </w:rPr>
              <w:t>Path-based signaling</w:t>
            </w:r>
          </w:p>
        </w:tc>
      </w:tr>
      <w:tr w:rsidR="00E61402" w14:paraId="0673891D" w14:textId="77777777" w:rsidTr="00E61402">
        <w:tc>
          <w:tcPr>
            <w:tcW w:w="751" w:type="dxa"/>
            <w:vMerge/>
            <w:vAlign w:val="center"/>
          </w:tcPr>
          <w:p w14:paraId="3D809EBD" w14:textId="77777777" w:rsidR="00E61402" w:rsidRPr="007F5D82" w:rsidRDefault="00E61402" w:rsidP="005E7756">
            <w:pPr>
              <w:spacing w:before="40" w:after="40"/>
              <w:jc w:val="center"/>
              <w:rPr>
                <w:rFonts w:cs="Arial"/>
                <w:color w:val="000000"/>
                <w:sz w:val="20"/>
                <w:szCs w:val="20"/>
              </w:rPr>
            </w:pPr>
          </w:p>
        </w:tc>
        <w:tc>
          <w:tcPr>
            <w:tcW w:w="752" w:type="dxa"/>
            <w:vMerge/>
            <w:tcBorders>
              <w:right w:val="double" w:sz="4" w:space="0" w:color="auto"/>
            </w:tcBorders>
            <w:vAlign w:val="center"/>
          </w:tcPr>
          <w:p w14:paraId="0A56871D" w14:textId="77777777" w:rsidR="00E61402" w:rsidRPr="007F5D82" w:rsidRDefault="00E61402" w:rsidP="005E7756">
            <w:pPr>
              <w:spacing w:before="40" w:after="40"/>
              <w:jc w:val="center"/>
              <w:rPr>
                <w:rFonts w:cs="Arial"/>
                <w:color w:val="000000"/>
                <w:sz w:val="20"/>
                <w:szCs w:val="20"/>
              </w:rPr>
            </w:pPr>
          </w:p>
        </w:tc>
        <w:tc>
          <w:tcPr>
            <w:tcW w:w="1266" w:type="dxa"/>
            <w:vMerge/>
            <w:tcBorders>
              <w:left w:val="double" w:sz="4" w:space="0" w:color="auto"/>
              <w:right w:val="double" w:sz="4" w:space="0" w:color="auto"/>
            </w:tcBorders>
            <w:vAlign w:val="center"/>
          </w:tcPr>
          <w:p w14:paraId="348A1DD5" w14:textId="77777777" w:rsidR="00E61402" w:rsidRPr="007F5D82" w:rsidRDefault="00E61402" w:rsidP="005E7756">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31A733FF"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Average across estimators</w:t>
            </w:r>
          </w:p>
        </w:tc>
        <w:tc>
          <w:tcPr>
            <w:tcW w:w="6026" w:type="dxa"/>
            <w:gridSpan w:val="7"/>
            <w:vAlign w:val="center"/>
          </w:tcPr>
          <w:p w14:paraId="76827947"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Different channel estimators</w:t>
            </w:r>
          </w:p>
        </w:tc>
      </w:tr>
      <w:tr w:rsidR="00E61402" w14:paraId="07966F80" w14:textId="77777777" w:rsidTr="00E61402">
        <w:tc>
          <w:tcPr>
            <w:tcW w:w="751" w:type="dxa"/>
            <w:vMerge/>
            <w:tcBorders>
              <w:bottom w:val="double" w:sz="4" w:space="0" w:color="auto"/>
            </w:tcBorders>
            <w:vAlign w:val="center"/>
          </w:tcPr>
          <w:p w14:paraId="195FDBCE" w14:textId="77777777" w:rsidR="00E61402" w:rsidRPr="007F5D82" w:rsidRDefault="00E61402" w:rsidP="005E7756">
            <w:pPr>
              <w:spacing w:before="40" w:after="40"/>
              <w:jc w:val="center"/>
              <w:rPr>
                <w:rFonts w:cs="Arial"/>
                <w:color w:val="000000"/>
                <w:sz w:val="20"/>
                <w:szCs w:val="20"/>
              </w:rPr>
            </w:pPr>
          </w:p>
        </w:tc>
        <w:tc>
          <w:tcPr>
            <w:tcW w:w="752" w:type="dxa"/>
            <w:vMerge/>
            <w:tcBorders>
              <w:bottom w:val="double" w:sz="4" w:space="0" w:color="auto"/>
              <w:right w:val="double" w:sz="4" w:space="0" w:color="auto"/>
            </w:tcBorders>
            <w:vAlign w:val="center"/>
          </w:tcPr>
          <w:p w14:paraId="0D801F24" w14:textId="77777777" w:rsidR="00E61402" w:rsidRPr="007F5D82" w:rsidRDefault="00E61402" w:rsidP="005E7756">
            <w:pPr>
              <w:spacing w:before="40" w:after="40"/>
              <w:jc w:val="center"/>
              <w:rPr>
                <w:rFonts w:cs="Arial"/>
                <w:color w:val="000000"/>
                <w:sz w:val="20"/>
                <w:szCs w:val="20"/>
              </w:rPr>
            </w:pPr>
          </w:p>
        </w:tc>
        <w:tc>
          <w:tcPr>
            <w:tcW w:w="1266" w:type="dxa"/>
            <w:vMerge/>
            <w:tcBorders>
              <w:left w:val="double" w:sz="4" w:space="0" w:color="auto"/>
              <w:bottom w:val="double" w:sz="4" w:space="0" w:color="auto"/>
              <w:right w:val="double" w:sz="4" w:space="0" w:color="auto"/>
            </w:tcBorders>
            <w:vAlign w:val="center"/>
          </w:tcPr>
          <w:p w14:paraId="07376F7D" w14:textId="77777777" w:rsidR="00E61402" w:rsidRPr="007F5D82" w:rsidRDefault="00E61402" w:rsidP="005E7756">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74BCC5DB" w14:textId="77777777" w:rsidR="00E61402" w:rsidRPr="007F5D82" w:rsidRDefault="00E61402" w:rsidP="005E7756">
            <w:pPr>
              <w:spacing w:before="40" w:after="40"/>
              <w:jc w:val="center"/>
              <w:rPr>
                <w:rFonts w:cs="Arial"/>
                <w:color w:val="000000"/>
                <w:sz w:val="20"/>
                <w:szCs w:val="20"/>
              </w:rPr>
            </w:pPr>
          </w:p>
        </w:tc>
        <w:tc>
          <w:tcPr>
            <w:tcW w:w="860" w:type="dxa"/>
            <w:tcBorders>
              <w:bottom w:val="double" w:sz="4" w:space="0" w:color="auto"/>
            </w:tcBorders>
            <w:vAlign w:val="center"/>
          </w:tcPr>
          <w:p w14:paraId="08FF4C49"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D</w:t>
            </w:r>
          </w:p>
        </w:tc>
        <w:tc>
          <w:tcPr>
            <w:tcW w:w="861" w:type="dxa"/>
            <w:tcBorders>
              <w:bottom w:val="double" w:sz="4" w:space="0" w:color="auto"/>
            </w:tcBorders>
            <w:vAlign w:val="center"/>
          </w:tcPr>
          <w:p w14:paraId="451E4B62"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E</w:t>
            </w:r>
          </w:p>
        </w:tc>
        <w:tc>
          <w:tcPr>
            <w:tcW w:w="861" w:type="dxa"/>
            <w:tcBorders>
              <w:bottom w:val="double" w:sz="4" w:space="0" w:color="auto"/>
            </w:tcBorders>
            <w:vAlign w:val="center"/>
          </w:tcPr>
          <w:p w14:paraId="363ED7A7"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A</w:t>
            </w:r>
          </w:p>
        </w:tc>
        <w:tc>
          <w:tcPr>
            <w:tcW w:w="861" w:type="dxa"/>
            <w:tcBorders>
              <w:bottom w:val="double" w:sz="4" w:space="0" w:color="auto"/>
            </w:tcBorders>
            <w:vAlign w:val="center"/>
          </w:tcPr>
          <w:p w14:paraId="23E3EE79"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F</w:t>
            </w:r>
          </w:p>
        </w:tc>
        <w:tc>
          <w:tcPr>
            <w:tcW w:w="861" w:type="dxa"/>
            <w:tcBorders>
              <w:bottom w:val="double" w:sz="4" w:space="0" w:color="auto"/>
            </w:tcBorders>
            <w:vAlign w:val="center"/>
          </w:tcPr>
          <w:p w14:paraId="7A405266"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B</w:t>
            </w:r>
          </w:p>
        </w:tc>
        <w:tc>
          <w:tcPr>
            <w:tcW w:w="861" w:type="dxa"/>
            <w:tcBorders>
              <w:bottom w:val="double" w:sz="4" w:space="0" w:color="auto"/>
            </w:tcBorders>
            <w:vAlign w:val="center"/>
          </w:tcPr>
          <w:p w14:paraId="10A606F9"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G</w:t>
            </w:r>
          </w:p>
        </w:tc>
        <w:tc>
          <w:tcPr>
            <w:tcW w:w="861" w:type="dxa"/>
            <w:tcBorders>
              <w:bottom w:val="double" w:sz="4" w:space="0" w:color="auto"/>
            </w:tcBorders>
            <w:vAlign w:val="center"/>
          </w:tcPr>
          <w:p w14:paraId="4C6631EF"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C</w:t>
            </w:r>
          </w:p>
        </w:tc>
      </w:tr>
      <w:tr w:rsidR="00E61402" w14:paraId="67A61EA1" w14:textId="77777777" w:rsidTr="00E61402">
        <w:tc>
          <w:tcPr>
            <w:tcW w:w="751" w:type="dxa"/>
            <w:tcBorders>
              <w:top w:val="double" w:sz="4" w:space="0" w:color="auto"/>
            </w:tcBorders>
            <w:vAlign w:val="center"/>
          </w:tcPr>
          <w:p w14:paraId="3140348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64</w:t>
            </w:r>
          </w:p>
        </w:tc>
        <w:tc>
          <w:tcPr>
            <w:tcW w:w="752" w:type="dxa"/>
            <w:tcBorders>
              <w:top w:val="double" w:sz="4" w:space="0" w:color="auto"/>
              <w:right w:val="double" w:sz="4" w:space="0" w:color="auto"/>
            </w:tcBorders>
            <w:vAlign w:val="center"/>
          </w:tcPr>
          <w:p w14:paraId="072BED4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1266" w:type="dxa"/>
            <w:tcBorders>
              <w:top w:val="double" w:sz="4" w:space="0" w:color="auto"/>
              <w:left w:val="double" w:sz="4" w:space="0" w:color="auto"/>
              <w:right w:val="double" w:sz="4" w:space="0" w:color="auto"/>
            </w:tcBorders>
            <w:vAlign w:val="center"/>
          </w:tcPr>
          <w:p w14:paraId="3B3A3BD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0.81</w:t>
            </w:r>
          </w:p>
        </w:tc>
        <w:tc>
          <w:tcPr>
            <w:tcW w:w="1167" w:type="dxa"/>
            <w:tcBorders>
              <w:top w:val="double" w:sz="4" w:space="0" w:color="auto"/>
              <w:left w:val="double" w:sz="4" w:space="0" w:color="auto"/>
            </w:tcBorders>
            <w:vAlign w:val="bottom"/>
          </w:tcPr>
          <w:p w14:paraId="4415B34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0.99</w:t>
            </w:r>
          </w:p>
        </w:tc>
        <w:tc>
          <w:tcPr>
            <w:tcW w:w="860" w:type="dxa"/>
            <w:tcBorders>
              <w:top w:val="double" w:sz="4" w:space="0" w:color="auto"/>
            </w:tcBorders>
            <w:vAlign w:val="center"/>
          </w:tcPr>
          <w:p w14:paraId="0F8B189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1.22</w:t>
            </w:r>
          </w:p>
        </w:tc>
        <w:tc>
          <w:tcPr>
            <w:tcW w:w="861" w:type="dxa"/>
            <w:tcBorders>
              <w:top w:val="double" w:sz="4" w:space="0" w:color="auto"/>
            </w:tcBorders>
            <w:vAlign w:val="center"/>
          </w:tcPr>
          <w:p w14:paraId="663B070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1.13</w:t>
            </w:r>
          </w:p>
        </w:tc>
        <w:tc>
          <w:tcPr>
            <w:tcW w:w="861" w:type="dxa"/>
            <w:tcBorders>
              <w:top w:val="double" w:sz="4" w:space="0" w:color="auto"/>
            </w:tcBorders>
            <w:vAlign w:val="center"/>
          </w:tcPr>
          <w:p w14:paraId="0188D3B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0.98</w:t>
            </w:r>
          </w:p>
        </w:tc>
        <w:tc>
          <w:tcPr>
            <w:tcW w:w="861" w:type="dxa"/>
            <w:tcBorders>
              <w:top w:val="double" w:sz="4" w:space="0" w:color="auto"/>
            </w:tcBorders>
            <w:vAlign w:val="center"/>
          </w:tcPr>
          <w:p w14:paraId="792F9E5F"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861" w:type="dxa"/>
            <w:tcBorders>
              <w:top w:val="double" w:sz="4" w:space="0" w:color="auto"/>
            </w:tcBorders>
            <w:vAlign w:val="center"/>
          </w:tcPr>
          <w:p w14:paraId="32DBA2D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0.89</w:t>
            </w:r>
          </w:p>
        </w:tc>
        <w:tc>
          <w:tcPr>
            <w:tcW w:w="861" w:type="dxa"/>
            <w:tcBorders>
              <w:top w:val="double" w:sz="4" w:space="0" w:color="auto"/>
            </w:tcBorders>
            <w:vAlign w:val="center"/>
          </w:tcPr>
          <w:p w14:paraId="2F03E38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0.94</w:t>
            </w:r>
          </w:p>
        </w:tc>
        <w:tc>
          <w:tcPr>
            <w:tcW w:w="861" w:type="dxa"/>
            <w:tcBorders>
              <w:top w:val="double" w:sz="4" w:space="0" w:color="auto"/>
            </w:tcBorders>
            <w:vAlign w:val="center"/>
          </w:tcPr>
          <w:p w14:paraId="433BC94B"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0.77</w:t>
            </w:r>
          </w:p>
        </w:tc>
      </w:tr>
      <w:tr w:rsidR="00E61402" w14:paraId="3705E175" w14:textId="77777777" w:rsidTr="00E61402">
        <w:tc>
          <w:tcPr>
            <w:tcW w:w="751" w:type="dxa"/>
            <w:vAlign w:val="center"/>
          </w:tcPr>
          <w:p w14:paraId="6AF2054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32</w:t>
            </w:r>
          </w:p>
        </w:tc>
        <w:tc>
          <w:tcPr>
            <w:tcW w:w="752" w:type="dxa"/>
            <w:tcBorders>
              <w:right w:val="double" w:sz="4" w:space="0" w:color="auto"/>
            </w:tcBorders>
            <w:vAlign w:val="center"/>
          </w:tcPr>
          <w:p w14:paraId="61C0E86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1266" w:type="dxa"/>
            <w:tcBorders>
              <w:left w:val="double" w:sz="4" w:space="0" w:color="auto"/>
              <w:right w:val="double" w:sz="4" w:space="0" w:color="auto"/>
            </w:tcBorders>
            <w:vAlign w:val="center"/>
          </w:tcPr>
          <w:p w14:paraId="40A19F00"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0.84</w:t>
            </w:r>
          </w:p>
        </w:tc>
        <w:tc>
          <w:tcPr>
            <w:tcW w:w="1167" w:type="dxa"/>
            <w:tcBorders>
              <w:left w:val="double" w:sz="4" w:space="0" w:color="auto"/>
            </w:tcBorders>
            <w:vAlign w:val="bottom"/>
          </w:tcPr>
          <w:p w14:paraId="135D911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1.09</w:t>
            </w:r>
          </w:p>
        </w:tc>
        <w:tc>
          <w:tcPr>
            <w:tcW w:w="860" w:type="dxa"/>
            <w:vAlign w:val="center"/>
          </w:tcPr>
          <w:p w14:paraId="07936A1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1.26</w:t>
            </w:r>
          </w:p>
        </w:tc>
        <w:tc>
          <w:tcPr>
            <w:tcW w:w="861" w:type="dxa"/>
            <w:vAlign w:val="center"/>
          </w:tcPr>
          <w:p w14:paraId="3D597BD9"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1.26</w:t>
            </w:r>
          </w:p>
        </w:tc>
        <w:tc>
          <w:tcPr>
            <w:tcW w:w="861" w:type="dxa"/>
            <w:vAlign w:val="center"/>
          </w:tcPr>
          <w:p w14:paraId="2CF113F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861" w:type="dxa"/>
            <w:vAlign w:val="center"/>
          </w:tcPr>
          <w:p w14:paraId="3797C64B"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1.19</w:t>
            </w:r>
          </w:p>
        </w:tc>
        <w:tc>
          <w:tcPr>
            <w:tcW w:w="861" w:type="dxa"/>
            <w:vAlign w:val="center"/>
          </w:tcPr>
          <w:p w14:paraId="549F03B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0.90</w:t>
            </w:r>
          </w:p>
        </w:tc>
        <w:tc>
          <w:tcPr>
            <w:tcW w:w="861" w:type="dxa"/>
            <w:vAlign w:val="center"/>
          </w:tcPr>
          <w:p w14:paraId="735F30F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1.18</w:t>
            </w:r>
          </w:p>
        </w:tc>
        <w:tc>
          <w:tcPr>
            <w:tcW w:w="861" w:type="dxa"/>
            <w:vAlign w:val="center"/>
          </w:tcPr>
          <w:p w14:paraId="25E7571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0.86</w:t>
            </w:r>
          </w:p>
        </w:tc>
      </w:tr>
      <w:tr w:rsidR="00E61402" w14:paraId="36C437EE" w14:textId="77777777" w:rsidTr="00E61402">
        <w:tc>
          <w:tcPr>
            <w:tcW w:w="751" w:type="dxa"/>
            <w:tcBorders>
              <w:bottom w:val="double" w:sz="4" w:space="0" w:color="auto"/>
            </w:tcBorders>
            <w:vAlign w:val="center"/>
          </w:tcPr>
          <w:p w14:paraId="77A70AE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752" w:type="dxa"/>
            <w:tcBorders>
              <w:bottom w:val="double" w:sz="4" w:space="0" w:color="auto"/>
              <w:right w:val="double" w:sz="4" w:space="0" w:color="auto"/>
            </w:tcBorders>
            <w:vAlign w:val="center"/>
          </w:tcPr>
          <w:p w14:paraId="5E5987F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1266" w:type="dxa"/>
            <w:tcBorders>
              <w:left w:val="double" w:sz="4" w:space="0" w:color="auto"/>
              <w:bottom w:val="double" w:sz="4" w:space="0" w:color="auto"/>
              <w:right w:val="double" w:sz="4" w:space="0" w:color="auto"/>
            </w:tcBorders>
            <w:vAlign w:val="center"/>
          </w:tcPr>
          <w:p w14:paraId="2BC134E5"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1.20</w:t>
            </w:r>
          </w:p>
        </w:tc>
        <w:tc>
          <w:tcPr>
            <w:tcW w:w="1167" w:type="dxa"/>
            <w:tcBorders>
              <w:left w:val="double" w:sz="4" w:space="0" w:color="auto"/>
              <w:bottom w:val="double" w:sz="4" w:space="0" w:color="auto"/>
            </w:tcBorders>
            <w:vAlign w:val="bottom"/>
          </w:tcPr>
          <w:p w14:paraId="2E16F0D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1.83</w:t>
            </w:r>
          </w:p>
        </w:tc>
        <w:tc>
          <w:tcPr>
            <w:tcW w:w="860" w:type="dxa"/>
            <w:tcBorders>
              <w:bottom w:val="double" w:sz="4" w:space="0" w:color="auto"/>
            </w:tcBorders>
            <w:vAlign w:val="center"/>
          </w:tcPr>
          <w:p w14:paraId="41220BB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2.18</w:t>
            </w:r>
          </w:p>
        </w:tc>
        <w:tc>
          <w:tcPr>
            <w:tcW w:w="861" w:type="dxa"/>
            <w:tcBorders>
              <w:bottom w:val="double" w:sz="4" w:space="0" w:color="auto"/>
            </w:tcBorders>
            <w:vAlign w:val="center"/>
          </w:tcPr>
          <w:p w14:paraId="5227903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2.10</w:t>
            </w:r>
          </w:p>
        </w:tc>
        <w:tc>
          <w:tcPr>
            <w:tcW w:w="861" w:type="dxa"/>
            <w:tcBorders>
              <w:bottom w:val="double" w:sz="4" w:space="0" w:color="auto"/>
            </w:tcBorders>
            <w:vAlign w:val="center"/>
          </w:tcPr>
          <w:p w14:paraId="52D4850A"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1.46</w:t>
            </w:r>
          </w:p>
        </w:tc>
        <w:tc>
          <w:tcPr>
            <w:tcW w:w="861" w:type="dxa"/>
            <w:tcBorders>
              <w:bottom w:val="double" w:sz="4" w:space="0" w:color="auto"/>
            </w:tcBorders>
            <w:vAlign w:val="center"/>
          </w:tcPr>
          <w:p w14:paraId="3E00C28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2.20</w:t>
            </w:r>
          </w:p>
        </w:tc>
        <w:tc>
          <w:tcPr>
            <w:tcW w:w="861" w:type="dxa"/>
            <w:tcBorders>
              <w:bottom w:val="double" w:sz="4" w:space="0" w:color="auto"/>
            </w:tcBorders>
            <w:vAlign w:val="center"/>
          </w:tcPr>
          <w:p w14:paraId="3E336C1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1.41</w:t>
            </w:r>
          </w:p>
        </w:tc>
        <w:tc>
          <w:tcPr>
            <w:tcW w:w="861" w:type="dxa"/>
            <w:tcBorders>
              <w:bottom w:val="double" w:sz="4" w:space="0" w:color="auto"/>
            </w:tcBorders>
            <w:vAlign w:val="center"/>
          </w:tcPr>
          <w:p w14:paraId="55C781C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2.15</w:t>
            </w:r>
          </w:p>
        </w:tc>
        <w:tc>
          <w:tcPr>
            <w:tcW w:w="861" w:type="dxa"/>
            <w:tcBorders>
              <w:bottom w:val="double" w:sz="4" w:space="0" w:color="auto"/>
            </w:tcBorders>
            <w:vAlign w:val="center"/>
          </w:tcPr>
          <w:p w14:paraId="61CAA90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1.32</w:t>
            </w:r>
          </w:p>
        </w:tc>
      </w:tr>
      <w:tr w:rsidR="00E61402" w14:paraId="27DFFC6C" w14:textId="77777777" w:rsidTr="00E61402">
        <w:tc>
          <w:tcPr>
            <w:tcW w:w="751" w:type="dxa"/>
            <w:tcBorders>
              <w:top w:val="double" w:sz="4" w:space="0" w:color="auto"/>
            </w:tcBorders>
            <w:vAlign w:val="center"/>
          </w:tcPr>
          <w:p w14:paraId="20A287F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64</w:t>
            </w:r>
          </w:p>
        </w:tc>
        <w:tc>
          <w:tcPr>
            <w:tcW w:w="752" w:type="dxa"/>
            <w:tcBorders>
              <w:top w:val="double" w:sz="4" w:space="0" w:color="auto"/>
              <w:right w:val="double" w:sz="4" w:space="0" w:color="auto"/>
            </w:tcBorders>
            <w:vAlign w:val="center"/>
          </w:tcPr>
          <w:p w14:paraId="1647EFA5"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9</w:t>
            </w:r>
          </w:p>
        </w:tc>
        <w:tc>
          <w:tcPr>
            <w:tcW w:w="1266" w:type="dxa"/>
            <w:tcBorders>
              <w:top w:val="double" w:sz="4" w:space="0" w:color="auto"/>
              <w:left w:val="double" w:sz="4" w:space="0" w:color="auto"/>
              <w:right w:val="double" w:sz="4" w:space="0" w:color="auto"/>
            </w:tcBorders>
            <w:vAlign w:val="center"/>
          </w:tcPr>
          <w:p w14:paraId="60C154A5"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1167" w:type="dxa"/>
            <w:tcBorders>
              <w:top w:val="double" w:sz="4" w:space="0" w:color="auto"/>
              <w:left w:val="double" w:sz="4" w:space="0" w:color="auto"/>
            </w:tcBorders>
            <w:vAlign w:val="bottom"/>
          </w:tcPr>
          <w:p w14:paraId="73D9379F"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860" w:type="dxa"/>
            <w:tcBorders>
              <w:top w:val="double" w:sz="4" w:space="0" w:color="auto"/>
            </w:tcBorders>
            <w:vAlign w:val="center"/>
          </w:tcPr>
          <w:p w14:paraId="6F37CE5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1.20</w:t>
            </w:r>
          </w:p>
        </w:tc>
        <w:tc>
          <w:tcPr>
            <w:tcW w:w="861" w:type="dxa"/>
            <w:tcBorders>
              <w:top w:val="double" w:sz="4" w:space="0" w:color="auto"/>
            </w:tcBorders>
            <w:vAlign w:val="center"/>
          </w:tcPr>
          <w:p w14:paraId="4AF4AC83"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1.14</w:t>
            </w:r>
          </w:p>
        </w:tc>
        <w:tc>
          <w:tcPr>
            <w:tcW w:w="861" w:type="dxa"/>
            <w:tcBorders>
              <w:top w:val="double" w:sz="4" w:space="0" w:color="auto"/>
            </w:tcBorders>
            <w:vAlign w:val="center"/>
          </w:tcPr>
          <w:p w14:paraId="278AF8A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0.98</w:t>
            </w:r>
          </w:p>
        </w:tc>
        <w:tc>
          <w:tcPr>
            <w:tcW w:w="861" w:type="dxa"/>
            <w:tcBorders>
              <w:top w:val="double" w:sz="4" w:space="0" w:color="auto"/>
            </w:tcBorders>
            <w:vAlign w:val="center"/>
          </w:tcPr>
          <w:p w14:paraId="1971069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0.99</w:t>
            </w:r>
          </w:p>
        </w:tc>
        <w:tc>
          <w:tcPr>
            <w:tcW w:w="861" w:type="dxa"/>
            <w:tcBorders>
              <w:top w:val="double" w:sz="4" w:space="0" w:color="auto"/>
            </w:tcBorders>
            <w:vAlign w:val="center"/>
          </w:tcPr>
          <w:p w14:paraId="2015A67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0.92</w:t>
            </w:r>
          </w:p>
        </w:tc>
        <w:tc>
          <w:tcPr>
            <w:tcW w:w="861" w:type="dxa"/>
            <w:tcBorders>
              <w:top w:val="double" w:sz="4" w:space="0" w:color="auto"/>
            </w:tcBorders>
            <w:vAlign w:val="center"/>
          </w:tcPr>
          <w:p w14:paraId="79A103F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0.93</w:t>
            </w:r>
          </w:p>
        </w:tc>
        <w:tc>
          <w:tcPr>
            <w:tcW w:w="861" w:type="dxa"/>
            <w:tcBorders>
              <w:top w:val="double" w:sz="4" w:space="0" w:color="auto"/>
            </w:tcBorders>
            <w:vAlign w:val="center"/>
          </w:tcPr>
          <w:p w14:paraId="3123076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0.84</w:t>
            </w:r>
          </w:p>
        </w:tc>
      </w:tr>
      <w:tr w:rsidR="00E61402" w14:paraId="42CDF478" w14:textId="77777777" w:rsidTr="00E61402">
        <w:tc>
          <w:tcPr>
            <w:tcW w:w="751" w:type="dxa"/>
            <w:vAlign w:val="center"/>
          </w:tcPr>
          <w:p w14:paraId="56E3745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32</w:t>
            </w:r>
          </w:p>
        </w:tc>
        <w:tc>
          <w:tcPr>
            <w:tcW w:w="752" w:type="dxa"/>
            <w:tcBorders>
              <w:right w:val="double" w:sz="4" w:space="0" w:color="auto"/>
            </w:tcBorders>
            <w:vAlign w:val="center"/>
          </w:tcPr>
          <w:p w14:paraId="6EF2A41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9</w:t>
            </w:r>
          </w:p>
        </w:tc>
        <w:tc>
          <w:tcPr>
            <w:tcW w:w="1266" w:type="dxa"/>
            <w:tcBorders>
              <w:left w:val="double" w:sz="4" w:space="0" w:color="auto"/>
              <w:right w:val="double" w:sz="4" w:space="0" w:color="auto"/>
            </w:tcBorders>
            <w:vAlign w:val="center"/>
          </w:tcPr>
          <w:p w14:paraId="6D8DDD9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0.99</w:t>
            </w:r>
          </w:p>
        </w:tc>
        <w:tc>
          <w:tcPr>
            <w:tcW w:w="1167" w:type="dxa"/>
            <w:tcBorders>
              <w:left w:val="double" w:sz="4" w:space="0" w:color="auto"/>
            </w:tcBorders>
            <w:vAlign w:val="bottom"/>
          </w:tcPr>
          <w:p w14:paraId="767A145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1.10</w:t>
            </w:r>
          </w:p>
        </w:tc>
        <w:tc>
          <w:tcPr>
            <w:tcW w:w="860" w:type="dxa"/>
            <w:vAlign w:val="center"/>
          </w:tcPr>
          <w:p w14:paraId="446C0409"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1.29</w:t>
            </w:r>
          </w:p>
        </w:tc>
        <w:tc>
          <w:tcPr>
            <w:tcW w:w="861" w:type="dxa"/>
            <w:vAlign w:val="center"/>
          </w:tcPr>
          <w:p w14:paraId="7EE3956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1.20</w:t>
            </w:r>
          </w:p>
        </w:tc>
        <w:tc>
          <w:tcPr>
            <w:tcW w:w="861" w:type="dxa"/>
            <w:vAlign w:val="center"/>
          </w:tcPr>
          <w:p w14:paraId="7BE84D5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1.02</w:t>
            </w:r>
          </w:p>
        </w:tc>
        <w:tc>
          <w:tcPr>
            <w:tcW w:w="861" w:type="dxa"/>
            <w:vAlign w:val="center"/>
          </w:tcPr>
          <w:p w14:paraId="19ECCFD0"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1.22</w:t>
            </w:r>
          </w:p>
        </w:tc>
        <w:tc>
          <w:tcPr>
            <w:tcW w:w="861" w:type="dxa"/>
            <w:vAlign w:val="center"/>
          </w:tcPr>
          <w:p w14:paraId="2CED2F1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0.94</w:t>
            </w:r>
          </w:p>
        </w:tc>
        <w:tc>
          <w:tcPr>
            <w:tcW w:w="861" w:type="dxa"/>
            <w:vAlign w:val="center"/>
          </w:tcPr>
          <w:p w14:paraId="2235292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1.19</w:t>
            </w:r>
          </w:p>
        </w:tc>
        <w:tc>
          <w:tcPr>
            <w:tcW w:w="861" w:type="dxa"/>
            <w:vAlign w:val="center"/>
          </w:tcPr>
          <w:p w14:paraId="6C77964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0.87</w:t>
            </w:r>
          </w:p>
        </w:tc>
      </w:tr>
      <w:tr w:rsidR="00E61402" w14:paraId="5092D0E2" w14:textId="77777777" w:rsidTr="00E61402">
        <w:tc>
          <w:tcPr>
            <w:tcW w:w="751" w:type="dxa"/>
            <w:vAlign w:val="center"/>
          </w:tcPr>
          <w:p w14:paraId="72287A0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lastRenderedPageBreak/>
              <w:t>16</w:t>
            </w:r>
          </w:p>
        </w:tc>
        <w:tc>
          <w:tcPr>
            <w:tcW w:w="752" w:type="dxa"/>
            <w:tcBorders>
              <w:right w:val="double" w:sz="4" w:space="0" w:color="auto"/>
            </w:tcBorders>
            <w:vAlign w:val="center"/>
          </w:tcPr>
          <w:p w14:paraId="15DE67F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9</w:t>
            </w:r>
          </w:p>
        </w:tc>
        <w:tc>
          <w:tcPr>
            <w:tcW w:w="1266" w:type="dxa"/>
            <w:tcBorders>
              <w:left w:val="double" w:sz="4" w:space="0" w:color="auto"/>
              <w:right w:val="double" w:sz="4" w:space="0" w:color="auto"/>
            </w:tcBorders>
            <w:vAlign w:val="center"/>
          </w:tcPr>
          <w:p w14:paraId="1047274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1.29</w:t>
            </w:r>
          </w:p>
        </w:tc>
        <w:tc>
          <w:tcPr>
            <w:tcW w:w="1167" w:type="dxa"/>
            <w:tcBorders>
              <w:left w:val="double" w:sz="4" w:space="0" w:color="auto"/>
            </w:tcBorders>
            <w:vAlign w:val="bottom"/>
          </w:tcPr>
          <w:p w14:paraId="14BB942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1.81</w:t>
            </w:r>
          </w:p>
        </w:tc>
        <w:tc>
          <w:tcPr>
            <w:tcW w:w="860" w:type="dxa"/>
            <w:vAlign w:val="center"/>
          </w:tcPr>
          <w:p w14:paraId="7B2EAA0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2.14</w:t>
            </w:r>
          </w:p>
        </w:tc>
        <w:tc>
          <w:tcPr>
            <w:tcW w:w="861" w:type="dxa"/>
            <w:vAlign w:val="center"/>
          </w:tcPr>
          <w:p w14:paraId="483E9C6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2.16</w:t>
            </w:r>
          </w:p>
        </w:tc>
        <w:tc>
          <w:tcPr>
            <w:tcW w:w="861" w:type="dxa"/>
            <w:vAlign w:val="center"/>
          </w:tcPr>
          <w:p w14:paraId="2503C410"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1.47</w:t>
            </w:r>
          </w:p>
        </w:tc>
        <w:tc>
          <w:tcPr>
            <w:tcW w:w="861" w:type="dxa"/>
            <w:vAlign w:val="center"/>
          </w:tcPr>
          <w:p w14:paraId="1C8551B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2.07</w:t>
            </w:r>
          </w:p>
        </w:tc>
        <w:tc>
          <w:tcPr>
            <w:tcW w:w="861" w:type="dxa"/>
            <w:vAlign w:val="center"/>
          </w:tcPr>
          <w:p w14:paraId="419C79E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1.41</w:t>
            </w:r>
          </w:p>
        </w:tc>
        <w:tc>
          <w:tcPr>
            <w:tcW w:w="861" w:type="dxa"/>
            <w:vAlign w:val="center"/>
          </w:tcPr>
          <w:p w14:paraId="2AFE458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2.11</w:t>
            </w:r>
          </w:p>
        </w:tc>
        <w:tc>
          <w:tcPr>
            <w:tcW w:w="861" w:type="dxa"/>
            <w:vAlign w:val="center"/>
          </w:tcPr>
          <w:p w14:paraId="77BE0A0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1.31</w:t>
            </w:r>
          </w:p>
        </w:tc>
      </w:tr>
    </w:tbl>
    <w:p w14:paraId="697AB745" w14:textId="77777777" w:rsidR="00D300EB" w:rsidRDefault="00D300EB" w:rsidP="003B4849"/>
    <w:p w14:paraId="071E1933" w14:textId="549D0E7B" w:rsidR="000B7A8B" w:rsidRDefault="000B7A8B" w:rsidP="000B7A8B">
      <w:r>
        <w:t xml:space="preserve">However, because of the high computational complexity of path searching and channel estimation for preparing the Rel-17 path-based reports as discussed in Section </w:t>
      </w:r>
      <w:r>
        <w:fldChar w:fldCharType="begin"/>
      </w:r>
      <w:r>
        <w:instrText xml:space="preserve"> REF _Ref163037168 \r \h </w:instrText>
      </w:r>
      <w:r>
        <w:fldChar w:fldCharType="separate"/>
      </w:r>
      <w:r w:rsidR="00850DA1">
        <w:t>3.1.2.1</w:t>
      </w:r>
      <w:r>
        <w:fldChar w:fldCharType="end"/>
      </w:r>
      <w:r>
        <w:t>, a measurement node with complexity constraints may not be able</w:t>
      </w:r>
      <w:r w:rsidR="006C7A90">
        <w:t xml:space="preserve"> to</w:t>
      </w:r>
      <w:r>
        <w:t xml:space="preserve"> process very wide RS bandwidth. </w:t>
      </w:r>
      <w:r w:rsidR="00E246E7">
        <w:t>This may limit the</w:t>
      </w:r>
      <w:r w:rsidDel="00E246E7">
        <w:t xml:space="preserve"> </w:t>
      </w:r>
      <w:r>
        <w:t xml:space="preserve">maximum PRS processing bandwidth capabilities </w:t>
      </w:r>
      <w:r w:rsidR="00E246E7">
        <w:t>that a UE may be able to report</w:t>
      </w:r>
      <w:r>
        <w:t>.</w:t>
      </w:r>
    </w:p>
    <w:p w14:paraId="279B9654" w14:textId="00AD7C44" w:rsidR="007000A1" w:rsidRDefault="007000A1" w:rsidP="007000A1">
      <w:r>
        <w:t xml:space="preserve">On the other hand, a </w:t>
      </w:r>
      <w:r w:rsidR="00A64789">
        <w:t>measurement node</w:t>
      </w:r>
      <w:r>
        <w:t xml:space="preserve"> capable of support</w:t>
      </w:r>
      <w:r w:rsidR="00635FDB">
        <w:t>ing</w:t>
      </w:r>
      <w:r>
        <w:t xml:space="preserve"> a maximum carrier bandwidth of 100 MHz is definitely capable of performing FFT/IFFT on 100 MHz. Truncating and down-sampling the TD CIR/PDP/DP requires much lower complexity than path searching</w:t>
      </w:r>
      <w:r w:rsidR="00DD1868">
        <w:t xml:space="preserve">, </w:t>
      </w:r>
      <w:r>
        <w:t>channel estimation</w:t>
      </w:r>
      <w:r w:rsidR="00DD1868">
        <w:t xml:space="preserve"> and channel </w:t>
      </w:r>
      <w:r w:rsidR="00883864">
        <w:t>interpolation</w:t>
      </w:r>
      <w:r>
        <w:t xml:space="preserve">. Hence, a complexity-constrained </w:t>
      </w:r>
      <w:r w:rsidR="00F8696B">
        <w:t>measurement node</w:t>
      </w:r>
      <w:r>
        <w:t xml:space="preserve"> can support a wider RS bandwidth for sample-based reporting than for Rel-17 path-based reporting. It’s clear from signal processing theory, a larger transmitted and measured RS BW will enable higher positioning accuracy than a smaller transmitted and measured RS BW.</w:t>
      </w:r>
    </w:p>
    <w:p w14:paraId="63219A46" w14:textId="2C969CD8" w:rsidR="00816E3E" w:rsidRDefault="00816E3E" w:rsidP="00816E3E">
      <w:r>
        <w:t xml:space="preserve">To </w:t>
      </w:r>
      <w:r w:rsidR="00F75076">
        <w:t>provide a concrete example to demonstrate the issue</w:t>
      </w:r>
      <w:r>
        <w:t>, we compare</w:t>
      </w:r>
      <w:r w:rsidR="002D5F18">
        <w:t xml:space="preserve"> </w:t>
      </w:r>
      <w:r w:rsidR="002D5F18" w:rsidRPr="00086111">
        <w:t>90%tile 2D positioning accuracy</w:t>
      </w:r>
      <w:r w:rsidR="002D5F18">
        <w:t xml:space="preserve"> of</w:t>
      </w:r>
    </w:p>
    <w:p w14:paraId="38AE4EF5" w14:textId="6D53B68F" w:rsidR="002D5F18" w:rsidRDefault="002D5F18" w:rsidP="00D35F36">
      <w:pPr>
        <w:pStyle w:val="ListParagraph"/>
        <w:numPr>
          <w:ilvl w:val="0"/>
          <w:numId w:val="53"/>
        </w:numPr>
      </w:pPr>
      <w:r>
        <w:t>ML models using sample-based reporting on 100 MHz RS bandwidth</w:t>
      </w:r>
    </w:p>
    <w:p w14:paraId="1F52978B" w14:textId="5E0F70AA" w:rsidR="002D5F18" w:rsidRDefault="002D5F18" w:rsidP="00D35F36">
      <w:pPr>
        <w:pStyle w:val="ListParagraph"/>
        <w:numPr>
          <w:ilvl w:val="0"/>
          <w:numId w:val="53"/>
        </w:numPr>
      </w:pPr>
      <w:r>
        <w:t>ML models using Rel-17 path-based reporting on 50 MHz RS bandwidth</w:t>
      </w:r>
    </w:p>
    <w:p w14:paraId="294692D3" w14:textId="07C6AC8A" w:rsidR="002D5F18" w:rsidRDefault="002D5F18" w:rsidP="00D35F36">
      <w:pPr>
        <w:pStyle w:val="ListParagraph"/>
        <w:numPr>
          <w:ilvl w:val="0"/>
          <w:numId w:val="53"/>
        </w:numPr>
      </w:pPr>
      <w:r>
        <w:t>ML models using Rel-17 path-based reporting on 25 MHz RS bandwidth</w:t>
      </w:r>
    </w:p>
    <w:p w14:paraId="79A97363" w14:textId="2E6F0688" w:rsidR="00F37E50" w:rsidRPr="009E2C07" w:rsidRDefault="00255018" w:rsidP="009E2C07">
      <w:pPr>
        <w:rPr>
          <w:lang w:val="x-none"/>
        </w:rPr>
      </w:pPr>
      <w:r>
        <w:t xml:space="preserve">The evaluation results are shown in </w:t>
      </w:r>
      <w:r w:rsidR="00500110">
        <w:fldChar w:fldCharType="begin"/>
      </w:r>
      <w:r w:rsidR="00500110">
        <w:instrText xml:space="preserve"> REF _Ref163066184 </w:instrText>
      </w:r>
      <w:r w:rsidR="00500110">
        <w:fldChar w:fldCharType="separate"/>
      </w:r>
      <w:r w:rsidR="00850DA1" w:rsidRPr="00086111">
        <w:t xml:space="preserve">Table </w:t>
      </w:r>
      <w:r w:rsidR="00850DA1">
        <w:rPr>
          <w:noProof/>
        </w:rPr>
        <w:t>12</w:t>
      </w:r>
      <w:r w:rsidR="00500110">
        <w:rPr>
          <w:noProof/>
        </w:rPr>
        <w:fldChar w:fldCharType="end"/>
      </w:r>
      <w:r>
        <w:t xml:space="preserve">. </w:t>
      </w:r>
      <w:r w:rsidR="00A56015">
        <w:t>We can observe that</w:t>
      </w:r>
      <w:r w:rsidR="009A0802">
        <w:t xml:space="preserve"> </w:t>
      </w:r>
      <w:r w:rsidR="00F37E50">
        <w:t>ML models using Rel-17 path-based reporting underperform ML models using sample-based reporting significantly</w:t>
      </w:r>
      <w:r w:rsidR="006F1ADE">
        <w:t>, which is the consequence of using a narrower bandwidth to detect the paths</w:t>
      </w:r>
      <w:r w:rsidR="00F37E50">
        <w:t>.</w:t>
      </w:r>
    </w:p>
    <w:p w14:paraId="3FDA511B" w14:textId="45993B05" w:rsidR="004F3035" w:rsidRPr="009E2C07" w:rsidRDefault="004F3035" w:rsidP="00D35F36">
      <w:pPr>
        <w:pStyle w:val="ListParagraph"/>
        <w:numPr>
          <w:ilvl w:val="0"/>
          <w:numId w:val="53"/>
        </w:numPr>
      </w:pPr>
      <w:r>
        <w:t xml:space="preserve">ML models using Rel-17 path-based reporting on 50 MHz RS bandwidth </w:t>
      </w:r>
      <w:r w:rsidR="009506CF">
        <w:t xml:space="preserve">on average </w:t>
      </w:r>
      <w:r>
        <w:t xml:space="preserve">have 20% higher </w:t>
      </w:r>
      <w:r w:rsidRPr="009E2C07">
        <w:t xml:space="preserve">90%tile 2D positioning </w:t>
      </w:r>
      <w:r w:rsidR="00255018">
        <w:t xml:space="preserve">error </w:t>
      </w:r>
      <w:r w:rsidR="000D1D2C">
        <w:t xml:space="preserve">than </w:t>
      </w:r>
      <w:r>
        <w:t>ML models using sample-based reporting on 100 MHz RS bandwidth</w:t>
      </w:r>
      <w:r w:rsidR="00CE66BF">
        <w:t>.</w:t>
      </w:r>
    </w:p>
    <w:p w14:paraId="60E3ECF6" w14:textId="413D2916" w:rsidR="004F3035" w:rsidRPr="009E2C07" w:rsidRDefault="00CE66BF" w:rsidP="00D35F36">
      <w:pPr>
        <w:pStyle w:val="ListParagraph"/>
        <w:numPr>
          <w:ilvl w:val="0"/>
          <w:numId w:val="53"/>
        </w:numPr>
      </w:pPr>
      <w:r>
        <w:t xml:space="preserve">ML models using Rel-17 path-based reporting on 25 MHz RS bandwidth </w:t>
      </w:r>
      <w:r w:rsidR="009506CF">
        <w:t xml:space="preserve">on average </w:t>
      </w:r>
      <w:r>
        <w:t xml:space="preserve">have 71% higher </w:t>
      </w:r>
      <w:r w:rsidRPr="009E2C07">
        <w:t xml:space="preserve">90%tile 2D positioning </w:t>
      </w:r>
      <w:r w:rsidR="00255018">
        <w:t xml:space="preserve">error </w:t>
      </w:r>
      <w:r w:rsidR="000D1D2C">
        <w:t xml:space="preserve">than </w:t>
      </w:r>
      <w:r>
        <w:t>ML models using sample-based reporting on 100 MHz RS bandwidth.</w:t>
      </w:r>
    </w:p>
    <w:p w14:paraId="16E2DC4D" w14:textId="77777777" w:rsidR="007000A1" w:rsidRDefault="007000A1" w:rsidP="007000A1"/>
    <w:p w14:paraId="182A29E7" w14:textId="76519F5A" w:rsidR="007000A1" w:rsidRPr="00E215F0" w:rsidRDefault="003D3520" w:rsidP="002938DE">
      <w:pPr>
        <w:pStyle w:val="Observation"/>
      </w:pPr>
      <w:bookmarkStart w:id="835" w:name="_Toc178961852"/>
      <w:r>
        <w:t>Given the same receiver</w:t>
      </w:r>
      <w:r w:rsidR="007000A1">
        <w:t xml:space="preserve"> computational complexity, a </w:t>
      </w:r>
      <w:r w:rsidR="00DD59FB">
        <w:t>measurement node</w:t>
      </w:r>
      <w:r w:rsidR="007000A1">
        <w:t xml:space="preserve"> can support a wider RS bandwidth for sample-based reporting than for Rel-17 path-based reporting. The wider RS bandwidth measurement </w:t>
      </w:r>
      <w:r w:rsidR="00EA61FB">
        <w:t xml:space="preserve">reports </w:t>
      </w:r>
      <w:r w:rsidR="007000A1">
        <w:t xml:space="preserve">enable </w:t>
      </w:r>
      <w:r>
        <w:t xml:space="preserve">better </w:t>
      </w:r>
      <w:r w:rsidR="007000A1">
        <w:t>positioning accuracy</w:t>
      </w:r>
      <w:r w:rsidR="00E26AC2">
        <w:t xml:space="preserve"> for the ML models </w:t>
      </w:r>
      <w:r w:rsidR="00C20446">
        <w:t xml:space="preserve">using </w:t>
      </w:r>
      <w:r w:rsidR="00E26AC2">
        <w:t>sample-based reporting</w:t>
      </w:r>
      <w:r w:rsidR="007000A1">
        <w:t>.</w:t>
      </w:r>
      <w:bookmarkEnd w:id="835"/>
    </w:p>
    <w:p w14:paraId="751F070D" w14:textId="77777777" w:rsidR="001A1610" w:rsidRDefault="001A1610" w:rsidP="003B4849"/>
    <w:p w14:paraId="55F27202" w14:textId="3ACFB5D8" w:rsidR="007874BD" w:rsidRDefault="007874BD" w:rsidP="007874BD">
      <w:pPr>
        <w:pStyle w:val="Caption"/>
        <w:rPr>
          <w:lang w:eastAsia="ja-JP"/>
        </w:rPr>
      </w:pPr>
      <w:bookmarkStart w:id="836" w:name="_Ref163066184"/>
      <w:r w:rsidRPr="00086111">
        <w:t xml:space="preserve">Table </w:t>
      </w:r>
      <w:r w:rsidRPr="00086111">
        <w:fldChar w:fldCharType="begin"/>
      </w:r>
      <w:r w:rsidRPr="00086111">
        <w:instrText>SEQ Table \* ARABIC</w:instrText>
      </w:r>
      <w:r w:rsidRPr="00086111">
        <w:fldChar w:fldCharType="separate"/>
      </w:r>
      <w:r w:rsidR="00850DA1">
        <w:rPr>
          <w:noProof/>
        </w:rPr>
        <w:t>12</w:t>
      </w:r>
      <w:r w:rsidRPr="00086111">
        <w:fldChar w:fldCharType="end"/>
      </w:r>
      <w:bookmarkEnd w:id="836"/>
      <w:r w:rsidR="00255018">
        <w:t>.</w:t>
      </w:r>
      <w:r w:rsidRPr="00086111">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w:t>
      </w:r>
      <w:r w:rsidR="00A7172A">
        <w:t xml:space="preserve">(meters) </w:t>
      </w:r>
      <w:r>
        <w:t>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{60%, 6m, 2m} InF-DH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850DA1">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9962" w:type="dxa"/>
        <w:tblLook w:val="04A0" w:firstRow="1" w:lastRow="0" w:firstColumn="1" w:lastColumn="0" w:noHBand="0" w:noVBand="1"/>
      </w:tblPr>
      <w:tblGrid>
        <w:gridCol w:w="730"/>
        <w:gridCol w:w="710"/>
        <w:gridCol w:w="739"/>
        <w:gridCol w:w="730"/>
        <w:gridCol w:w="711"/>
        <w:gridCol w:w="961"/>
        <w:gridCol w:w="762"/>
        <w:gridCol w:w="741"/>
        <w:gridCol w:w="711"/>
        <w:gridCol w:w="712"/>
        <w:gridCol w:w="961"/>
        <w:gridCol w:w="753"/>
        <w:gridCol w:w="741"/>
      </w:tblGrid>
      <w:tr w:rsidR="00A34751" w14:paraId="5547899B" w14:textId="77777777" w:rsidTr="005E7756">
        <w:tc>
          <w:tcPr>
            <w:tcW w:w="2179" w:type="dxa"/>
            <w:gridSpan w:val="3"/>
            <w:tcBorders>
              <w:bottom w:val="single" w:sz="4" w:space="0" w:color="auto"/>
              <w:right w:val="double" w:sz="4" w:space="0" w:color="auto"/>
            </w:tcBorders>
            <w:vAlign w:val="center"/>
          </w:tcPr>
          <w:p w14:paraId="1DA9A4ED" w14:textId="77777777" w:rsidR="00A34751" w:rsidRPr="00A46601" w:rsidRDefault="00A34751" w:rsidP="005E7756">
            <w:pPr>
              <w:spacing w:before="40" w:after="40"/>
              <w:jc w:val="center"/>
              <w:rPr>
                <w:rFonts w:cs="Arial"/>
                <w:color w:val="000000"/>
                <w:sz w:val="20"/>
                <w:szCs w:val="20"/>
              </w:rPr>
            </w:pPr>
            <w:r w:rsidRPr="00A005D0">
              <w:rPr>
                <w:rFonts w:cs="Arial"/>
                <w:color w:val="000000"/>
                <w:sz w:val="20"/>
                <w:szCs w:val="20"/>
              </w:rPr>
              <w:t>Sample-based over 100 MHz</w:t>
            </w:r>
          </w:p>
        </w:tc>
        <w:tc>
          <w:tcPr>
            <w:tcW w:w="3905" w:type="dxa"/>
            <w:gridSpan w:val="5"/>
            <w:tcBorders>
              <w:left w:val="double" w:sz="4" w:space="0" w:color="auto"/>
              <w:bottom w:val="single" w:sz="4" w:space="0" w:color="auto"/>
              <w:right w:val="double" w:sz="4" w:space="0" w:color="auto"/>
            </w:tcBorders>
            <w:vAlign w:val="center"/>
          </w:tcPr>
          <w:p w14:paraId="1028EB92" w14:textId="77777777" w:rsidR="00A34751" w:rsidRPr="00A46601" w:rsidRDefault="00A34751" w:rsidP="005E7756">
            <w:pPr>
              <w:spacing w:before="40" w:after="40"/>
              <w:jc w:val="center"/>
              <w:rPr>
                <w:rFonts w:cs="Arial"/>
                <w:color w:val="000000"/>
                <w:sz w:val="20"/>
                <w:szCs w:val="20"/>
              </w:rPr>
            </w:pPr>
            <w:r w:rsidRPr="00A005D0">
              <w:rPr>
                <w:rFonts w:cs="Arial"/>
                <w:color w:val="000000"/>
                <w:sz w:val="20"/>
                <w:szCs w:val="20"/>
              </w:rPr>
              <w:t>Path-based over 50 MHz</w:t>
            </w:r>
          </w:p>
        </w:tc>
        <w:tc>
          <w:tcPr>
            <w:tcW w:w="3878" w:type="dxa"/>
            <w:gridSpan w:val="5"/>
            <w:tcBorders>
              <w:left w:val="double" w:sz="4" w:space="0" w:color="auto"/>
              <w:bottom w:val="single" w:sz="4" w:space="0" w:color="auto"/>
            </w:tcBorders>
            <w:vAlign w:val="center"/>
          </w:tcPr>
          <w:p w14:paraId="0CE200DB" w14:textId="77777777" w:rsidR="00A34751" w:rsidRPr="00A46601" w:rsidRDefault="00A34751" w:rsidP="005E7756">
            <w:pPr>
              <w:spacing w:before="40" w:after="40"/>
              <w:jc w:val="center"/>
              <w:rPr>
                <w:rFonts w:cs="Arial"/>
                <w:color w:val="000000"/>
                <w:sz w:val="20"/>
                <w:szCs w:val="20"/>
              </w:rPr>
            </w:pPr>
            <w:r w:rsidRPr="00A005D0">
              <w:rPr>
                <w:rFonts w:cs="Arial"/>
                <w:color w:val="000000"/>
                <w:sz w:val="20"/>
                <w:szCs w:val="20"/>
              </w:rPr>
              <w:t>Path-based over 25 MHz</w:t>
            </w:r>
          </w:p>
        </w:tc>
      </w:tr>
      <w:tr w:rsidR="00A34751" w14:paraId="7DD49BE6" w14:textId="77777777" w:rsidTr="005E7756">
        <w:tc>
          <w:tcPr>
            <w:tcW w:w="730" w:type="dxa"/>
            <w:vMerge w:val="restart"/>
            <w:vAlign w:val="center"/>
          </w:tcPr>
          <w:p w14:paraId="3476D40E" w14:textId="77777777" w:rsidR="00A34751" w:rsidRPr="00331406"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0" w:type="dxa"/>
            <w:vMerge w:val="restart"/>
            <w:vAlign w:val="center"/>
          </w:tcPr>
          <w:p w14:paraId="4DB1E145" w14:textId="77777777" w:rsidR="00A34751" w:rsidRPr="00331406" w:rsidRDefault="009C13C0"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739" w:type="dxa"/>
            <w:vMerge w:val="restart"/>
            <w:tcBorders>
              <w:right w:val="double" w:sz="4" w:space="0" w:color="auto"/>
            </w:tcBorders>
            <w:vAlign w:val="center"/>
          </w:tcPr>
          <w:p w14:paraId="3C1BF925" w14:textId="77777777" w:rsidR="00A34751" w:rsidRPr="00331406"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m:rPr>
                        <m:sty m:val="p"/>
                      </m:rPr>
                      <w:rPr>
                        <w:rFonts w:ascii="Cambria Math" w:hAnsi="Cambria Math" w:cs="Arial"/>
                        <w:color w:val="000000"/>
                        <w:szCs w:val="20"/>
                      </w:rPr>
                      <m:t>Δ</m:t>
                    </m:r>
                  </m:e>
                  <m:sub>
                    <m:r>
                      <m:rPr>
                        <m:sty m:val="p"/>
                      </m:rPr>
                      <w:rPr>
                        <w:rFonts w:ascii="Cambria Math" w:hAnsi="Cambria Math" w:cs="Arial"/>
                        <w:color w:val="000000"/>
                        <w:szCs w:val="20"/>
                      </w:rPr>
                      <m:t>90%</m:t>
                    </m:r>
                  </m:sub>
                </m:sSub>
              </m:oMath>
            </m:oMathPara>
          </w:p>
        </w:tc>
        <w:tc>
          <w:tcPr>
            <w:tcW w:w="730" w:type="dxa"/>
            <w:vMerge w:val="restart"/>
            <w:tcBorders>
              <w:left w:val="double" w:sz="4" w:space="0" w:color="auto"/>
            </w:tcBorders>
            <w:vAlign w:val="center"/>
          </w:tcPr>
          <w:p w14:paraId="1831DB8F" w14:textId="77777777" w:rsidR="00A34751" w:rsidRPr="00331406"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1" w:type="dxa"/>
            <w:vMerge w:val="restart"/>
            <w:vAlign w:val="center"/>
          </w:tcPr>
          <w:p w14:paraId="4BC0ABA1" w14:textId="77777777" w:rsidR="00A34751" w:rsidRPr="00331406" w:rsidRDefault="009C13C0"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2464" w:type="dxa"/>
            <w:gridSpan w:val="3"/>
            <w:tcBorders>
              <w:bottom w:val="single" w:sz="4" w:space="0" w:color="auto"/>
              <w:right w:val="double" w:sz="4" w:space="0" w:color="auto"/>
            </w:tcBorders>
            <w:vAlign w:val="center"/>
          </w:tcPr>
          <w:p w14:paraId="39851F8C" w14:textId="77777777" w:rsidR="00A34751" w:rsidRPr="00331406"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m:rPr>
                        <m:sty m:val="p"/>
                      </m:rPr>
                      <w:rPr>
                        <w:rFonts w:ascii="Cambria Math" w:hAnsi="Cambria Math" w:cs="Arial"/>
                        <w:color w:val="000000"/>
                        <w:szCs w:val="20"/>
                      </w:rPr>
                      <m:t>Δ</m:t>
                    </m:r>
                  </m:e>
                  <m:sub>
                    <m:r>
                      <m:rPr>
                        <m:sty m:val="p"/>
                      </m:rPr>
                      <w:rPr>
                        <w:rFonts w:ascii="Cambria Math" w:hAnsi="Cambria Math" w:cs="Arial"/>
                        <w:color w:val="000000"/>
                        <w:szCs w:val="20"/>
                      </w:rPr>
                      <m:t>90%</m:t>
                    </m:r>
                  </m:sub>
                </m:sSub>
              </m:oMath>
            </m:oMathPara>
          </w:p>
        </w:tc>
        <w:tc>
          <w:tcPr>
            <w:tcW w:w="711" w:type="dxa"/>
            <w:vMerge w:val="restart"/>
            <w:tcBorders>
              <w:left w:val="double" w:sz="4" w:space="0" w:color="auto"/>
            </w:tcBorders>
            <w:vAlign w:val="center"/>
          </w:tcPr>
          <w:p w14:paraId="43181274" w14:textId="77777777" w:rsidR="00A34751" w:rsidRPr="00331406"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2" w:type="dxa"/>
            <w:vMerge w:val="restart"/>
            <w:vAlign w:val="center"/>
          </w:tcPr>
          <w:p w14:paraId="0D88C8C1" w14:textId="77777777" w:rsidR="00A34751" w:rsidRPr="00331406" w:rsidRDefault="009C13C0"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2455" w:type="dxa"/>
            <w:gridSpan w:val="3"/>
            <w:tcBorders>
              <w:bottom w:val="single" w:sz="4" w:space="0" w:color="auto"/>
            </w:tcBorders>
            <w:vAlign w:val="center"/>
          </w:tcPr>
          <w:p w14:paraId="538A5B12" w14:textId="77777777" w:rsidR="00A34751" w:rsidRPr="00331406"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m:rPr>
                        <m:sty m:val="p"/>
                      </m:rPr>
                      <w:rPr>
                        <w:rFonts w:ascii="Cambria Math" w:hAnsi="Cambria Math" w:cs="Arial"/>
                        <w:color w:val="000000"/>
                        <w:szCs w:val="20"/>
                      </w:rPr>
                      <m:t>Δ</m:t>
                    </m:r>
                  </m:e>
                  <m:sub>
                    <m:r>
                      <m:rPr>
                        <m:sty m:val="p"/>
                      </m:rPr>
                      <w:rPr>
                        <w:rFonts w:ascii="Cambria Math" w:hAnsi="Cambria Math" w:cs="Arial"/>
                        <w:color w:val="000000"/>
                        <w:szCs w:val="20"/>
                      </w:rPr>
                      <m:t>90%</m:t>
                    </m:r>
                  </m:sub>
                </m:sSub>
              </m:oMath>
            </m:oMathPara>
          </w:p>
        </w:tc>
      </w:tr>
      <w:tr w:rsidR="00A34751" w14:paraId="300ED5E8" w14:textId="77777777" w:rsidTr="005E7756">
        <w:tc>
          <w:tcPr>
            <w:tcW w:w="730" w:type="dxa"/>
            <w:vMerge/>
            <w:tcBorders>
              <w:bottom w:val="double" w:sz="4" w:space="0" w:color="auto"/>
            </w:tcBorders>
            <w:vAlign w:val="center"/>
          </w:tcPr>
          <w:p w14:paraId="606DC901" w14:textId="77777777" w:rsidR="00A34751" w:rsidRPr="00A46601" w:rsidRDefault="00A34751" w:rsidP="005E7756">
            <w:pPr>
              <w:spacing w:before="40" w:after="40"/>
              <w:jc w:val="center"/>
              <w:rPr>
                <w:rFonts w:cs="Arial"/>
                <w:color w:val="000000"/>
                <w:sz w:val="20"/>
                <w:szCs w:val="20"/>
              </w:rPr>
            </w:pPr>
          </w:p>
        </w:tc>
        <w:tc>
          <w:tcPr>
            <w:tcW w:w="710" w:type="dxa"/>
            <w:vMerge/>
            <w:tcBorders>
              <w:bottom w:val="double" w:sz="4" w:space="0" w:color="auto"/>
            </w:tcBorders>
            <w:vAlign w:val="center"/>
          </w:tcPr>
          <w:p w14:paraId="6EC50E57" w14:textId="77777777" w:rsidR="00A34751" w:rsidRPr="00A46601" w:rsidRDefault="00A34751" w:rsidP="005E7756">
            <w:pPr>
              <w:spacing w:before="40" w:after="40"/>
              <w:jc w:val="center"/>
              <w:rPr>
                <w:rFonts w:cs="Arial"/>
                <w:color w:val="000000"/>
                <w:sz w:val="20"/>
                <w:szCs w:val="20"/>
              </w:rPr>
            </w:pPr>
          </w:p>
        </w:tc>
        <w:tc>
          <w:tcPr>
            <w:tcW w:w="739" w:type="dxa"/>
            <w:vMerge/>
            <w:tcBorders>
              <w:bottom w:val="double" w:sz="4" w:space="0" w:color="auto"/>
              <w:right w:val="double" w:sz="4" w:space="0" w:color="auto"/>
            </w:tcBorders>
            <w:vAlign w:val="center"/>
          </w:tcPr>
          <w:p w14:paraId="18C41DCA" w14:textId="77777777" w:rsidR="00A34751" w:rsidRPr="00A46601" w:rsidRDefault="00A34751" w:rsidP="005E7756">
            <w:pPr>
              <w:spacing w:before="40" w:after="40"/>
              <w:jc w:val="center"/>
              <w:rPr>
                <w:rFonts w:cs="Arial"/>
                <w:color w:val="000000"/>
                <w:sz w:val="20"/>
                <w:szCs w:val="20"/>
              </w:rPr>
            </w:pPr>
          </w:p>
        </w:tc>
        <w:tc>
          <w:tcPr>
            <w:tcW w:w="730" w:type="dxa"/>
            <w:vMerge/>
            <w:tcBorders>
              <w:left w:val="double" w:sz="4" w:space="0" w:color="auto"/>
              <w:bottom w:val="double" w:sz="4" w:space="0" w:color="auto"/>
            </w:tcBorders>
            <w:vAlign w:val="center"/>
          </w:tcPr>
          <w:p w14:paraId="36B77D5D" w14:textId="77777777" w:rsidR="00A34751" w:rsidRPr="00A46601" w:rsidRDefault="00A34751" w:rsidP="005E7756">
            <w:pPr>
              <w:spacing w:before="40" w:after="40"/>
              <w:jc w:val="center"/>
              <w:rPr>
                <w:rFonts w:cs="Arial"/>
                <w:color w:val="000000"/>
                <w:sz w:val="20"/>
                <w:szCs w:val="20"/>
              </w:rPr>
            </w:pPr>
          </w:p>
        </w:tc>
        <w:tc>
          <w:tcPr>
            <w:tcW w:w="711" w:type="dxa"/>
            <w:vMerge/>
            <w:tcBorders>
              <w:bottom w:val="double" w:sz="4" w:space="0" w:color="auto"/>
            </w:tcBorders>
            <w:vAlign w:val="center"/>
          </w:tcPr>
          <w:p w14:paraId="38512E5B" w14:textId="77777777" w:rsidR="00A34751" w:rsidRPr="00A46601" w:rsidRDefault="00A34751" w:rsidP="005E7756">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1D6C1D2C"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Average</w:t>
            </w:r>
          </w:p>
        </w:tc>
        <w:tc>
          <w:tcPr>
            <w:tcW w:w="762" w:type="dxa"/>
            <w:tcBorders>
              <w:top w:val="single" w:sz="4" w:space="0" w:color="auto"/>
              <w:bottom w:val="double" w:sz="4" w:space="0" w:color="auto"/>
            </w:tcBorders>
            <w:vAlign w:val="center"/>
          </w:tcPr>
          <w:p w14:paraId="57A7D8BB"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right w:val="double" w:sz="4" w:space="0" w:color="auto"/>
            </w:tcBorders>
            <w:vAlign w:val="center"/>
          </w:tcPr>
          <w:p w14:paraId="5D325D2A"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Best</w:t>
            </w:r>
          </w:p>
        </w:tc>
        <w:tc>
          <w:tcPr>
            <w:tcW w:w="711" w:type="dxa"/>
            <w:vMerge/>
            <w:tcBorders>
              <w:left w:val="double" w:sz="4" w:space="0" w:color="auto"/>
              <w:bottom w:val="double" w:sz="4" w:space="0" w:color="auto"/>
            </w:tcBorders>
            <w:vAlign w:val="center"/>
          </w:tcPr>
          <w:p w14:paraId="702D0F4A" w14:textId="77777777" w:rsidR="00A34751" w:rsidRPr="00A46601" w:rsidRDefault="00A34751" w:rsidP="005E7756">
            <w:pPr>
              <w:spacing w:before="40" w:after="40"/>
              <w:jc w:val="center"/>
              <w:rPr>
                <w:rFonts w:cs="Arial"/>
                <w:color w:val="000000"/>
                <w:sz w:val="20"/>
                <w:szCs w:val="20"/>
              </w:rPr>
            </w:pPr>
          </w:p>
        </w:tc>
        <w:tc>
          <w:tcPr>
            <w:tcW w:w="712" w:type="dxa"/>
            <w:vMerge/>
            <w:tcBorders>
              <w:bottom w:val="double" w:sz="4" w:space="0" w:color="auto"/>
            </w:tcBorders>
            <w:vAlign w:val="center"/>
          </w:tcPr>
          <w:p w14:paraId="0BB06D77" w14:textId="77777777" w:rsidR="00A34751" w:rsidRPr="00A46601" w:rsidRDefault="00A34751" w:rsidP="005E7756">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0A643125"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Average</w:t>
            </w:r>
          </w:p>
        </w:tc>
        <w:tc>
          <w:tcPr>
            <w:tcW w:w="753" w:type="dxa"/>
            <w:tcBorders>
              <w:top w:val="single" w:sz="4" w:space="0" w:color="auto"/>
              <w:bottom w:val="double" w:sz="4" w:space="0" w:color="auto"/>
            </w:tcBorders>
            <w:vAlign w:val="center"/>
          </w:tcPr>
          <w:p w14:paraId="40BE13C9"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tcBorders>
            <w:vAlign w:val="center"/>
          </w:tcPr>
          <w:p w14:paraId="5709DA76"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Best</w:t>
            </w:r>
          </w:p>
        </w:tc>
      </w:tr>
      <w:tr w:rsidR="00A34751" w14:paraId="2F0C74AF" w14:textId="77777777" w:rsidTr="005E7756">
        <w:tc>
          <w:tcPr>
            <w:tcW w:w="730" w:type="dxa"/>
            <w:tcBorders>
              <w:top w:val="double" w:sz="4" w:space="0" w:color="auto"/>
            </w:tcBorders>
            <w:vAlign w:val="center"/>
          </w:tcPr>
          <w:p w14:paraId="4430F47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256</w:t>
            </w:r>
          </w:p>
        </w:tc>
        <w:tc>
          <w:tcPr>
            <w:tcW w:w="710" w:type="dxa"/>
            <w:tcBorders>
              <w:top w:val="double" w:sz="4" w:space="0" w:color="auto"/>
            </w:tcBorders>
            <w:vAlign w:val="center"/>
          </w:tcPr>
          <w:p w14:paraId="251FEC4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39" w:type="dxa"/>
            <w:tcBorders>
              <w:top w:val="double" w:sz="4" w:space="0" w:color="auto"/>
              <w:right w:val="double" w:sz="4" w:space="0" w:color="auto"/>
            </w:tcBorders>
            <w:vAlign w:val="center"/>
          </w:tcPr>
          <w:p w14:paraId="54B902B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0.69</w:t>
            </w:r>
          </w:p>
        </w:tc>
        <w:tc>
          <w:tcPr>
            <w:tcW w:w="730" w:type="dxa"/>
            <w:tcBorders>
              <w:top w:val="double" w:sz="4" w:space="0" w:color="auto"/>
              <w:left w:val="double" w:sz="4" w:space="0" w:color="auto"/>
            </w:tcBorders>
            <w:vAlign w:val="center"/>
          </w:tcPr>
          <w:p w14:paraId="58AAF26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1" w:type="dxa"/>
            <w:tcBorders>
              <w:top w:val="double" w:sz="4" w:space="0" w:color="auto"/>
            </w:tcBorders>
            <w:vAlign w:val="center"/>
          </w:tcPr>
          <w:p w14:paraId="3122999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top w:val="double" w:sz="4" w:space="0" w:color="auto"/>
            </w:tcBorders>
            <w:vAlign w:val="center"/>
          </w:tcPr>
          <w:p w14:paraId="176BCBFE"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0.79</w:t>
            </w:r>
          </w:p>
        </w:tc>
        <w:tc>
          <w:tcPr>
            <w:tcW w:w="762" w:type="dxa"/>
            <w:tcBorders>
              <w:top w:val="double" w:sz="4" w:space="0" w:color="auto"/>
            </w:tcBorders>
            <w:vAlign w:val="center"/>
          </w:tcPr>
          <w:p w14:paraId="1D7D8C5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0.96</w:t>
            </w:r>
          </w:p>
        </w:tc>
        <w:tc>
          <w:tcPr>
            <w:tcW w:w="741" w:type="dxa"/>
            <w:tcBorders>
              <w:top w:val="double" w:sz="4" w:space="0" w:color="auto"/>
              <w:right w:val="double" w:sz="4" w:space="0" w:color="auto"/>
            </w:tcBorders>
            <w:vAlign w:val="center"/>
          </w:tcPr>
          <w:p w14:paraId="747DC0DE"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0.65</w:t>
            </w:r>
          </w:p>
        </w:tc>
        <w:tc>
          <w:tcPr>
            <w:tcW w:w="711" w:type="dxa"/>
            <w:tcBorders>
              <w:top w:val="double" w:sz="4" w:space="0" w:color="auto"/>
              <w:left w:val="double" w:sz="4" w:space="0" w:color="auto"/>
            </w:tcBorders>
            <w:vAlign w:val="center"/>
          </w:tcPr>
          <w:p w14:paraId="175CE7A2"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2" w:type="dxa"/>
            <w:tcBorders>
              <w:top w:val="double" w:sz="4" w:space="0" w:color="auto"/>
            </w:tcBorders>
            <w:vAlign w:val="center"/>
          </w:tcPr>
          <w:p w14:paraId="622EE36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top w:val="double" w:sz="4" w:space="0" w:color="auto"/>
            </w:tcBorders>
            <w:vAlign w:val="center"/>
          </w:tcPr>
          <w:p w14:paraId="3BD5DC8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0.99</w:t>
            </w:r>
          </w:p>
        </w:tc>
        <w:tc>
          <w:tcPr>
            <w:tcW w:w="753" w:type="dxa"/>
            <w:tcBorders>
              <w:top w:val="double" w:sz="4" w:space="0" w:color="auto"/>
            </w:tcBorders>
            <w:vAlign w:val="center"/>
          </w:tcPr>
          <w:p w14:paraId="167ADEA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1.22</w:t>
            </w:r>
          </w:p>
        </w:tc>
        <w:tc>
          <w:tcPr>
            <w:tcW w:w="741" w:type="dxa"/>
            <w:tcBorders>
              <w:top w:val="double" w:sz="4" w:space="0" w:color="auto"/>
            </w:tcBorders>
            <w:vAlign w:val="center"/>
          </w:tcPr>
          <w:p w14:paraId="02BD30F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0.77</w:t>
            </w:r>
          </w:p>
        </w:tc>
      </w:tr>
      <w:tr w:rsidR="00A34751" w14:paraId="6AC2352A" w14:textId="77777777" w:rsidTr="005E7756">
        <w:tc>
          <w:tcPr>
            <w:tcW w:w="730" w:type="dxa"/>
            <w:vAlign w:val="center"/>
          </w:tcPr>
          <w:p w14:paraId="0BE5283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0" w:type="dxa"/>
            <w:vAlign w:val="center"/>
          </w:tcPr>
          <w:p w14:paraId="7144406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39" w:type="dxa"/>
            <w:tcBorders>
              <w:right w:val="double" w:sz="4" w:space="0" w:color="auto"/>
            </w:tcBorders>
            <w:vAlign w:val="center"/>
          </w:tcPr>
          <w:p w14:paraId="6268D197"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0.67</w:t>
            </w:r>
          </w:p>
        </w:tc>
        <w:tc>
          <w:tcPr>
            <w:tcW w:w="730" w:type="dxa"/>
            <w:tcBorders>
              <w:left w:val="double" w:sz="4" w:space="0" w:color="auto"/>
            </w:tcBorders>
            <w:vAlign w:val="center"/>
          </w:tcPr>
          <w:p w14:paraId="6A3D840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1" w:type="dxa"/>
            <w:vAlign w:val="center"/>
          </w:tcPr>
          <w:p w14:paraId="54FE7873"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vAlign w:val="center"/>
          </w:tcPr>
          <w:p w14:paraId="415FBC4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0.81</w:t>
            </w:r>
          </w:p>
        </w:tc>
        <w:tc>
          <w:tcPr>
            <w:tcW w:w="762" w:type="dxa"/>
            <w:vAlign w:val="center"/>
          </w:tcPr>
          <w:p w14:paraId="10C7BEB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0.93</w:t>
            </w:r>
          </w:p>
        </w:tc>
        <w:tc>
          <w:tcPr>
            <w:tcW w:w="741" w:type="dxa"/>
            <w:tcBorders>
              <w:right w:val="double" w:sz="4" w:space="0" w:color="auto"/>
            </w:tcBorders>
            <w:vAlign w:val="center"/>
          </w:tcPr>
          <w:p w14:paraId="59EC967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0.67</w:t>
            </w:r>
          </w:p>
        </w:tc>
        <w:tc>
          <w:tcPr>
            <w:tcW w:w="711" w:type="dxa"/>
            <w:tcBorders>
              <w:left w:val="double" w:sz="4" w:space="0" w:color="auto"/>
            </w:tcBorders>
            <w:vAlign w:val="center"/>
          </w:tcPr>
          <w:p w14:paraId="6456776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2" w:type="dxa"/>
            <w:vAlign w:val="center"/>
          </w:tcPr>
          <w:p w14:paraId="64308303"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vAlign w:val="center"/>
          </w:tcPr>
          <w:p w14:paraId="341EF1F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1.09</w:t>
            </w:r>
          </w:p>
        </w:tc>
        <w:tc>
          <w:tcPr>
            <w:tcW w:w="753" w:type="dxa"/>
            <w:vAlign w:val="center"/>
          </w:tcPr>
          <w:p w14:paraId="22347AF3"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1.26</w:t>
            </w:r>
          </w:p>
        </w:tc>
        <w:tc>
          <w:tcPr>
            <w:tcW w:w="741" w:type="dxa"/>
            <w:vAlign w:val="center"/>
          </w:tcPr>
          <w:p w14:paraId="525D924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0.86</w:t>
            </w:r>
          </w:p>
        </w:tc>
      </w:tr>
      <w:tr w:rsidR="00A34751" w14:paraId="2FC576DA" w14:textId="77777777" w:rsidTr="005E7756">
        <w:tc>
          <w:tcPr>
            <w:tcW w:w="730" w:type="dxa"/>
            <w:tcBorders>
              <w:bottom w:val="double" w:sz="4" w:space="0" w:color="auto"/>
            </w:tcBorders>
            <w:vAlign w:val="center"/>
          </w:tcPr>
          <w:p w14:paraId="377E780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0" w:type="dxa"/>
            <w:tcBorders>
              <w:bottom w:val="double" w:sz="4" w:space="0" w:color="auto"/>
            </w:tcBorders>
            <w:vAlign w:val="center"/>
          </w:tcPr>
          <w:p w14:paraId="09CE9FD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39" w:type="dxa"/>
            <w:tcBorders>
              <w:bottom w:val="double" w:sz="4" w:space="0" w:color="auto"/>
              <w:right w:val="double" w:sz="4" w:space="0" w:color="auto"/>
            </w:tcBorders>
            <w:vAlign w:val="center"/>
          </w:tcPr>
          <w:p w14:paraId="56D7075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0.75</w:t>
            </w:r>
          </w:p>
        </w:tc>
        <w:tc>
          <w:tcPr>
            <w:tcW w:w="730" w:type="dxa"/>
            <w:tcBorders>
              <w:left w:val="double" w:sz="4" w:space="0" w:color="auto"/>
              <w:bottom w:val="double" w:sz="4" w:space="0" w:color="auto"/>
            </w:tcBorders>
            <w:vAlign w:val="center"/>
          </w:tcPr>
          <w:p w14:paraId="1242A28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1" w:type="dxa"/>
            <w:tcBorders>
              <w:bottom w:val="double" w:sz="4" w:space="0" w:color="auto"/>
            </w:tcBorders>
            <w:vAlign w:val="center"/>
          </w:tcPr>
          <w:p w14:paraId="2162C94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bottom w:val="double" w:sz="4" w:space="0" w:color="auto"/>
            </w:tcBorders>
            <w:vAlign w:val="center"/>
          </w:tcPr>
          <w:p w14:paraId="65D14CC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1.07</w:t>
            </w:r>
          </w:p>
        </w:tc>
        <w:tc>
          <w:tcPr>
            <w:tcW w:w="762" w:type="dxa"/>
            <w:tcBorders>
              <w:bottom w:val="double" w:sz="4" w:space="0" w:color="auto"/>
            </w:tcBorders>
            <w:vAlign w:val="center"/>
          </w:tcPr>
          <w:p w14:paraId="297BB59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1.20</w:t>
            </w:r>
          </w:p>
        </w:tc>
        <w:tc>
          <w:tcPr>
            <w:tcW w:w="741" w:type="dxa"/>
            <w:tcBorders>
              <w:bottom w:val="double" w:sz="4" w:space="0" w:color="auto"/>
              <w:right w:val="double" w:sz="4" w:space="0" w:color="auto"/>
            </w:tcBorders>
            <w:vAlign w:val="center"/>
          </w:tcPr>
          <w:p w14:paraId="09F2B51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0.86</w:t>
            </w:r>
          </w:p>
        </w:tc>
        <w:tc>
          <w:tcPr>
            <w:tcW w:w="711" w:type="dxa"/>
            <w:tcBorders>
              <w:left w:val="double" w:sz="4" w:space="0" w:color="auto"/>
              <w:bottom w:val="double" w:sz="4" w:space="0" w:color="auto"/>
            </w:tcBorders>
            <w:vAlign w:val="center"/>
          </w:tcPr>
          <w:p w14:paraId="3F199BD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12" w:type="dxa"/>
            <w:tcBorders>
              <w:bottom w:val="double" w:sz="4" w:space="0" w:color="auto"/>
            </w:tcBorders>
            <w:vAlign w:val="center"/>
          </w:tcPr>
          <w:p w14:paraId="547BEC8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bottom w:val="double" w:sz="4" w:space="0" w:color="auto"/>
            </w:tcBorders>
            <w:vAlign w:val="center"/>
          </w:tcPr>
          <w:p w14:paraId="312CFE8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1.83</w:t>
            </w:r>
          </w:p>
        </w:tc>
        <w:tc>
          <w:tcPr>
            <w:tcW w:w="753" w:type="dxa"/>
            <w:tcBorders>
              <w:bottom w:val="double" w:sz="4" w:space="0" w:color="auto"/>
            </w:tcBorders>
            <w:vAlign w:val="center"/>
          </w:tcPr>
          <w:p w14:paraId="262E8AC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2.20</w:t>
            </w:r>
          </w:p>
        </w:tc>
        <w:tc>
          <w:tcPr>
            <w:tcW w:w="741" w:type="dxa"/>
            <w:tcBorders>
              <w:bottom w:val="double" w:sz="4" w:space="0" w:color="auto"/>
            </w:tcBorders>
            <w:vAlign w:val="center"/>
          </w:tcPr>
          <w:p w14:paraId="628F553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1.32</w:t>
            </w:r>
          </w:p>
        </w:tc>
      </w:tr>
      <w:tr w:rsidR="00A34751" w14:paraId="17F22AA4" w14:textId="77777777" w:rsidTr="005E7756">
        <w:tc>
          <w:tcPr>
            <w:tcW w:w="730" w:type="dxa"/>
            <w:tcBorders>
              <w:top w:val="double" w:sz="4" w:space="0" w:color="auto"/>
            </w:tcBorders>
            <w:vAlign w:val="center"/>
          </w:tcPr>
          <w:p w14:paraId="456D486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256</w:t>
            </w:r>
          </w:p>
        </w:tc>
        <w:tc>
          <w:tcPr>
            <w:tcW w:w="710" w:type="dxa"/>
            <w:tcBorders>
              <w:top w:val="double" w:sz="4" w:space="0" w:color="auto"/>
            </w:tcBorders>
            <w:vAlign w:val="center"/>
          </w:tcPr>
          <w:p w14:paraId="0C80AFD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739" w:type="dxa"/>
            <w:tcBorders>
              <w:top w:val="double" w:sz="4" w:space="0" w:color="auto"/>
              <w:right w:val="double" w:sz="4" w:space="0" w:color="auto"/>
            </w:tcBorders>
            <w:vAlign w:val="center"/>
          </w:tcPr>
          <w:p w14:paraId="3FE71CC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0.82</w:t>
            </w:r>
          </w:p>
        </w:tc>
        <w:tc>
          <w:tcPr>
            <w:tcW w:w="730" w:type="dxa"/>
            <w:tcBorders>
              <w:top w:val="double" w:sz="4" w:space="0" w:color="auto"/>
              <w:left w:val="double" w:sz="4" w:space="0" w:color="auto"/>
            </w:tcBorders>
            <w:vAlign w:val="center"/>
          </w:tcPr>
          <w:p w14:paraId="2046FAC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1" w:type="dxa"/>
            <w:tcBorders>
              <w:top w:val="double" w:sz="4" w:space="0" w:color="auto"/>
            </w:tcBorders>
            <w:vAlign w:val="center"/>
          </w:tcPr>
          <w:p w14:paraId="5E10200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tcBorders>
              <w:top w:val="double" w:sz="4" w:space="0" w:color="auto"/>
            </w:tcBorders>
            <w:vAlign w:val="center"/>
          </w:tcPr>
          <w:p w14:paraId="2BAA788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0.85</w:t>
            </w:r>
          </w:p>
        </w:tc>
        <w:tc>
          <w:tcPr>
            <w:tcW w:w="762" w:type="dxa"/>
            <w:tcBorders>
              <w:top w:val="double" w:sz="4" w:space="0" w:color="auto"/>
            </w:tcBorders>
            <w:vAlign w:val="center"/>
          </w:tcPr>
          <w:p w14:paraId="45DF8D4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0.97</w:t>
            </w:r>
          </w:p>
        </w:tc>
        <w:tc>
          <w:tcPr>
            <w:tcW w:w="741" w:type="dxa"/>
            <w:tcBorders>
              <w:top w:val="double" w:sz="4" w:space="0" w:color="auto"/>
              <w:right w:val="double" w:sz="4" w:space="0" w:color="auto"/>
            </w:tcBorders>
            <w:vAlign w:val="center"/>
          </w:tcPr>
          <w:p w14:paraId="2C3C4872"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0.76</w:t>
            </w:r>
          </w:p>
        </w:tc>
        <w:tc>
          <w:tcPr>
            <w:tcW w:w="711" w:type="dxa"/>
            <w:tcBorders>
              <w:top w:val="double" w:sz="4" w:space="0" w:color="auto"/>
              <w:left w:val="double" w:sz="4" w:space="0" w:color="auto"/>
            </w:tcBorders>
            <w:vAlign w:val="center"/>
          </w:tcPr>
          <w:p w14:paraId="1FB3FAD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2" w:type="dxa"/>
            <w:tcBorders>
              <w:top w:val="double" w:sz="4" w:space="0" w:color="auto"/>
            </w:tcBorders>
            <w:vAlign w:val="center"/>
          </w:tcPr>
          <w:p w14:paraId="56AB7B4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tcBorders>
              <w:top w:val="double" w:sz="4" w:space="0" w:color="auto"/>
            </w:tcBorders>
            <w:vAlign w:val="center"/>
          </w:tcPr>
          <w:p w14:paraId="0BA6075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1.00</w:t>
            </w:r>
          </w:p>
        </w:tc>
        <w:tc>
          <w:tcPr>
            <w:tcW w:w="753" w:type="dxa"/>
            <w:tcBorders>
              <w:top w:val="double" w:sz="4" w:space="0" w:color="auto"/>
            </w:tcBorders>
            <w:vAlign w:val="center"/>
          </w:tcPr>
          <w:p w14:paraId="7B74BB0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1.20</w:t>
            </w:r>
          </w:p>
        </w:tc>
        <w:tc>
          <w:tcPr>
            <w:tcW w:w="741" w:type="dxa"/>
            <w:tcBorders>
              <w:top w:val="double" w:sz="4" w:space="0" w:color="auto"/>
            </w:tcBorders>
            <w:vAlign w:val="center"/>
          </w:tcPr>
          <w:p w14:paraId="483798E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0.84</w:t>
            </w:r>
          </w:p>
        </w:tc>
      </w:tr>
      <w:tr w:rsidR="00A34751" w14:paraId="4B9BCC8B" w14:textId="77777777" w:rsidTr="005E7756">
        <w:tc>
          <w:tcPr>
            <w:tcW w:w="730" w:type="dxa"/>
            <w:vAlign w:val="center"/>
          </w:tcPr>
          <w:p w14:paraId="405AA30E"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0" w:type="dxa"/>
            <w:vAlign w:val="center"/>
          </w:tcPr>
          <w:p w14:paraId="702E22E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739" w:type="dxa"/>
            <w:tcBorders>
              <w:right w:val="double" w:sz="4" w:space="0" w:color="auto"/>
            </w:tcBorders>
            <w:vAlign w:val="center"/>
          </w:tcPr>
          <w:p w14:paraId="34FD06E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0.81</w:t>
            </w:r>
          </w:p>
        </w:tc>
        <w:tc>
          <w:tcPr>
            <w:tcW w:w="730" w:type="dxa"/>
            <w:tcBorders>
              <w:left w:val="double" w:sz="4" w:space="0" w:color="auto"/>
            </w:tcBorders>
            <w:vAlign w:val="center"/>
          </w:tcPr>
          <w:p w14:paraId="69FF8F3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1" w:type="dxa"/>
            <w:vAlign w:val="center"/>
          </w:tcPr>
          <w:p w14:paraId="0C26C22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45F3CF8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0.85</w:t>
            </w:r>
          </w:p>
        </w:tc>
        <w:tc>
          <w:tcPr>
            <w:tcW w:w="762" w:type="dxa"/>
            <w:vAlign w:val="center"/>
          </w:tcPr>
          <w:p w14:paraId="356C4036"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0.94</w:t>
            </w:r>
          </w:p>
        </w:tc>
        <w:tc>
          <w:tcPr>
            <w:tcW w:w="741" w:type="dxa"/>
            <w:tcBorders>
              <w:right w:val="double" w:sz="4" w:space="0" w:color="auto"/>
            </w:tcBorders>
            <w:vAlign w:val="center"/>
          </w:tcPr>
          <w:p w14:paraId="14E821E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0.76</w:t>
            </w:r>
          </w:p>
        </w:tc>
        <w:tc>
          <w:tcPr>
            <w:tcW w:w="711" w:type="dxa"/>
            <w:tcBorders>
              <w:left w:val="double" w:sz="4" w:space="0" w:color="auto"/>
            </w:tcBorders>
            <w:vAlign w:val="center"/>
          </w:tcPr>
          <w:p w14:paraId="2868421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2" w:type="dxa"/>
            <w:vAlign w:val="center"/>
          </w:tcPr>
          <w:p w14:paraId="42BBB97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36C770B6"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1.10</w:t>
            </w:r>
          </w:p>
        </w:tc>
        <w:tc>
          <w:tcPr>
            <w:tcW w:w="753" w:type="dxa"/>
            <w:vAlign w:val="center"/>
          </w:tcPr>
          <w:p w14:paraId="1C3BC57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1.29</w:t>
            </w:r>
          </w:p>
        </w:tc>
        <w:tc>
          <w:tcPr>
            <w:tcW w:w="741" w:type="dxa"/>
            <w:vAlign w:val="center"/>
          </w:tcPr>
          <w:p w14:paraId="3C134DC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0.87</w:t>
            </w:r>
          </w:p>
        </w:tc>
      </w:tr>
      <w:tr w:rsidR="00A34751" w14:paraId="202DE261" w14:textId="77777777" w:rsidTr="005E7756">
        <w:tc>
          <w:tcPr>
            <w:tcW w:w="730" w:type="dxa"/>
            <w:vAlign w:val="center"/>
          </w:tcPr>
          <w:p w14:paraId="3302D70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0" w:type="dxa"/>
            <w:vAlign w:val="center"/>
          </w:tcPr>
          <w:p w14:paraId="0EFEE11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739" w:type="dxa"/>
            <w:tcBorders>
              <w:right w:val="double" w:sz="4" w:space="0" w:color="auto"/>
            </w:tcBorders>
            <w:vAlign w:val="center"/>
          </w:tcPr>
          <w:p w14:paraId="630CCFE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0.82</w:t>
            </w:r>
          </w:p>
        </w:tc>
        <w:tc>
          <w:tcPr>
            <w:tcW w:w="730" w:type="dxa"/>
            <w:tcBorders>
              <w:left w:val="double" w:sz="4" w:space="0" w:color="auto"/>
            </w:tcBorders>
            <w:vAlign w:val="center"/>
          </w:tcPr>
          <w:p w14:paraId="7D91518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1" w:type="dxa"/>
            <w:vAlign w:val="center"/>
          </w:tcPr>
          <w:p w14:paraId="4AF2464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4B7E99C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1.07</w:t>
            </w:r>
          </w:p>
        </w:tc>
        <w:tc>
          <w:tcPr>
            <w:tcW w:w="762" w:type="dxa"/>
            <w:vAlign w:val="center"/>
          </w:tcPr>
          <w:p w14:paraId="52DF84B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1.19</w:t>
            </w:r>
          </w:p>
        </w:tc>
        <w:tc>
          <w:tcPr>
            <w:tcW w:w="741" w:type="dxa"/>
            <w:tcBorders>
              <w:right w:val="double" w:sz="4" w:space="0" w:color="auto"/>
            </w:tcBorders>
            <w:vAlign w:val="center"/>
          </w:tcPr>
          <w:p w14:paraId="63F47877"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0.89</w:t>
            </w:r>
          </w:p>
        </w:tc>
        <w:tc>
          <w:tcPr>
            <w:tcW w:w="711" w:type="dxa"/>
            <w:tcBorders>
              <w:left w:val="double" w:sz="4" w:space="0" w:color="auto"/>
            </w:tcBorders>
            <w:vAlign w:val="center"/>
          </w:tcPr>
          <w:p w14:paraId="34BE485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12" w:type="dxa"/>
            <w:vAlign w:val="center"/>
          </w:tcPr>
          <w:p w14:paraId="02EA2D0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6CCDAC2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1.81</w:t>
            </w:r>
          </w:p>
        </w:tc>
        <w:tc>
          <w:tcPr>
            <w:tcW w:w="753" w:type="dxa"/>
            <w:vAlign w:val="center"/>
          </w:tcPr>
          <w:p w14:paraId="29520267"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2.16</w:t>
            </w:r>
          </w:p>
        </w:tc>
        <w:tc>
          <w:tcPr>
            <w:tcW w:w="741" w:type="dxa"/>
            <w:vAlign w:val="center"/>
          </w:tcPr>
          <w:p w14:paraId="4A32F6A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1.31</w:t>
            </w:r>
          </w:p>
        </w:tc>
      </w:tr>
    </w:tbl>
    <w:p w14:paraId="4745FD14" w14:textId="77777777" w:rsidR="00EA7956" w:rsidRDefault="00EA7956" w:rsidP="001F46E8"/>
    <w:p w14:paraId="402C2AE4" w14:textId="75954188" w:rsidR="00AD037B" w:rsidRPr="00394268" w:rsidRDefault="00AD037B" w:rsidP="00AD037B">
      <w:pPr>
        <w:pStyle w:val="Heading4"/>
      </w:pPr>
      <w:bookmarkStart w:id="837" w:name="_Toc178961653"/>
      <w:r>
        <w:lastRenderedPageBreak/>
        <w:t>Performance degradation with reduced number of TRPs</w:t>
      </w:r>
      <w:bookmarkEnd w:id="837"/>
    </w:p>
    <w:p w14:paraId="437CE234" w14:textId="082A4FC4" w:rsidR="00AD037B" w:rsidRDefault="00FB2F99" w:rsidP="001F46E8">
      <w:r>
        <w:t xml:space="preserve">In this section, </w:t>
      </w:r>
      <w:r w:rsidR="005545ED">
        <w:t xml:space="preserve">we investigate the </w:t>
      </w:r>
      <w:r w:rsidR="00134998">
        <w:t>positioning accuracy with reduced number of TRPs for both</w:t>
      </w:r>
      <w:r w:rsidR="00EB076E">
        <w:t xml:space="preserve"> sample- and path-based </w:t>
      </w:r>
      <w:r w:rsidR="00164F97">
        <w:t xml:space="preserve">reporting approaches. </w:t>
      </w:r>
      <w:r w:rsidR="00E86159">
        <w:t xml:space="preserve">Simulations are carried out </w:t>
      </w:r>
      <w:r w:rsidR="00294368">
        <w:t xml:space="preserve">with </w:t>
      </w:r>
      <w:r w:rsidR="00181B0D">
        <w:t xml:space="preserve">different RS bandwidth. </w:t>
      </w:r>
      <w:r w:rsidR="00F942A7">
        <w:t xml:space="preserve">For path-based reporting, </w:t>
      </w:r>
      <w:r w:rsidR="00EB7644">
        <w:t xml:space="preserve">channel estimator </w:t>
      </w:r>
      <w:r w:rsidR="00290C12">
        <w:t>F</w:t>
      </w:r>
      <w:r w:rsidR="009451F4">
        <w:t xml:space="preserve"> in </w:t>
      </w:r>
      <w:r w:rsidR="009451F4">
        <w:fldChar w:fldCharType="begin"/>
      </w:r>
      <w:r w:rsidR="009451F4">
        <w:instrText xml:space="preserve"> REF _Ref163037480 \h </w:instrText>
      </w:r>
      <w:r w:rsidR="009451F4">
        <w:fldChar w:fldCharType="separate"/>
      </w:r>
      <w:r w:rsidR="00850DA1" w:rsidRPr="00086111">
        <w:t xml:space="preserve">Table </w:t>
      </w:r>
      <w:r w:rsidR="00850DA1">
        <w:rPr>
          <w:noProof/>
        </w:rPr>
        <w:t>11</w:t>
      </w:r>
      <w:r w:rsidR="009451F4">
        <w:fldChar w:fldCharType="end"/>
      </w:r>
      <w:r w:rsidR="00290C12">
        <w:t xml:space="preserve"> is used. </w:t>
      </w:r>
    </w:p>
    <w:p w14:paraId="670CC056" w14:textId="56DA68DC" w:rsidR="00086298" w:rsidRDefault="00086298" w:rsidP="001F46E8">
      <w:r>
        <w:t>To provide a detailed insight</w:t>
      </w:r>
      <w:r w:rsidR="00AB1B15">
        <w:t xml:space="preserve"> into </w:t>
      </w:r>
      <w:r w:rsidR="005D05FE">
        <w:t>the problem, we compare the 90%-tile positioning accuracy of</w:t>
      </w:r>
    </w:p>
    <w:p w14:paraId="4C178966" w14:textId="3D84D2B9" w:rsidR="00E1267B" w:rsidRPr="00013A41" w:rsidRDefault="00E1267B" w:rsidP="00D35F36">
      <w:pPr>
        <w:pStyle w:val="ListParagraph"/>
        <w:numPr>
          <w:ilvl w:val="0"/>
          <w:numId w:val="53"/>
        </w:numPr>
      </w:pPr>
      <w:r>
        <w:t xml:space="preserve">ML models using sample-based reporting on </w:t>
      </w:r>
      <w:r w:rsidR="00B72C53">
        <w:t>5</w:t>
      </w:r>
      <w:r>
        <w:t>0 MHz RS bandwidth</w:t>
      </w:r>
    </w:p>
    <w:p w14:paraId="3AADD5A2" w14:textId="1F1F5FB0" w:rsidR="00B72C53" w:rsidRPr="00BA05DE" w:rsidRDefault="00B72C53" w:rsidP="00D35F36">
      <w:pPr>
        <w:pStyle w:val="ListParagraph"/>
        <w:numPr>
          <w:ilvl w:val="0"/>
          <w:numId w:val="53"/>
        </w:numPr>
      </w:pPr>
      <w:r>
        <w:t xml:space="preserve">ML models using sample-based reporting on </w:t>
      </w:r>
      <w:r w:rsidR="00683188">
        <w:t>25</w:t>
      </w:r>
      <w:r>
        <w:t xml:space="preserve"> MHz RS bandwidth</w:t>
      </w:r>
    </w:p>
    <w:p w14:paraId="40362E85" w14:textId="091B16BE" w:rsidR="00683188" w:rsidRDefault="00B72C53" w:rsidP="00D35F36">
      <w:pPr>
        <w:pStyle w:val="ListParagraph"/>
        <w:numPr>
          <w:ilvl w:val="0"/>
          <w:numId w:val="53"/>
        </w:numPr>
      </w:pPr>
      <w:r w:rsidRPr="00683188">
        <w:t xml:space="preserve">ML models using sample-based reporting on </w:t>
      </w:r>
      <w:r w:rsidR="00683188">
        <w:t>12.5</w:t>
      </w:r>
      <w:r w:rsidRPr="00683188">
        <w:t xml:space="preserve"> MHz RS bandwidth</w:t>
      </w:r>
    </w:p>
    <w:p w14:paraId="3A050827" w14:textId="2C2FC8C6" w:rsidR="00B72C53" w:rsidRDefault="00B72C53" w:rsidP="00D35F36">
      <w:pPr>
        <w:pStyle w:val="ListParagraph"/>
        <w:numPr>
          <w:ilvl w:val="0"/>
          <w:numId w:val="53"/>
        </w:numPr>
      </w:pPr>
      <w:r>
        <w:t>ML models using Rel-17 path-based reporting on 50 MHz RS bandwidth</w:t>
      </w:r>
    </w:p>
    <w:p w14:paraId="77E2F99D" w14:textId="6BDDAE31" w:rsidR="00B72C53" w:rsidRDefault="00B72C53" w:rsidP="00D35F36">
      <w:pPr>
        <w:pStyle w:val="ListParagraph"/>
        <w:numPr>
          <w:ilvl w:val="0"/>
          <w:numId w:val="53"/>
        </w:numPr>
      </w:pPr>
      <w:r>
        <w:t>ML models using Rel-17 path-based reporting on 25 MHz RS bandwidth</w:t>
      </w:r>
    </w:p>
    <w:p w14:paraId="695585E8" w14:textId="3E9E8537" w:rsidR="00B72C53" w:rsidRPr="00013A41" w:rsidRDefault="00B72C53" w:rsidP="00D35F36">
      <w:pPr>
        <w:pStyle w:val="ListParagraph"/>
        <w:numPr>
          <w:ilvl w:val="0"/>
          <w:numId w:val="53"/>
        </w:numPr>
      </w:pPr>
      <w:r>
        <w:t>ML models using Rel-17 path-based reporting on 12.5 MHz RS bandwidth</w:t>
      </w:r>
    </w:p>
    <w:p w14:paraId="67F8D943" w14:textId="23E64F39" w:rsidR="002F132E" w:rsidRDefault="002F132E" w:rsidP="00D35F36">
      <w:pPr>
        <w:pStyle w:val="ListParagraph"/>
        <w:numPr>
          <w:ilvl w:val="0"/>
          <w:numId w:val="53"/>
        </w:numPr>
      </w:pPr>
      <w:r>
        <w:t xml:space="preserve">For </w:t>
      </w:r>
      <w:r w:rsidR="0063709E">
        <w:t>all cases above</w:t>
      </w:r>
      <w:r w:rsidR="00027B2E">
        <w:t>, TRP numbers are selected as: 18, 15, 12, 9, 6, 4, 3</w:t>
      </w:r>
    </w:p>
    <w:p w14:paraId="6B75CE52" w14:textId="1AA39439" w:rsidR="005D05FE" w:rsidRPr="00013A41" w:rsidRDefault="00BE0CB5" w:rsidP="001F46E8">
      <w:pPr>
        <w:rPr>
          <w:lang w:val="x-none"/>
        </w:rPr>
      </w:pPr>
      <w:r>
        <w:rPr>
          <w:lang w:val="x-none"/>
        </w:rPr>
        <w:t xml:space="preserve">Evaluation results are shown in </w:t>
      </w:r>
      <w:r w:rsidR="005E6AD5">
        <w:rPr>
          <w:lang w:val="x-none"/>
        </w:rPr>
        <w:fldChar w:fldCharType="begin"/>
      </w:r>
      <w:r w:rsidR="005E6AD5">
        <w:rPr>
          <w:lang w:val="x-none"/>
        </w:rPr>
        <w:instrText xml:space="preserve"> REF _Ref173418945 \h </w:instrText>
      </w:r>
      <w:r w:rsidR="005E6AD5">
        <w:rPr>
          <w:lang w:val="x-none"/>
        </w:rPr>
      </w:r>
      <w:r w:rsidR="005E6AD5">
        <w:rPr>
          <w:lang w:val="x-none"/>
        </w:rPr>
        <w:fldChar w:fldCharType="separate"/>
      </w:r>
      <w:r w:rsidR="00850DA1">
        <w:t xml:space="preserve">Table </w:t>
      </w:r>
      <w:r w:rsidR="00850DA1">
        <w:rPr>
          <w:noProof/>
        </w:rPr>
        <w:t>13</w:t>
      </w:r>
      <w:r w:rsidR="005E6AD5">
        <w:rPr>
          <w:lang w:val="x-none"/>
        </w:rPr>
        <w:fldChar w:fldCharType="end"/>
      </w:r>
      <w:r w:rsidR="005E6AD5">
        <w:rPr>
          <w:lang w:val="x-none"/>
        </w:rPr>
        <w:t xml:space="preserve"> to </w:t>
      </w:r>
      <w:r w:rsidR="005E6AD5">
        <w:rPr>
          <w:lang w:val="x-none"/>
        </w:rPr>
        <w:fldChar w:fldCharType="begin"/>
      </w:r>
      <w:r w:rsidR="005E6AD5">
        <w:rPr>
          <w:lang w:val="x-none"/>
        </w:rPr>
        <w:instrText xml:space="preserve"> REF _Ref173418955 \h </w:instrText>
      </w:r>
      <w:r w:rsidR="005E6AD5">
        <w:rPr>
          <w:lang w:val="x-none"/>
        </w:rPr>
      </w:r>
      <w:r w:rsidR="005E6AD5">
        <w:rPr>
          <w:lang w:val="x-none"/>
        </w:rPr>
        <w:fldChar w:fldCharType="separate"/>
      </w:r>
      <w:r w:rsidR="00850DA1">
        <w:t xml:space="preserve">Table </w:t>
      </w:r>
      <w:r w:rsidR="00850DA1">
        <w:rPr>
          <w:noProof/>
        </w:rPr>
        <w:t>15</w:t>
      </w:r>
      <w:r w:rsidR="005E6AD5">
        <w:rPr>
          <w:lang w:val="x-none"/>
        </w:rPr>
        <w:fldChar w:fldCharType="end"/>
      </w:r>
      <w:r w:rsidR="005E6AD5">
        <w:rPr>
          <w:lang w:val="x-none"/>
        </w:rPr>
        <w:t xml:space="preserve">. </w:t>
      </w:r>
      <w:r w:rsidR="00A93EC0">
        <w:rPr>
          <w:lang w:val="x-none"/>
        </w:rPr>
        <w:t xml:space="preserve">From those tables, we can see that </w:t>
      </w:r>
      <w:r w:rsidR="0005153D">
        <w:rPr>
          <w:lang w:val="x-none"/>
        </w:rPr>
        <w:t>as the number of TRPs reduces, the positioning accuracy degrades significantly</w:t>
      </w:r>
      <w:r w:rsidR="00ED4C03">
        <w:rPr>
          <w:lang w:val="x-none"/>
        </w:rPr>
        <w:t xml:space="preserve"> for all cases</w:t>
      </w:r>
      <w:r w:rsidR="0005153D">
        <w:rPr>
          <w:lang w:val="x-none"/>
        </w:rPr>
        <w:t xml:space="preserve">. </w:t>
      </w:r>
      <w:r w:rsidR="00D82457">
        <w:rPr>
          <w:lang w:val="x-none"/>
        </w:rPr>
        <w:t xml:space="preserve">Positioning </w:t>
      </w:r>
      <w:r w:rsidR="00672222">
        <w:rPr>
          <w:lang w:val="x-none"/>
        </w:rPr>
        <w:t xml:space="preserve">error </w:t>
      </w:r>
      <w:r w:rsidR="00D82457">
        <w:rPr>
          <w:lang w:val="x-none"/>
        </w:rPr>
        <w:t xml:space="preserve">is almost doubled when the number of TRPs drops to 6. </w:t>
      </w:r>
      <w:r w:rsidR="0046101E">
        <w:rPr>
          <w:lang w:val="x-none"/>
        </w:rPr>
        <w:t>As the RS bandwidth becomes smaller, the positioning accuracy also degrades</w:t>
      </w:r>
      <w:r w:rsidR="00E4561C">
        <w:rPr>
          <w:lang w:val="x-none"/>
        </w:rPr>
        <w:t xml:space="preserve"> for both sample- and path-based reporting</w:t>
      </w:r>
      <w:r w:rsidR="00243FB9">
        <w:rPr>
          <w:lang w:val="x-none"/>
        </w:rPr>
        <w:t>.</w:t>
      </w:r>
      <w:r w:rsidR="00CF150D">
        <w:rPr>
          <w:lang w:val="x-none"/>
        </w:rPr>
        <w:t xml:space="preserve"> </w:t>
      </w:r>
      <w:r w:rsidR="00243FB9">
        <w:rPr>
          <w:lang w:val="x-none"/>
        </w:rPr>
        <w:t>However, s</w:t>
      </w:r>
      <w:r w:rsidR="00CF150D">
        <w:rPr>
          <w:lang w:val="x-none"/>
        </w:rPr>
        <w:t xml:space="preserve">ample-based reporting outperforms path-based reporting </w:t>
      </w:r>
      <w:r w:rsidR="00510C95">
        <w:rPr>
          <w:lang w:val="x-none"/>
        </w:rPr>
        <w:t>in general</w:t>
      </w:r>
      <w:r w:rsidR="00CF150D">
        <w:rPr>
          <w:lang w:val="x-none"/>
        </w:rPr>
        <w:t xml:space="preserve">. </w:t>
      </w:r>
      <w:r w:rsidR="009C4B43">
        <w:rPr>
          <w:lang w:val="x-none"/>
        </w:rPr>
        <w:t>It can be observed that t</w:t>
      </w:r>
      <w:r w:rsidR="00CA739E">
        <w:rPr>
          <w:lang w:val="x-none"/>
        </w:rPr>
        <w:t>he degradation with path-base reporting becomes more significant if fewer number of TRPs are used</w:t>
      </w:r>
      <w:r w:rsidR="00AC7FD1">
        <w:rPr>
          <w:lang w:val="x-none"/>
        </w:rPr>
        <w:t xml:space="preserve">, </w:t>
      </w:r>
      <w:r w:rsidR="006A784F">
        <w:rPr>
          <w:lang w:val="x-none"/>
        </w:rPr>
        <w:t xml:space="preserve">especially </w:t>
      </w:r>
      <w:r w:rsidR="00B43498">
        <w:rPr>
          <w:lang w:val="x-none"/>
        </w:rPr>
        <w:t>for 25 and 12.5 MHz RS bandwidth</w:t>
      </w:r>
      <w:r w:rsidR="00CA739E">
        <w:rPr>
          <w:lang w:val="x-none"/>
        </w:rPr>
        <w:t xml:space="preserve">. </w:t>
      </w:r>
      <w:r w:rsidR="00B639D2">
        <w:rPr>
          <w:lang w:val="x-none"/>
        </w:rPr>
        <w:t xml:space="preserve">The improvement </w:t>
      </w:r>
      <w:r w:rsidR="00EE435B">
        <w:rPr>
          <w:lang w:val="x-none"/>
        </w:rPr>
        <w:t xml:space="preserve">in positioning accuracy </w:t>
      </w:r>
      <w:r w:rsidR="00B639D2">
        <w:rPr>
          <w:lang w:val="x-none"/>
        </w:rPr>
        <w:t xml:space="preserve">with sample-based reporting over 50 </w:t>
      </w:r>
      <w:r w:rsidR="00F37285">
        <w:rPr>
          <w:lang w:val="x-none"/>
        </w:rPr>
        <w:t>MHz bandwidth is about 1</w:t>
      </w:r>
      <w:r w:rsidR="008344EB">
        <w:rPr>
          <w:lang w:val="x-none"/>
        </w:rPr>
        <w:t>0</w:t>
      </w:r>
      <w:r w:rsidR="00F37285">
        <w:rPr>
          <w:lang w:val="x-none"/>
        </w:rPr>
        <w:t>%</w:t>
      </w:r>
      <w:r w:rsidR="006B4569">
        <w:rPr>
          <w:lang w:val="x-none"/>
        </w:rPr>
        <w:t xml:space="preserve"> for 6 TRPs</w:t>
      </w:r>
      <w:r w:rsidR="006044EC">
        <w:rPr>
          <w:lang w:val="x-none"/>
        </w:rPr>
        <w:t xml:space="preserve"> </w:t>
      </w:r>
      <w:r w:rsidR="00B97645">
        <w:rPr>
          <w:lang w:val="x-none"/>
        </w:rPr>
        <w:t xml:space="preserve">with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t</m:t>
            </m:r>
          </m:sub>
        </m:sSub>
        <m:r>
          <w:rPr>
            <w:rFonts w:ascii="Cambria Math" w:hAnsi="Cambria Math"/>
            <w:lang w:val="x-none"/>
          </w:rPr>
          <m:t>=16</m:t>
        </m:r>
      </m:oMath>
      <w:r w:rsidR="00B97645">
        <w:rPr>
          <w:lang w:val="x-none"/>
        </w:rPr>
        <w:t xml:space="preserve"> </w:t>
      </w:r>
      <w:r w:rsidR="00F37285">
        <w:rPr>
          <w:lang w:val="x-none"/>
        </w:rPr>
        <w:t xml:space="preserve">. </w:t>
      </w:r>
      <w:r w:rsidR="00E42A00">
        <w:rPr>
          <w:lang w:val="x-none"/>
        </w:rPr>
        <w:t>For</w:t>
      </w:r>
      <w:r w:rsidR="00DF1CE2">
        <w:rPr>
          <w:lang w:val="x-none"/>
        </w:rPr>
        <w:t xml:space="preserve"> bandwidth of 25 MHz </w:t>
      </w:r>
      <w:r w:rsidR="00AD040C">
        <w:rPr>
          <w:lang w:val="x-none"/>
        </w:rPr>
        <w:t>with 6 TRPs, the improvement in positioning accuracy with sample-based reporting is about 35%</w:t>
      </w:r>
      <w:r w:rsidR="00C6566C">
        <w:rPr>
          <w:lang w:val="x-none"/>
        </w:rPr>
        <w:t xml:space="preserve"> with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t</m:t>
            </m:r>
          </m:sub>
        </m:sSub>
        <m:r>
          <w:rPr>
            <w:rFonts w:ascii="Cambria Math" w:hAnsi="Cambria Math"/>
            <w:lang w:val="x-none"/>
          </w:rPr>
          <m:t>=16</m:t>
        </m:r>
      </m:oMath>
      <w:r w:rsidR="00AD040C">
        <w:rPr>
          <w:lang w:val="x-none"/>
        </w:rPr>
        <w:t xml:space="preserve">. </w:t>
      </w:r>
      <w:r w:rsidR="00B54653">
        <w:rPr>
          <w:lang w:val="x-none"/>
        </w:rPr>
        <w:t>For bandwidth of 12.5 MHz with 6 TRPs, the improvement in positioning accuracy with sam</w:t>
      </w:r>
      <w:r w:rsidR="000B415D">
        <w:rPr>
          <w:lang w:val="x-none"/>
        </w:rPr>
        <w:t>p</w:t>
      </w:r>
      <w:r w:rsidR="00B54653">
        <w:rPr>
          <w:lang w:val="x-none"/>
        </w:rPr>
        <w:t xml:space="preserve">le-based reporting is about 40%. </w:t>
      </w:r>
    </w:p>
    <w:p w14:paraId="1267DF35" w14:textId="366197D7" w:rsidR="00AD037B" w:rsidRDefault="005E6AD5" w:rsidP="005E6AD5">
      <w:pPr>
        <w:pStyle w:val="Caption"/>
      </w:pPr>
      <w:bookmarkStart w:id="838" w:name="_Ref173418945"/>
      <w:r>
        <w:t xml:space="preserve">Table </w:t>
      </w:r>
      <w:r w:rsidR="00500110">
        <w:fldChar w:fldCharType="begin"/>
      </w:r>
      <w:r w:rsidR="00500110">
        <w:instrText xml:space="preserve"> SEQ Table \* ARABIC </w:instrText>
      </w:r>
      <w:r w:rsidR="00500110">
        <w:fldChar w:fldCharType="separate"/>
      </w:r>
      <w:r w:rsidR="00850DA1">
        <w:rPr>
          <w:noProof/>
        </w:rPr>
        <w:t>13</w:t>
      </w:r>
      <w:r w:rsidR="00500110">
        <w:rPr>
          <w:noProof/>
        </w:rPr>
        <w:fldChar w:fldCharType="end"/>
      </w:r>
      <w:bookmarkEnd w:id="838"/>
      <w:r w:rsidR="004B1CC6">
        <w:t xml:space="preserve"> </w:t>
      </w:r>
      <w:r w:rsidR="004B1CC6" w:rsidRPr="00086111">
        <w:rPr>
          <w:lang w:eastAsia="ja-JP"/>
        </w:rPr>
        <w:t xml:space="preserve">90%tile </w:t>
      </w:r>
      <w:r w:rsidR="004B1CC6" w:rsidRPr="00086111">
        <w:t>2D positioning accuracy</w:t>
      </w:r>
      <w:r w:rsidR="004B1CC6">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004B1CC6">
        <w:t xml:space="preserve"> (meters) of PDP models</w:t>
      </w:r>
      <w:r w:rsidR="004B1CC6" w:rsidRPr="00086111">
        <w:t xml:space="preserve"> using </w:t>
      </w:r>
      <w:r w:rsidR="004B1CC6">
        <w:t xml:space="preserve">direct sample-based reporting or Rel-17 path-based reporting from different number of TRPs </w:t>
      </w:r>
      <w:r w:rsidR="004B1CC6" w:rsidRPr="00086111">
        <w:t xml:space="preserve">for the </w:t>
      </w:r>
      <w:r w:rsidR="004B1CC6" w:rsidRPr="00086111">
        <w:rPr>
          <w:lang w:eastAsia="ja-JP"/>
        </w:rPr>
        <w:t>{60%, 6m, 2m} InF-DH scenario</w:t>
      </w:r>
      <w:r w:rsidR="004B1CC6" w:rsidRPr="00086111">
        <w:t>.</w:t>
      </w:r>
      <w:r w:rsidR="004B1CC6" w:rsidRPr="00E215F0">
        <w:t xml:space="preserve"> The positioning accuracy is for the “small model” for centralized direct positioning trained with 40,000 samples </w:t>
      </w:r>
      <w:r w:rsidR="004B1CC6" w:rsidRPr="00E215F0">
        <w:fldChar w:fldCharType="begin"/>
      </w:r>
      <w:r w:rsidR="004B1CC6" w:rsidRPr="00E215F0">
        <w:instrText xml:space="preserve"> REF _Ref158730650 \r \h </w:instrText>
      </w:r>
      <w:r w:rsidR="004B1CC6" w:rsidRPr="00E215F0">
        <w:fldChar w:fldCharType="separate"/>
      </w:r>
      <w:r w:rsidR="00850DA1">
        <w:t>[6]</w:t>
      </w:r>
      <w:r w:rsidR="004B1CC6" w:rsidRPr="00E215F0">
        <w:fldChar w:fldCharType="end"/>
      </w:r>
      <w:r w:rsidR="004B1CC6" w:rsidRPr="00E215F0">
        <w:t>.</w:t>
      </w:r>
      <w:r w:rsidR="004B1CC6">
        <w:t xml:space="preserve"> </w:t>
      </w:r>
      <w:r w:rsidR="004B1CC6" w:rsidRPr="00DF7E3A">
        <w:t xml:space="preserve">For </w:t>
      </w:r>
      <w:r w:rsidR="00F67159">
        <w:t xml:space="preserve">all </w:t>
      </w:r>
      <w:r w:rsidR="004B1CC6" w:rsidRPr="00DF7E3A">
        <w:t xml:space="preserve">the models trained on the Rel-17 path-based reports, the </w:t>
      </w:r>
      <w:r w:rsidR="004B1CC6" w:rsidRPr="004157FD">
        <w:rPr>
          <w:i/>
          <w:u w:val="single"/>
        </w:rPr>
        <w:t>same</w:t>
      </w:r>
      <w:r w:rsidR="004B1CC6" w:rsidRPr="00DF7E3A">
        <w:t xml:space="preserve"> channel estimator was used for the training and inference</w:t>
      </w:r>
      <w:r w:rsidR="004B1CC6">
        <w:t>.</w:t>
      </w:r>
    </w:p>
    <w:tbl>
      <w:tblPr>
        <w:tblStyle w:val="TableGrid"/>
        <w:tblW w:w="10052" w:type="dxa"/>
        <w:tblLayout w:type="fixed"/>
        <w:tblLook w:val="04A0" w:firstRow="1" w:lastRow="0" w:firstColumn="1" w:lastColumn="0" w:noHBand="0" w:noVBand="1"/>
      </w:tblPr>
      <w:tblGrid>
        <w:gridCol w:w="1098"/>
        <w:gridCol w:w="697"/>
        <w:gridCol w:w="703"/>
        <w:gridCol w:w="1108"/>
        <w:gridCol w:w="1074"/>
        <w:gridCol w:w="1074"/>
        <w:gridCol w:w="1059"/>
        <w:gridCol w:w="1059"/>
        <w:gridCol w:w="1076"/>
        <w:gridCol w:w="1104"/>
      </w:tblGrid>
      <w:tr w:rsidR="005D398B" w:rsidRPr="00877631" w14:paraId="0FF8027E" w14:textId="77777777" w:rsidTr="00580C4E">
        <w:tc>
          <w:tcPr>
            <w:tcW w:w="1795" w:type="dxa"/>
            <w:gridSpan w:val="2"/>
            <w:tcBorders>
              <w:right w:val="double" w:sz="4" w:space="0" w:color="auto"/>
            </w:tcBorders>
            <w:vAlign w:val="center"/>
          </w:tcPr>
          <w:p w14:paraId="757797B3"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Test cases</w:t>
            </w:r>
          </w:p>
        </w:tc>
        <w:tc>
          <w:tcPr>
            <w:tcW w:w="8257" w:type="dxa"/>
            <w:gridSpan w:val="8"/>
            <w:tcBorders>
              <w:left w:val="double" w:sz="4" w:space="0" w:color="auto"/>
            </w:tcBorders>
            <w:vAlign w:val="center"/>
          </w:tcPr>
          <w:p w14:paraId="0803AC5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 xml:space="preserve">90%tile 2D positioning errors [m] based on </w:t>
            </w:r>
            <w:r w:rsidRPr="00877631">
              <w:rPr>
                <w:rFonts w:cs="Arial"/>
                <w:b/>
                <w:bCs/>
                <w:color w:val="000000"/>
                <w:szCs w:val="20"/>
              </w:rPr>
              <w:t>50 MHz RS bandwidth</w:t>
            </w:r>
          </w:p>
        </w:tc>
      </w:tr>
      <w:tr w:rsidR="005D398B" w:rsidRPr="00877631" w14:paraId="062BBE0A" w14:textId="77777777" w:rsidTr="00580C4E">
        <w:tc>
          <w:tcPr>
            <w:tcW w:w="1098" w:type="dxa"/>
            <w:vMerge w:val="restart"/>
            <w:vAlign w:val="center"/>
          </w:tcPr>
          <w:p w14:paraId="388450AC" w14:textId="77777777" w:rsidR="005D398B" w:rsidRPr="00362C8D" w:rsidRDefault="005D398B" w:rsidP="00580C4E">
            <w:pPr>
              <w:spacing w:before="40" w:after="40"/>
              <w:jc w:val="center"/>
              <w:rPr>
                <w:rFonts w:eastAsia="DengXian" w:cs="Arial"/>
                <w:color w:val="000000"/>
                <w:sz w:val="20"/>
                <w:szCs w:val="20"/>
              </w:rPr>
            </w:pPr>
          </w:p>
        </w:tc>
        <w:tc>
          <w:tcPr>
            <w:tcW w:w="697" w:type="dxa"/>
            <w:vMerge w:val="restart"/>
            <w:vAlign w:val="center"/>
          </w:tcPr>
          <w:p w14:paraId="4717B977" w14:textId="77777777" w:rsidR="005D398B" w:rsidRPr="00362C8D" w:rsidRDefault="009C13C0" w:rsidP="00580C4E">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03" w:type="dxa"/>
            <w:vMerge w:val="restart"/>
            <w:tcBorders>
              <w:right w:val="double" w:sz="4" w:space="0" w:color="auto"/>
            </w:tcBorders>
            <w:vAlign w:val="center"/>
          </w:tcPr>
          <w:p w14:paraId="7432E20B" w14:textId="77777777" w:rsidR="005D398B" w:rsidRPr="00362C8D" w:rsidRDefault="009C13C0" w:rsidP="00580C4E">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554" w:type="dxa"/>
            <w:gridSpan w:val="7"/>
            <w:vAlign w:val="center"/>
          </w:tcPr>
          <w:p w14:paraId="5F16BBB3"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Different number of TRPs</w:t>
            </w:r>
          </w:p>
        </w:tc>
      </w:tr>
      <w:tr w:rsidR="005D398B" w:rsidRPr="00877631" w14:paraId="275C0960" w14:textId="77777777" w:rsidTr="00580C4E">
        <w:tc>
          <w:tcPr>
            <w:tcW w:w="1098" w:type="dxa"/>
            <w:vMerge/>
            <w:tcBorders>
              <w:bottom w:val="double" w:sz="4" w:space="0" w:color="auto"/>
            </w:tcBorders>
            <w:vAlign w:val="center"/>
          </w:tcPr>
          <w:p w14:paraId="57262A59" w14:textId="77777777" w:rsidR="005D398B" w:rsidRPr="00362C8D" w:rsidRDefault="005D398B" w:rsidP="00580C4E">
            <w:pPr>
              <w:spacing w:before="40" w:after="40"/>
              <w:jc w:val="center"/>
              <w:rPr>
                <w:rFonts w:cs="Arial"/>
                <w:color w:val="000000"/>
                <w:sz w:val="20"/>
                <w:szCs w:val="20"/>
              </w:rPr>
            </w:pPr>
          </w:p>
        </w:tc>
        <w:tc>
          <w:tcPr>
            <w:tcW w:w="697" w:type="dxa"/>
            <w:vMerge/>
            <w:tcBorders>
              <w:bottom w:val="double" w:sz="4" w:space="0" w:color="auto"/>
            </w:tcBorders>
            <w:vAlign w:val="center"/>
          </w:tcPr>
          <w:p w14:paraId="6E337252" w14:textId="77777777" w:rsidR="005D398B" w:rsidRPr="00362C8D" w:rsidRDefault="005D398B" w:rsidP="00580C4E">
            <w:pPr>
              <w:spacing w:before="40" w:after="40"/>
              <w:jc w:val="center"/>
              <w:rPr>
                <w:rFonts w:cs="Arial"/>
                <w:color w:val="000000"/>
                <w:sz w:val="20"/>
                <w:szCs w:val="20"/>
              </w:rPr>
            </w:pPr>
          </w:p>
        </w:tc>
        <w:tc>
          <w:tcPr>
            <w:tcW w:w="703" w:type="dxa"/>
            <w:vMerge/>
            <w:tcBorders>
              <w:bottom w:val="double" w:sz="4" w:space="0" w:color="auto"/>
              <w:right w:val="double" w:sz="4" w:space="0" w:color="auto"/>
            </w:tcBorders>
            <w:vAlign w:val="center"/>
          </w:tcPr>
          <w:p w14:paraId="46B59366" w14:textId="77777777" w:rsidR="005D398B" w:rsidRPr="00362C8D" w:rsidRDefault="005D398B" w:rsidP="00580C4E">
            <w:pPr>
              <w:spacing w:before="40" w:after="40"/>
              <w:jc w:val="center"/>
              <w:rPr>
                <w:rFonts w:cs="Arial"/>
                <w:color w:val="000000"/>
                <w:sz w:val="20"/>
                <w:szCs w:val="20"/>
              </w:rPr>
            </w:pPr>
          </w:p>
        </w:tc>
        <w:tc>
          <w:tcPr>
            <w:tcW w:w="1108" w:type="dxa"/>
            <w:tcBorders>
              <w:bottom w:val="double" w:sz="4" w:space="0" w:color="auto"/>
            </w:tcBorders>
            <w:vAlign w:val="center"/>
          </w:tcPr>
          <w:p w14:paraId="3EE4813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18</w:t>
            </w:r>
          </w:p>
        </w:tc>
        <w:tc>
          <w:tcPr>
            <w:tcW w:w="1074" w:type="dxa"/>
            <w:tcBorders>
              <w:bottom w:val="double" w:sz="4" w:space="0" w:color="auto"/>
            </w:tcBorders>
            <w:vAlign w:val="center"/>
          </w:tcPr>
          <w:p w14:paraId="5F3D76DD"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15</w:t>
            </w:r>
          </w:p>
        </w:tc>
        <w:tc>
          <w:tcPr>
            <w:tcW w:w="1074" w:type="dxa"/>
            <w:tcBorders>
              <w:bottom w:val="double" w:sz="4" w:space="0" w:color="auto"/>
            </w:tcBorders>
            <w:vAlign w:val="center"/>
          </w:tcPr>
          <w:p w14:paraId="5405E75B"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w:t>
            </w:r>
          </w:p>
        </w:tc>
        <w:tc>
          <w:tcPr>
            <w:tcW w:w="1059" w:type="dxa"/>
            <w:tcBorders>
              <w:bottom w:val="double" w:sz="4" w:space="0" w:color="auto"/>
            </w:tcBorders>
            <w:vAlign w:val="center"/>
          </w:tcPr>
          <w:p w14:paraId="01897D8E"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9</w:t>
            </w:r>
          </w:p>
        </w:tc>
        <w:tc>
          <w:tcPr>
            <w:tcW w:w="1059" w:type="dxa"/>
            <w:tcBorders>
              <w:bottom w:val="double" w:sz="4" w:space="0" w:color="auto"/>
            </w:tcBorders>
            <w:vAlign w:val="center"/>
          </w:tcPr>
          <w:p w14:paraId="12A26EDB"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w:t>
            </w:r>
          </w:p>
        </w:tc>
        <w:tc>
          <w:tcPr>
            <w:tcW w:w="1076" w:type="dxa"/>
            <w:tcBorders>
              <w:bottom w:val="double" w:sz="4" w:space="0" w:color="auto"/>
            </w:tcBorders>
            <w:vAlign w:val="center"/>
          </w:tcPr>
          <w:p w14:paraId="7C8378D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4</w:t>
            </w:r>
          </w:p>
        </w:tc>
        <w:tc>
          <w:tcPr>
            <w:tcW w:w="1104" w:type="dxa"/>
            <w:tcBorders>
              <w:bottom w:val="double" w:sz="4" w:space="0" w:color="auto"/>
            </w:tcBorders>
            <w:vAlign w:val="center"/>
          </w:tcPr>
          <w:p w14:paraId="5AC08931"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w:t>
            </w:r>
          </w:p>
        </w:tc>
      </w:tr>
      <w:tr w:rsidR="005D398B" w:rsidRPr="00877631" w14:paraId="4A114E5F" w14:textId="77777777" w:rsidTr="00580C4E">
        <w:tc>
          <w:tcPr>
            <w:tcW w:w="1098" w:type="dxa"/>
            <w:vMerge w:val="restart"/>
            <w:tcBorders>
              <w:top w:val="double" w:sz="4" w:space="0" w:color="auto"/>
            </w:tcBorders>
            <w:vAlign w:val="center"/>
          </w:tcPr>
          <w:p w14:paraId="10E062E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Sample-based reporting</w:t>
            </w:r>
          </w:p>
        </w:tc>
        <w:tc>
          <w:tcPr>
            <w:tcW w:w="697" w:type="dxa"/>
            <w:tcBorders>
              <w:top w:val="double" w:sz="4" w:space="0" w:color="auto"/>
            </w:tcBorders>
            <w:vAlign w:val="center"/>
          </w:tcPr>
          <w:p w14:paraId="0B3FB04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255B7F7F"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top w:val="double" w:sz="4" w:space="0" w:color="auto"/>
            </w:tcBorders>
            <w:vAlign w:val="center"/>
          </w:tcPr>
          <w:p w14:paraId="4236F8D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0.73</w:t>
            </w:r>
          </w:p>
        </w:tc>
        <w:tc>
          <w:tcPr>
            <w:tcW w:w="1074" w:type="dxa"/>
            <w:tcBorders>
              <w:top w:val="double" w:sz="4" w:space="0" w:color="auto"/>
            </w:tcBorders>
            <w:vAlign w:val="center"/>
          </w:tcPr>
          <w:p w14:paraId="51F5117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0.83</w:t>
            </w:r>
          </w:p>
        </w:tc>
        <w:tc>
          <w:tcPr>
            <w:tcW w:w="1074" w:type="dxa"/>
            <w:tcBorders>
              <w:top w:val="double" w:sz="4" w:space="0" w:color="auto"/>
            </w:tcBorders>
            <w:vAlign w:val="center"/>
          </w:tcPr>
          <w:p w14:paraId="41AB04E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0.95</w:t>
            </w:r>
          </w:p>
        </w:tc>
        <w:tc>
          <w:tcPr>
            <w:tcW w:w="1059" w:type="dxa"/>
            <w:tcBorders>
              <w:top w:val="double" w:sz="4" w:space="0" w:color="auto"/>
            </w:tcBorders>
            <w:vAlign w:val="center"/>
          </w:tcPr>
          <w:p w14:paraId="58E6E3A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1.10</w:t>
            </w:r>
          </w:p>
        </w:tc>
        <w:tc>
          <w:tcPr>
            <w:tcW w:w="1059" w:type="dxa"/>
            <w:tcBorders>
              <w:top w:val="double" w:sz="4" w:space="0" w:color="auto"/>
            </w:tcBorders>
            <w:vAlign w:val="center"/>
          </w:tcPr>
          <w:p w14:paraId="2CB7AB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1.45</w:t>
            </w:r>
          </w:p>
        </w:tc>
        <w:tc>
          <w:tcPr>
            <w:tcW w:w="1076" w:type="dxa"/>
            <w:tcBorders>
              <w:top w:val="double" w:sz="4" w:space="0" w:color="auto"/>
            </w:tcBorders>
            <w:vAlign w:val="center"/>
          </w:tcPr>
          <w:p w14:paraId="1D28D19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2.10</w:t>
            </w:r>
          </w:p>
        </w:tc>
        <w:tc>
          <w:tcPr>
            <w:tcW w:w="1104" w:type="dxa"/>
            <w:tcBorders>
              <w:top w:val="double" w:sz="4" w:space="0" w:color="auto"/>
            </w:tcBorders>
            <w:vAlign w:val="center"/>
          </w:tcPr>
          <w:p w14:paraId="41FE0BA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3.11</w:t>
            </w:r>
          </w:p>
        </w:tc>
      </w:tr>
      <w:tr w:rsidR="005D398B" w:rsidRPr="00877631" w14:paraId="759A1F97" w14:textId="77777777" w:rsidTr="00580C4E">
        <w:tc>
          <w:tcPr>
            <w:tcW w:w="1098" w:type="dxa"/>
            <w:vMerge/>
            <w:vAlign w:val="center"/>
          </w:tcPr>
          <w:p w14:paraId="14F86A68"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1916CDBB"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1ADF5062"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vAlign w:val="center"/>
          </w:tcPr>
          <w:p w14:paraId="041B841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0.73</w:t>
            </w:r>
          </w:p>
        </w:tc>
        <w:tc>
          <w:tcPr>
            <w:tcW w:w="1074" w:type="dxa"/>
            <w:vAlign w:val="center"/>
          </w:tcPr>
          <w:p w14:paraId="2EA71A9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0.80</w:t>
            </w:r>
          </w:p>
        </w:tc>
        <w:tc>
          <w:tcPr>
            <w:tcW w:w="1074" w:type="dxa"/>
            <w:vAlign w:val="center"/>
          </w:tcPr>
          <w:p w14:paraId="5BB390C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0.94</w:t>
            </w:r>
          </w:p>
        </w:tc>
        <w:tc>
          <w:tcPr>
            <w:tcW w:w="1059" w:type="dxa"/>
            <w:vAlign w:val="center"/>
          </w:tcPr>
          <w:p w14:paraId="12C539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1.07</w:t>
            </w:r>
          </w:p>
        </w:tc>
        <w:tc>
          <w:tcPr>
            <w:tcW w:w="1059" w:type="dxa"/>
            <w:vAlign w:val="center"/>
          </w:tcPr>
          <w:p w14:paraId="332946C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1.38</w:t>
            </w:r>
          </w:p>
        </w:tc>
        <w:tc>
          <w:tcPr>
            <w:tcW w:w="1076" w:type="dxa"/>
            <w:vAlign w:val="center"/>
          </w:tcPr>
          <w:p w14:paraId="518D8248"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2.09</w:t>
            </w:r>
          </w:p>
        </w:tc>
        <w:tc>
          <w:tcPr>
            <w:tcW w:w="1104" w:type="dxa"/>
            <w:vAlign w:val="center"/>
          </w:tcPr>
          <w:p w14:paraId="3CCBE84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3.12</w:t>
            </w:r>
          </w:p>
        </w:tc>
      </w:tr>
      <w:tr w:rsidR="005D398B" w:rsidRPr="00877631" w14:paraId="40CAF585" w14:textId="77777777" w:rsidTr="00580C4E">
        <w:tc>
          <w:tcPr>
            <w:tcW w:w="1098" w:type="dxa"/>
            <w:vMerge/>
            <w:vAlign w:val="center"/>
          </w:tcPr>
          <w:p w14:paraId="34BAC81C" w14:textId="77777777" w:rsidR="005D398B" w:rsidRPr="00362C8D" w:rsidRDefault="005D398B" w:rsidP="00580C4E">
            <w:pPr>
              <w:spacing w:before="40" w:after="40"/>
              <w:jc w:val="center"/>
              <w:rPr>
                <w:rFonts w:cs="Arial"/>
                <w:color w:val="000000"/>
                <w:sz w:val="20"/>
                <w:szCs w:val="20"/>
              </w:rPr>
            </w:pPr>
          </w:p>
        </w:tc>
        <w:tc>
          <w:tcPr>
            <w:tcW w:w="697" w:type="dxa"/>
            <w:tcBorders>
              <w:bottom w:val="double" w:sz="4" w:space="0" w:color="auto"/>
            </w:tcBorders>
            <w:vAlign w:val="center"/>
          </w:tcPr>
          <w:p w14:paraId="7C9BB582"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bottom w:val="double" w:sz="4" w:space="0" w:color="auto"/>
              <w:right w:val="double" w:sz="4" w:space="0" w:color="auto"/>
            </w:tcBorders>
            <w:vAlign w:val="center"/>
          </w:tcPr>
          <w:p w14:paraId="7C8F262C"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bottom w:val="double" w:sz="4" w:space="0" w:color="auto"/>
            </w:tcBorders>
            <w:vAlign w:val="center"/>
          </w:tcPr>
          <w:p w14:paraId="1AB8603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0.89</w:t>
            </w:r>
          </w:p>
        </w:tc>
        <w:tc>
          <w:tcPr>
            <w:tcW w:w="1074" w:type="dxa"/>
            <w:tcBorders>
              <w:bottom w:val="double" w:sz="4" w:space="0" w:color="auto"/>
            </w:tcBorders>
            <w:vAlign w:val="center"/>
          </w:tcPr>
          <w:p w14:paraId="2E4F1B88"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0.97</w:t>
            </w:r>
          </w:p>
        </w:tc>
        <w:tc>
          <w:tcPr>
            <w:tcW w:w="1074" w:type="dxa"/>
            <w:tcBorders>
              <w:bottom w:val="double" w:sz="4" w:space="0" w:color="auto"/>
            </w:tcBorders>
            <w:vAlign w:val="center"/>
          </w:tcPr>
          <w:p w14:paraId="2BE0012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1.13</w:t>
            </w:r>
          </w:p>
        </w:tc>
        <w:tc>
          <w:tcPr>
            <w:tcW w:w="1059" w:type="dxa"/>
            <w:tcBorders>
              <w:bottom w:val="double" w:sz="4" w:space="0" w:color="auto"/>
            </w:tcBorders>
            <w:vAlign w:val="center"/>
          </w:tcPr>
          <w:p w14:paraId="4B9A143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1.30</w:t>
            </w:r>
          </w:p>
        </w:tc>
        <w:tc>
          <w:tcPr>
            <w:tcW w:w="1059" w:type="dxa"/>
            <w:tcBorders>
              <w:bottom w:val="double" w:sz="4" w:space="0" w:color="auto"/>
            </w:tcBorders>
            <w:vAlign w:val="center"/>
          </w:tcPr>
          <w:p w14:paraId="71060E9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1.66</w:t>
            </w:r>
          </w:p>
        </w:tc>
        <w:tc>
          <w:tcPr>
            <w:tcW w:w="1076" w:type="dxa"/>
            <w:tcBorders>
              <w:bottom w:val="double" w:sz="4" w:space="0" w:color="auto"/>
            </w:tcBorders>
            <w:vAlign w:val="center"/>
          </w:tcPr>
          <w:p w14:paraId="1069BE4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2.58</w:t>
            </w:r>
          </w:p>
        </w:tc>
        <w:tc>
          <w:tcPr>
            <w:tcW w:w="1104" w:type="dxa"/>
            <w:tcBorders>
              <w:bottom w:val="double" w:sz="4" w:space="0" w:color="auto"/>
            </w:tcBorders>
            <w:vAlign w:val="center"/>
          </w:tcPr>
          <w:p w14:paraId="43B6398F"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3.77</w:t>
            </w:r>
          </w:p>
        </w:tc>
      </w:tr>
      <w:tr w:rsidR="005D398B" w:rsidRPr="00877631" w14:paraId="4E47AAC5" w14:textId="77777777" w:rsidTr="00580C4E">
        <w:tc>
          <w:tcPr>
            <w:tcW w:w="1098" w:type="dxa"/>
            <w:vMerge/>
            <w:vAlign w:val="center"/>
          </w:tcPr>
          <w:p w14:paraId="4539CF99" w14:textId="77777777" w:rsidR="005D398B" w:rsidRPr="00362C8D" w:rsidRDefault="005D398B" w:rsidP="00580C4E">
            <w:pPr>
              <w:spacing w:before="40" w:after="40"/>
              <w:jc w:val="center"/>
              <w:rPr>
                <w:rFonts w:cs="Arial"/>
                <w:color w:val="000000"/>
                <w:sz w:val="20"/>
                <w:szCs w:val="20"/>
              </w:rPr>
            </w:pPr>
          </w:p>
        </w:tc>
        <w:tc>
          <w:tcPr>
            <w:tcW w:w="697" w:type="dxa"/>
            <w:tcBorders>
              <w:top w:val="double" w:sz="4" w:space="0" w:color="auto"/>
            </w:tcBorders>
            <w:vAlign w:val="center"/>
          </w:tcPr>
          <w:p w14:paraId="55DE0A1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423597E1"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top w:val="double" w:sz="4" w:space="0" w:color="auto"/>
            </w:tcBorders>
            <w:vAlign w:val="center"/>
          </w:tcPr>
          <w:p w14:paraId="1D105AD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0.91</w:t>
            </w:r>
          </w:p>
        </w:tc>
        <w:tc>
          <w:tcPr>
            <w:tcW w:w="1074" w:type="dxa"/>
            <w:tcBorders>
              <w:top w:val="double" w:sz="4" w:space="0" w:color="auto"/>
            </w:tcBorders>
            <w:vAlign w:val="center"/>
          </w:tcPr>
          <w:p w14:paraId="1778FA1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0.99</w:t>
            </w:r>
          </w:p>
        </w:tc>
        <w:tc>
          <w:tcPr>
            <w:tcW w:w="1074" w:type="dxa"/>
            <w:tcBorders>
              <w:top w:val="double" w:sz="4" w:space="0" w:color="auto"/>
            </w:tcBorders>
            <w:vAlign w:val="center"/>
          </w:tcPr>
          <w:p w14:paraId="171F08F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1.13</w:t>
            </w:r>
          </w:p>
        </w:tc>
        <w:tc>
          <w:tcPr>
            <w:tcW w:w="1059" w:type="dxa"/>
            <w:tcBorders>
              <w:top w:val="double" w:sz="4" w:space="0" w:color="auto"/>
            </w:tcBorders>
            <w:vAlign w:val="center"/>
          </w:tcPr>
          <w:p w14:paraId="1CA8BA7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1.32</w:t>
            </w:r>
          </w:p>
        </w:tc>
        <w:tc>
          <w:tcPr>
            <w:tcW w:w="1059" w:type="dxa"/>
            <w:tcBorders>
              <w:top w:val="double" w:sz="4" w:space="0" w:color="auto"/>
            </w:tcBorders>
            <w:vAlign w:val="center"/>
          </w:tcPr>
          <w:p w14:paraId="10051D1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1.85</w:t>
            </w:r>
          </w:p>
        </w:tc>
        <w:tc>
          <w:tcPr>
            <w:tcW w:w="1076" w:type="dxa"/>
            <w:tcBorders>
              <w:top w:val="double" w:sz="4" w:space="0" w:color="auto"/>
            </w:tcBorders>
            <w:vAlign w:val="center"/>
          </w:tcPr>
          <w:p w14:paraId="2F39393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2.84</w:t>
            </w:r>
          </w:p>
        </w:tc>
        <w:tc>
          <w:tcPr>
            <w:tcW w:w="1104" w:type="dxa"/>
            <w:tcBorders>
              <w:top w:val="double" w:sz="4" w:space="0" w:color="auto"/>
            </w:tcBorders>
            <w:vAlign w:val="center"/>
          </w:tcPr>
          <w:p w14:paraId="4153FE18"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4.09</w:t>
            </w:r>
          </w:p>
        </w:tc>
      </w:tr>
      <w:tr w:rsidR="005D398B" w:rsidRPr="00877631" w14:paraId="352FBAA4" w14:textId="77777777" w:rsidTr="00580C4E">
        <w:tc>
          <w:tcPr>
            <w:tcW w:w="1098" w:type="dxa"/>
            <w:vMerge/>
            <w:vAlign w:val="center"/>
          </w:tcPr>
          <w:p w14:paraId="2E6F2F6B"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7A7AEC4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58C6E915"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vAlign w:val="center"/>
          </w:tcPr>
          <w:p w14:paraId="61E8B88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0.86</w:t>
            </w:r>
          </w:p>
        </w:tc>
        <w:tc>
          <w:tcPr>
            <w:tcW w:w="1074" w:type="dxa"/>
            <w:vAlign w:val="center"/>
          </w:tcPr>
          <w:p w14:paraId="37FCBE9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0.96</w:t>
            </w:r>
          </w:p>
        </w:tc>
        <w:tc>
          <w:tcPr>
            <w:tcW w:w="1074" w:type="dxa"/>
            <w:vAlign w:val="center"/>
          </w:tcPr>
          <w:p w14:paraId="762921C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1.07</w:t>
            </w:r>
          </w:p>
        </w:tc>
        <w:tc>
          <w:tcPr>
            <w:tcW w:w="1059" w:type="dxa"/>
            <w:vAlign w:val="center"/>
          </w:tcPr>
          <w:p w14:paraId="2302284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1.29</w:t>
            </w:r>
          </w:p>
        </w:tc>
        <w:tc>
          <w:tcPr>
            <w:tcW w:w="1059" w:type="dxa"/>
            <w:vAlign w:val="center"/>
          </w:tcPr>
          <w:p w14:paraId="24D0538F"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1.80</w:t>
            </w:r>
          </w:p>
        </w:tc>
        <w:tc>
          <w:tcPr>
            <w:tcW w:w="1076" w:type="dxa"/>
            <w:vAlign w:val="center"/>
          </w:tcPr>
          <w:p w14:paraId="672263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2.72</w:t>
            </w:r>
          </w:p>
        </w:tc>
        <w:tc>
          <w:tcPr>
            <w:tcW w:w="1104" w:type="dxa"/>
            <w:vAlign w:val="center"/>
          </w:tcPr>
          <w:p w14:paraId="2D3DC15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4.03</w:t>
            </w:r>
          </w:p>
        </w:tc>
      </w:tr>
      <w:tr w:rsidR="005D398B" w:rsidRPr="00877631" w14:paraId="6E20F25F" w14:textId="77777777" w:rsidTr="00580C4E">
        <w:tc>
          <w:tcPr>
            <w:tcW w:w="1098" w:type="dxa"/>
            <w:vMerge/>
            <w:tcBorders>
              <w:bottom w:val="double" w:sz="4" w:space="0" w:color="auto"/>
            </w:tcBorders>
            <w:vAlign w:val="center"/>
          </w:tcPr>
          <w:p w14:paraId="031805B7" w14:textId="77777777" w:rsidR="005D398B" w:rsidRPr="00362C8D" w:rsidRDefault="005D398B" w:rsidP="00580C4E">
            <w:pPr>
              <w:spacing w:before="40" w:after="40"/>
              <w:jc w:val="center"/>
              <w:rPr>
                <w:rFonts w:cs="Arial"/>
                <w:color w:val="000000"/>
                <w:sz w:val="20"/>
                <w:szCs w:val="20"/>
              </w:rPr>
            </w:pPr>
          </w:p>
        </w:tc>
        <w:tc>
          <w:tcPr>
            <w:tcW w:w="697" w:type="dxa"/>
            <w:tcBorders>
              <w:bottom w:val="double" w:sz="4" w:space="0" w:color="auto"/>
            </w:tcBorders>
            <w:vAlign w:val="center"/>
          </w:tcPr>
          <w:p w14:paraId="4B9FF2AE"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bottom w:val="double" w:sz="4" w:space="0" w:color="auto"/>
              <w:right w:val="double" w:sz="4" w:space="0" w:color="auto"/>
            </w:tcBorders>
            <w:vAlign w:val="center"/>
          </w:tcPr>
          <w:p w14:paraId="522DD5B4"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bottom w:val="double" w:sz="4" w:space="0" w:color="auto"/>
            </w:tcBorders>
            <w:vAlign w:val="center"/>
          </w:tcPr>
          <w:p w14:paraId="436C38B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0.94</w:t>
            </w:r>
          </w:p>
        </w:tc>
        <w:tc>
          <w:tcPr>
            <w:tcW w:w="1074" w:type="dxa"/>
            <w:tcBorders>
              <w:bottom w:val="double" w:sz="4" w:space="0" w:color="auto"/>
            </w:tcBorders>
            <w:vAlign w:val="center"/>
          </w:tcPr>
          <w:p w14:paraId="29C9055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1.05</w:t>
            </w:r>
          </w:p>
        </w:tc>
        <w:tc>
          <w:tcPr>
            <w:tcW w:w="1074" w:type="dxa"/>
            <w:tcBorders>
              <w:bottom w:val="double" w:sz="4" w:space="0" w:color="auto"/>
            </w:tcBorders>
            <w:vAlign w:val="center"/>
          </w:tcPr>
          <w:p w14:paraId="1FDEEFA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1.21</w:t>
            </w:r>
          </w:p>
        </w:tc>
        <w:tc>
          <w:tcPr>
            <w:tcW w:w="1059" w:type="dxa"/>
            <w:tcBorders>
              <w:bottom w:val="double" w:sz="4" w:space="0" w:color="auto"/>
            </w:tcBorders>
            <w:vAlign w:val="center"/>
          </w:tcPr>
          <w:p w14:paraId="469C24E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1.39</w:t>
            </w:r>
          </w:p>
        </w:tc>
        <w:tc>
          <w:tcPr>
            <w:tcW w:w="1059" w:type="dxa"/>
            <w:tcBorders>
              <w:bottom w:val="double" w:sz="4" w:space="0" w:color="auto"/>
            </w:tcBorders>
            <w:vAlign w:val="center"/>
          </w:tcPr>
          <w:p w14:paraId="6F412A0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1.82</w:t>
            </w:r>
          </w:p>
        </w:tc>
        <w:tc>
          <w:tcPr>
            <w:tcW w:w="1076" w:type="dxa"/>
            <w:tcBorders>
              <w:bottom w:val="double" w:sz="4" w:space="0" w:color="auto"/>
            </w:tcBorders>
            <w:vAlign w:val="center"/>
          </w:tcPr>
          <w:p w14:paraId="31F5520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2.67</w:t>
            </w:r>
          </w:p>
        </w:tc>
        <w:tc>
          <w:tcPr>
            <w:tcW w:w="1104" w:type="dxa"/>
            <w:tcBorders>
              <w:bottom w:val="double" w:sz="4" w:space="0" w:color="auto"/>
            </w:tcBorders>
            <w:vAlign w:val="center"/>
          </w:tcPr>
          <w:p w14:paraId="2B581B6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4.28</w:t>
            </w:r>
          </w:p>
        </w:tc>
      </w:tr>
      <w:tr w:rsidR="005D398B" w:rsidRPr="00877631" w14:paraId="6FFCAB2A" w14:textId="77777777" w:rsidTr="00580C4E">
        <w:tc>
          <w:tcPr>
            <w:tcW w:w="1098" w:type="dxa"/>
            <w:vMerge w:val="restart"/>
            <w:tcBorders>
              <w:top w:val="double" w:sz="4" w:space="0" w:color="auto"/>
            </w:tcBorders>
            <w:vAlign w:val="center"/>
          </w:tcPr>
          <w:p w14:paraId="00FF152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Path-based reporting</w:t>
            </w:r>
          </w:p>
        </w:tc>
        <w:tc>
          <w:tcPr>
            <w:tcW w:w="697" w:type="dxa"/>
            <w:tcBorders>
              <w:top w:val="double" w:sz="4" w:space="0" w:color="auto"/>
            </w:tcBorders>
            <w:vAlign w:val="center"/>
          </w:tcPr>
          <w:p w14:paraId="54DC6A7D"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26EE2304"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top w:val="double" w:sz="4" w:space="0" w:color="auto"/>
              <w:left w:val="double" w:sz="4" w:space="0" w:color="auto"/>
            </w:tcBorders>
            <w:vAlign w:val="center"/>
          </w:tcPr>
          <w:p w14:paraId="18C21B1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0.79</w:t>
            </w:r>
          </w:p>
        </w:tc>
        <w:tc>
          <w:tcPr>
            <w:tcW w:w="1074" w:type="dxa"/>
            <w:tcBorders>
              <w:top w:val="double" w:sz="4" w:space="0" w:color="auto"/>
            </w:tcBorders>
            <w:vAlign w:val="center"/>
          </w:tcPr>
          <w:p w14:paraId="6995CB2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0.93</w:t>
            </w:r>
          </w:p>
        </w:tc>
        <w:tc>
          <w:tcPr>
            <w:tcW w:w="1074" w:type="dxa"/>
            <w:tcBorders>
              <w:top w:val="double" w:sz="4" w:space="0" w:color="auto"/>
            </w:tcBorders>
            <w:vAlign w:val="center"/>
          </w:tcPr>
          <w:p w14:paraId="32A028F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1.02</w:t>
            </w:r>
          </w:p>
        </w:tc>
        <w:tc>
          <w:tcPr>
            <w:tcW w:w="1059" w:type="dxa"/>
            <w:tcBorders>
              <w:top w:val="double" w:sz="4" w:space="0" w:color="auto"/>
            </w:tcBorders>
            <w:vAlign w:val="center"/>
          </w:tcPr>
          <w:p w14:paraId="45500DE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1.21</w:t>
            </w:r>
          </w:p>
        </w:tc>
        <w:tc>
          <w:tcPr>
            <w:tcW w:w="1059" w:type="dxa"/>
            <w:tcBorders>
              <w:top w:val="double" w:sz="4" w:space="0" w:color="auto"/>
            </w:tcBorders>
            <w:vAlign w:val="center"/>
          </w:tcPr>
          <w:p w14:paraId="2B323B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1.71</w:t>
            </w:r>
          </w:p>
        </w:tc>
        <w:tc>
          <w:tcPr>
            <w:tcW w:w="1076" w:type="dxa"/>
            <w:tcBorders>
              <w:top w:val="double" w:sz="4" w:space="0" w:color="auto"/>
            </w:tcBorders>
            <w:vAlign w:val="center"/>
          </w:tcPr>
          <w:p w14:paraId="410F226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2.68</w:t>
            </w:r>
          </w:p>
        </w:tc>
        <w:tc>
          <w:tcPr>
            <w:tcW w:w="1104" w:type="dxa"/>
            <w:tcBorders>
              <w:top w:val="double" w:sz="4" w:space="0" w:color="auto"/>
            </w:tcBorders>
            <w:vAlign w:val="center"/>
          </w:tcPr>
          <w:p w14:paraId="7CA8BA3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3.94</w:t>
            </w:r>
          </w:p>
        </w:tc>
      </w:tr>
      <w:tr w:rsidR="005D398B" w:rsidRPr="00877631" w14:paraId="525DDF47" w14:textId="77777777" w:rsidTr="00580C4E">
        <w:tc>
          <w:tcPr>
            <w:tcW w:w="1098" w:type="dxa"/>
            <w:vMerge/>
            <w:vAlign w:val="center"/>
          </w:tcPr>
          <w:p w14:paraId="4B3F6CB5"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5B3A3EB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64858A1C"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left w:val="double" w:sz="4" w:space="0" w:color="auto"/>
            </w:tcBorders>
            <w:vAlign w:val="center"/>
          </w:tcPr>
          <w:p w14:paraId="72104FE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0.83</w:t>
            </w:r>
          </w:p>
        </w:tc>
        <w:tc>
          <w:tcPr>
            <w:tcW w:w="1074" w:type="dxa"/>
            <w:vAlign w:val="center"/>
          </w:tcPr>
          <w:p w14:paraId="76D5404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0.93</w:t>
            </w:r>
          </w:p>
        </w:tc>
        <w:tc>
          <w:tcPr>
            <w:tcW w:w="1074" w:type="dxa"/>
            <w:vAlign w:val="center"/>
          </w:tcPr>
          <w:p w14:paraId="6E10DAF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1.09</w:t>
            </w:r>
          </w:p>
        </w:tc>
        <w:tc>
          <w:tcPr>
            <w:tcW w:w="1059" w:type="dxa"/>
            <w:vAlign w:val="center"/>
          </w:tcPr>
          <w:p w14:paraId="17ACD52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1.26</w:t>
            </w:r>
          </w:p>
        </w:tc>
        <w:tc>
          <w:tcPr>
            <w:tcW w:w="1059" w:type="dxa"/>
            <w:vAlign w:val="center"/>
          </w:tcPr>
          <w:p w14:paraId="5C790AA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1.76</w:t>
            </w:r>
          </w:p>
        </w:tc>
        <w:tc>
          <w:tcPr>
            <w:tcW w:w="1076" w:type="dxa"/>
            <w:vAlign w:val="center"/>
          </w:tcPr>
          <w:p w14:paraId="2A9ACDA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2.73</w:t>
            </w:r>
          </w:p>
        </w:tc>
        <w:tc>
          <w:tcPr>
            <w:tcW w:w="1104" w:type="dxa"/>
            <w:vAlign w:val="center"/>
          </w:tcPr>
          <w:p w14:paraId="0FD0A53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4.16</w:t>
            </w:r>
          </w:p>
        </w:tc>
      </w:tr>
      <w:tr w:rsidR="005D398B" w:rsidRPr="00877631" w14:paraId="4A908DB8" w14:textId="77777777" w:rsidTr="00580C4E">
        <w:tc>
          <w:tcPr>
            <w:tcW w:w="1098" w:type="dxa"/>
            <w:vMerge/>
            <w:vAlign w:val="center"/>
          </w:tcPr>
          <w:p w14:paraId="764B9383" w14:textId="77777777" w:rsidR="005D398B" w:rsidRPr="00362C8D" w:rsidRDefault="005D398B" w:rsidP="00580C4E">
            <w:pPr>
              <w:spacing w:before="40" w:after="40"/>
              <w:jc w:val="center"/>
              <w:rPr>
                <w:rFonts w:cs="Arial"/>
                <w:color w:val="000000"/>
                <w:sz w:val="20"/>
                <w:szCs w:val="20"/>
              </w:rPr>
            </w:pPr>
          </w:p>
        </w:tc>
        <w:tc>
          <w:tcPr>
            <w:tcW w:w="697" w:type="dxa"/>
            <w:tcBorders>
              <w:bottom w:val="double" w:sz="4" w:space="0" w:color="auto"/>
            </w:tcBorders>
            <w:vAlign w:val="center"/>
          </w:tcPr>
          <w:p w14:paraId="4C66F7E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bottom w:val="double" w:sz="4" w:space="0" w:color="auto"/>
              <w:right w:val="double" w:sz="4" w:space="0" w:color="auto"/>
            </w:tcBorders>
            <w:vAlign w:val="center"/>
          </w:tcPr>
          <w:p w14:paraId="254262AB"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left w:val="double" w:sz="4" w:space="0" w:color="auto"/>
              <w:bottom w:val="double" w:sz="4" w:space="0" w:color="auto"/>
            </w:tcBorders>
            <w:vAlign w:val="center"/>
          </w:tcPr>
          <w:p w14:paraId="7ED0019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1.18</w:t>
            </w:r>
          </w:p>
        </w:tc>
        <w:tc>
          <w:tcPr>
            <w:tcW w:w="1074" w:type="dxa"/>
            <w:tcBorders>
              <w:bottom w:val="double" w:sz="4" w:space="0" w:color="auto"/>
            </w:tcBorders>
            <w:vAlign w:val="center"/>
          </w:tcPr>
          <w:p w14:paraId="0CDA55B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1.27</w:t>
            </w:r>
          </w:p>
        </w:tc>
        <w:tc>
          <w:tcPr>
            <w:tcW w:w="1074" w:type="dxa"/>
            <w:tcBorders>
              <w:bottom w:val="double" w:sz="4" w:space="0" w:color="auto"/>
            </w:tcBorders>
            <w:vAlign w:val="center"/>
          </w:tcPr>
          <w:p w14:paraId="2F177FE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1.50</w:t>
            </w:r>
          </w:p>
        </w:tc>
        <w:tc>
          <w:tcPr>
            <w:tcW w:w="1059" w:type="dxa"/>
            <w:tcBorders>
              <w:bottom w:val="double" w:sz="4" w:space="0" w:color="auto"/>
            </w:tcBorders>
            <w:vAlign w:val="center"/>
          </w:tcPr>
          <w:p w14:paraId="3391ED9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1.78</w:t>
            </w:r>
          </w:p>
        </w:tc>
        <w:tc>
          <w:tcPr>
            <w:tcW w:w="1059" w:type="dxa"/>
            <w:tcBorders>
              <w:bottom w:val="double" w:sz="4" w:space="0" w:color="auto"/>
            </w:tcBorders>
            <w:vAlign w:val="center"/>
          </w:tcPr>
          <w:p w14:paraId="0054E1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2.54</w:t>
            </w:r>
          </w:p>
        </w:tc>
        <w:tc>
          <w:tcPr>
            <w:tcW w:w="1076" w:type="dxa"/>
            <w:tcBorders>
              <w:bottom w:val="double" w:sz="4" w:space="0" w:color="auto"/>
            </w:tcBorders>
            <w:vAlign w:val="center"/>
          </w:tcPr>
          <w:p w14:paraId="53495FDF"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4.02</w:t>
            </w:r>
          </w:p>
        </w:tc>
        <w:tc>
          <w:tcPr>
            <w:tcW w:w="1104" w:type="dxa"/>
            <w:tcBorders>
              <w:bottom w:val="double" w:sz="4" w:space="0" w:color="auto"/>
            </w:tcBorders>
            <w:vAlign w:val="center"/>
          </w:tcPr>
          <w:p w14:paraId="40EFCCC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6.19</w:t>
            </w:r>
          </w:p>
        </w:tc>
      </w:tr>
      <w:tr w:rsidR="005D398B" w:rsidRPr="00877631" w14:paraId="0AA0B4D4" w14:textId="77777777" w:rsidTr="00580C4E">
        <w:tc>
          <w:tcPr>
            <w:tcW w:w="1098" w:type="dxa"/>
            <w:vMerge/>
            <w:vAlign w:val="center"/>
          </w:tcPr>
          <w:p w14:paraId="26999CFE" w14:textId="77777777" w:rsidR="005D398B" w:rsidRPr="00362C8D" w:rsidRDefault="005D398B" w:rsidP="00580C4E">
            <w:pPr>
              <w:spacing w:before="40" w:after="40"/>
              <w:jc w:val="center"/>
              <w:rPr>
                <w:rFonts w:cs="Arial"/>
                <w:color w:val="000000"/>
                <w:sz w:val="20"/>
                <w:szCs w:val="20"/>
              </w:rPr>
            </w:pPr>
          </w:p>
        </w:tc>
        <w:tc>
          <w:tcPr>
            <w:tcW w:w="697" w:type="dxa"/>
            <w:tcBorders>
              <w:top w:val="double" w:sz="4" w:space="0" w:color="auto"/>
            </w:tcBorders>
            <w:vAlign w:val="center"/>
          </w:tcPr>
          <w:p w14:paraId="6E288B3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2472DAF6"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top w:val="double" w:sz="4" w:space="0" w:color="auto"/>
              <w:left w:val="double" w:sz="4" w:space="0" w:color="auto"/>
            </w:tcBorders>
            <w:vAlign w:val="center"/>
          </w:tcPr>
          <w:p w14:paraId="6546D89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0.84</w:t>
            </w:r>
          </w:p>
        </w:tc>
        <w:tc>
          <w:tcPr>
            <w:tcW w:w="1074" w:type="dxa"/>
            <w:tcBorders>
              <w:top w:val="double" w:sz="4" w:space="0" w:color="auto"/>
            </w:tcBorders>
            <w:vAlign w:val="center"/>
          </w:tcPr>
          <w:p w14:paraId="69EF44A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0.98</w:t>
            </w:r>
          </w:p>
        </w:tc>
        <w:tc>
          <w:tcPr>
            <w:tcW w:w="1074" w:type="dxa"/>
            <w:tcBorders>
              <w:top w:val="double" w:sz="4" w:space="0" w:color="auto"/>
            </w:tcBorders>
            <w:vAlign w:val="center"/>
          </w:tcPr>
          <w:p w14:paraId="1B28F4C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1.09</w:t>
            </w:r>
          </w:p>
        </w:tc>
        <w:tc>
          <w:tcPr>
            <w:tcW w:w="1059" w:type="dxa"/>
            <w:tcBorders>
              <w:top w:val="double" w:sz="4" w:space="0" w:color="auto"/>
            </w:tcBorders>
            <w:vAlign w:val="center"/>
          </w:tcPr>
          <w:p w14:paraId="0D42A4A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1.30</w:t>
            </w:r>
          </w:p>
        </w:tc>
        <w:tc>
          <w:tcPr>
            <w:tcW w:w="1059" w:type="dxa"/>
            <w:tcBorders>
              <w:top w:val="double" w:sz="4" w:space="0" w:color="auto"/>
            </w:tcBorders>
            <w:vAlign w:val="center"/>
          </w:tcPr>
          <w:p w14:paraId="50B2420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1.80</w:t>
            </w:r>
          </w:p>
        </w:tc>
        <w:tc>
          <w:tcPr>
            <w:tcW w:w="1076" w:type="dxa"/>
            <w:tcBorders>
              <w:top w:val="double" w:sz="4" w:space="0" w:color="auto"/>
            </w:tcBorders>
            <w:vAlign w:val="center"/>
          </w:tcPr>
          <w:p w14:paraId="619CC1D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2.89</w:t>
            </w:r>
          </w:p>
        </w:tc>
        <w:tc>
          <w:tcPr>
            <w:tcW w:w="1104" w:type="dxa"/>
            <w:tcBorders>
              <w:top w:val="double" w:sz="4" w:space="0" w:color="auto"/>
            </w:tcBorders>
            <w:vAlign w:val="center"/>
          </w:tcPr>
          <w:p w14:paraId="55C53C2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4.32</w:t>
            </w:r>
          </w:p>
        </w:tc>
      </w:tr>
      <w:tr w:rsidR="005D398B" w:rsidRPr="00877631" w14:paraId="56D2EEC6" w14:textId="77777777" w:rsidTr="00580C4E">
        <w:tc>
          <w:tcPr>
            <w:tcW w:w="1098" w:type="dxa"/>
            <w:vMerge/>
            <w:vAlign w:val="center"/>
          </w:tcPr>
          <w:p w14:paraId="5245DFA3"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5DA15A03"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12071137"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left w:val="double" w:sz="4" w:space="0" w:color="auto"/>
            </w:tcBorders>
            <w:vAlign w:val="center"/>
          </w:tcPr>
          <w:p w14:paraId="342C229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0.86</w:t>
            </w:r>
          </w:p>
        </w:tc>
        <w:tc>
          <w:tcPr>
            <w:tcW w:w="1074" w:type="dxa"/>
            <w:vAlign w:val="center"/>
          </w:tcPr>
          <w:p w14:paraId="1C37591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0.97</w:t>
            </w:r>
          </w:p>
        </w:tc>
        <w:tc>
          <w:tcPr>
            <w:tcW w:w="1074" w:type="dxa"/>
            <w:vAlign w:val="center"/>
          </w:tcPr>
          <w:p w14:paraId="126097B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1.10</w:t>
            </w:r>
          </w:p>
        </w:tc>
        <w:tc>
          <w:tcPr>
            <w:tcW w:w="1059" w:type="dxa"/>
            <w:vAlign w:val="center"/>
          </w:tcPr>
          <w:p w14:paraId="1EA9770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1.29</w:t>
            </w:r>
          </w:p>
        </w:tc>
        <w:tc>
          <w:tcPr>
            <w:tcW w:w="1059" w:type="dxa"/>
            <w:vAlign w:val="center"/>
          </w:tcPr>
          <w:p w14:paraId="6648848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1.82</w:t>
            </w:r>
          </w:p>
        </w:tc>
        <w:tc>
          <w:tcPr>
            <w:tcW w:w="1076" w:type="dxa"/>
            <w:vAlign w:val="center"/>
          </w:tcPr>
          <w:p w14:paraId="0710732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2.88</w:t>
            </w:r>
          </w:p>
        </w:tc>
        <w:tc>
          <w:tcPr>
            <w:tcW w:w="1104" w:type="dxa"/>
            <w:vAlign w:val="center"/>
          </w:tcPr>
          <w:p w14:paraId="1D1F5A2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4.41</w:t>
            </w:r>
          </w:p>
        </w:tc>
      </w:tr>
      <w:tr w:rsidR="005D398B" w:rsidRPr="00877631" w14:paraId="50F929C2" w14:textId="77777777" w:rsidTr="00580C4E">
        <w:tc>
          <w:tcPr>
            <w:tcW w:w="1098" w:type="dxa"/>
            <w:vMerge/>
            <w:vAlign w:val="center"/>
          </w:tcPr>
          <w:p w14:paraId="751F02E2"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41BE99F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4824F73D"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left w:val="double" w:sz="4" w:space="0" w:color="auto"/>
            </w:tcBorders>
            <w:vAlign w:val="center"/>
          </w:tcPr>
          <w:p w14:paraId="4D2DB19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1.13</w:t>
            </w:r>
          </w:p>
        </w:tc>
        <w:tc>
          <w:tcPr>
            <w:tcW w:w="1074" w:type="dxa"/>
            <w:vAlign w:val="center"/>
          </w:tcPr>
          <w:p w14:paraId="6D02737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1.32</w:t>
            </w:r>
          </w:p>
        </w:tc>
        <w:tc>
          <w:tcPr>
            <w:tcW w:w="1074" w:type="dxa"/>
            <w:vAlign w:val="center"/>
          </w:tcPr>
          <w:p w14:paraId="1214DAB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1.52</w:t>
            </w:r>
          </w:p>
        </w:tc>
        <w:tc>
          <w:tcPr>
            <w:tcW w:w="1059" w:type="dxa"/>
            <w:vAlign w:val="center"/>
          </w:tcPr>
          <w:p w14:paraId="4516D4A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1.81</w:t>
            </w:r>
          </w:p>
        </w:tc>
        <w:tc>
          <w:tcPr>
            <w:tcW w:w="1059" w:type="dxa"/>
            <w:vAlign w:val="center"/>
          </w:tcPr>
          <w:p w14:paraId="17E9CDE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2.50</w:t>
            </w:r>
          </w:p>
        </w:tc>
        <w:tc>
          <w:tcPr>
            <w:tcW w:w="1076" w:type="dxa"/>
            <w:vAlign w:val="center"/>
          </w:tcPr>
          <w:p w14:paraId="7F8D2E0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4.09</w:t>
            </w:r>
          </w:p>
        </w:tc>
        <w:tc>
          <w:tcPr>
            <w:tcW w:w="1104" w:type="dxa"/>
            <w:vAlign w:val="center"/>
          </w:tcPr>
          <w:p w14:paraId="662C6A5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5.86</w:t>
            </w:r>
          </w:p>
        </w:tc>
      </w:tr>
    </w:tbl>
    <w:p w14:paraId="6D425E8E" w14:textId="77777777" w:rsidR="00FD707F" w:rsidRPr="00082F1C" w:rsidRDefault="00FD707F" w:rsidP="00013A41"/>
    <w:p w14:paraId="40607A38" w14:textId="0CC14CE3" w:rsidR="005E6AD5" w:rsidRDefault="005E6AD5" w:rsidP="005E6AD5">
      <w:pPr>
        <w:pStyle w:val="Caption"/>
      </w:pPr>
      <w:r>
        <w:lastRenderedPageBreak/>
        <w:t xml:space="preserve">Table </w:t>
      </w:r>
      <w:r w:rsidR="00500110">
        <w:fldChar w:fldCharType="begin"/>
      </w:r>
      <w:r w:rsidR="00500110">
        <w:instrText xml:space="preserve"> SEQ Table \* ARABIC </w:instrText>
      </w:r>
      <w:r w:rsidR="00500110">
        <w:fldChar w:fldCharType="separate"/>
      </w:r>
      <w:r w:rsidR="00850DA1">
        <w:rPr>
          <w:noProof/>
        </w:rPr>
        <w:t>14</w:t>
      </w:r>
      <w:r w:rsidR="00500110">
        <w:rPr>
          <w:noProof/>
        </w:rPr>
        <w:fldChar w:fldCharType="end"/>
      </w:r>
      <w:r w:rsidR="003E6956">
        <w:t xml:space="preserve"> </w:t>
      </w:r>
      <w:r w:rsidR="003E6956" w:rsidRPr="00086111">
        <w:rPr>
          <w:lang w:eastAsia="ja-JP"/>
        </w:rPr>
        <w:t xml:space="preserve">90%tile </w:t>
      </w:r>
      <w:r w:rsidR="003E6956" w:rsidRPr="00086111">
        <w:t>2D positioning accuracy</w:t>
      </w:r>
      <w:r w:rsidR="003E6956">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003E6956">
        <w:t xml:space="preserve"> (meters) of PDP models</w:t>
      </w:r>
      <w:r w:rsidR="003E6956" w:rsidRPr="00086111">
        <w:t xml:space="preserve"> using </w:t>
      </w:r>
      <w:r w:rsidR="003E6956">
        <w:t xml:space="preserve">direct sample-based reporting or Rel-17 path-based reporting from different number of TRPs </w:t>
      </w:r>
      <w:r w:rsidR="003E6956" w:rsidRPr="00086111">
        <w:t xml:space="preserve">for the </w:t>
      </w:r>
      <w:r w:rsidR="003E6956" w:rsidRPr="00086111">
        <w:rPr>
          <w:lang w:eastAsia="ja-JP"/>
        </w:rPr>
        <w:t>{60%, 6m, 2m} InF-DH scenario</w:t>
      </w:r>
      <w:r w:rsidR="003E6956" w:rsidRPr="00086111">
        <w:t>.</w:t>
      </w:r>
      <w:r w:rsidR="003E6956" w:rsidRPr="00E215F0">
        <w:t xml:space="preserve"> The positioning accuracy is for the “small model” for centralized direct positioning trained with 40,000 samples </w:t>
      </w:r>
      <w:r w:rsidR="003E6956" w:rsidRPr="00E215F0">
        <w:fldChar w:fldCharType="begin"/>
      </w:r>
      <w:r w:rsidR="003E6956" w:rsidRPr="00E215F0">
        <w:instrText xml:space="preserve"> REF _Ref158730650 \r \h </w:instrText>
      </w:r>
      <w:r w:rsidR="003E6956" w:rsidRPr="00E215F0">
        <w:fldChar w:fldCharType="separate"/>
      </w:r>
      <w:r w:rsidR="00850DA1">
        <w:t>[6]</w:t>
      </w:r>
      <w:r w:rsidR="003E6956" w:rsidRPr="00E215F0">
        <w:fldChar w:fldCharType="end"/>
      </w:r>
      <w:r w:rsidR="003E6956" w:rsidRPr="00E215F0">
        <w:t>.</w:t>
      </w:r>
      <w:r w:rsidR="003E6956">
        <w:t xml:space="preserve"> </w:t>
      </w:r>
      <w:r w:rsidR="003E6956" w:rsidRPr="00DF7E3A">
        <w:t xml:space="preserve">For </w:t>
      </w:r>
      <w:r w:rsidR="003E6956">
        <w:t xml:space="preserve">all </w:t>
      </w:r>
      <w:r w:rsidR="003E6956" w:rsidRPr="00DF7E3A">
        <w:t xml:space="preserve">the models trained on the Rel-17 path-based reports, the </w:t>
      </w:r>
      <w:r w:rsidR="003E6956" w:rsidRPr="004157FD">
        <w:rPr>
          <w:i/>
          <w:u w:val="single"/>
        </w:rPr>
        <w:t>same</w:t>
      </w:r>
      <w:r w:rsidR="003E6956" w:rsidRPr="00DF7E3A">
        <w:t xml:space="preserve"> channel estimator was used for the training and inference</w:t>
      </w:r>
      <w:r w:rsidR="003E6956">
        <w:t>.</w:t>
      </w:r>
    </w:p>
    <w:tbl>
      <w:tblPr>
        <w:tblStyle w:val="TableGrid"/>
        <w:tblW w:w="0" w:type="auto"/>
        <w:tblLook w:val="04A0" w:firstRow="1" w:lastRow="0" w:firstColumn="1" w:lastColumn="0" w:noHBand="0" w:noVBand="1"/>
      </w:tblPr>
      <w:tblGrid>
        <w:gridCol w:w="1055"/>
        <w:gridCol w:w="707"/>
        <w:gridCol w:w="703"/>
        <w:gridCol w:w="1108"/>
        <w:gridCol w:w="1074"/>
        <w:gridCol w:w="1074"/>
        <w:gridCol w:w="1060"/>
        <w:gridCol w:w="1060"/>
        <w:gridCol w:w="1060"/>
        <w:gridCol w:w="1061"/>
      </w:tblGrid>
      <w:tr w:rsidR="006705B1" w:rsidRPr="00877631" w14:paraId="6E52769D" w14:textId="77777777" w:rsidTr="006705B1">
        <w:tc>
          <w:tcPr>
            <w:tcW w:w="2465" w:type="dxa"/>
            <w:gridSpan w:val="3"/>
            <w:tcBorders>
              <w:right w:val="double" w:sz="4" w:space="0" w:color="auto"/>
            </w:tcBorders>
            <w:vAlign w:val="center"/>
          </w:tcPr>
          <w:p w14:paraId="58E73E6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Test cases</w:t>
            </w:r>
          </w:p>
        </w:tc>
        <w:tc>
          <w:tcPr>
            <w:tcW w:w="7497" w:type="dxa"/>
            <w:gridSpan w:val="7"/>
            <w:tcBorders>
              <w:left w:val="double" w:sz="4" w:space="0" w:color="auto"/>
            </w:tcBorders>
            <w:vAlign w:val="center"/>
          </w:tcPr>
          <w:p w14:paraId="3A51C72A"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 xml:space="preserve">90%tile 2D positioning errors [m] based on </w:t>
            </w:r>
            <w:r w:rsidRPr="00877631">
              <w:rPr>
                <w:rFonts w:cs="Arial"/>
                <w:b/>
                <w:bCs/>
                <w:color w:val="000000"/>
                <w:szCs w:val="20"/>
              </w:rPr>
              <w:t>25 MHz RS bandwidth</w:t>
            </w:r>
          </w:p>
        </w:tc>
      </w:tr>
      <w:tr w:rsidR="006705B1" w:rsidRPr="00877631" w14:paraId="20546EFA" w14:textId="77777777" w:rsidTr="006705B1">
        <w:tc>
          <w:tcPr>
            <w:tcW w:w="1055" w:type="dxa"/>
            <w:vMerge w:val="restart"/>
            <w:vAlign w:val="center"/>
          </w:tcPr>
          <w:p w14:paraId="6C9D5580" w14:textId="77777777" w:rsidR="006705B1" w:rsidRPr="00013A41" w:rsidRDefault="006705B1" w:rsidP="005E7756">
            <w:pPr>
              <w:spacing w:before="40" w:after="40"/>
              <w:jc w:val="center"/>
              <w:rPr>
                <w:rFonts w:eastAsia="DengXian" w:cs="Arial"/>
                <w:color w:val="000000"/>
                <w:sz w:val="20"/>
                <w:szCs w:val="20"/>
              </w:rPr>
            </w:pPr>
          </w:p>
        </w:tc>
        <w:tc>
          <w:tcPr>
            <w:tcW w:w="707" w:type="dxa"/>
            <w:vMerge w:val="restart"/>
            <w:vAlign w:val="center"/>
          </w:tcPr>
          <w:p w14:paraId="6AE60210" w14:textId="77777777" w:rsidR="006705B1" w:rsidRPr="00013A41"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03" w:type="dxa"/>
            <w:vMerge w:val="restart"/>
            <w:tcBorders>
              <w:right w:val="double" w:sz="4" w:space="0" w:color="auto"/>
            </w:tcBorders>
            <w:vAlign w:val="center"/>
          </w:tcPr>
          <w:p w14:paraId="14EA15AD" w14:textId="77777777" w:rsidR="006705B1" w:rsidRPr="00013A41"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497" w:type="dxa"/>
            <w:gridSpan w:val="7"/>
            <w:vAlign w:val="center"/>
          </w:tcPr>
          <w:p w14:paraId="734E5D0B"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Different number of TRPs</w:t>
            </w:r>
          </w:p>
        </w:tc>
      </w:tr>
      <w:tr w:rsidR="006705B1" w:rsidRPr="00877631" w14:paraId="1FA84D4B" w14:textId="77777777" w:rsidTr="006705B1">
        <w:tc>
          <w:tcPr>
            <w:tcW w:w="1055" w:type="dxa"/>
            <w:vMerge/>
            <w:tcBorders>
              <w:bottom w:val="double" w:sz="4" w:space="0" w:color="auto"/>
            </w:tcBorders>
            <w:vAlign w:val="center"/>
          </w:tcPr>
          <w:p w14:paraId="62322996" w14:textId="77777777" w:rsidR="006705B1" w:rsidRPr="00013A41" w:rsidRDefault="006705B1" w:rsidP="005E7756">
            <w:pPr>
              <w:spacing w:before="40" w:after="40"/>
              <w:jc w:val="center"/>
              <w:rPr>
                <w:rFonts w:cs="Arial"/>
                <w:color w:val="000000"/>
                <w:sz w:val="20"/>
                <w:szCs w:val="20"/>
              </w:rPr>
            </w:pPr>
          </w:p>
        </w:tc>
        <w:tc>
          <w:tcPr>
            <w:tcW w:w="707" w:type="dxa"/>
            <w:vMerge/>
            <w:tcBorders>
              <w:bottom w:val="double" w:sz="4" w:space="0" w:color="auto"/>
            </w:tcBorders>
            <w:vAlign w:val="center"/>
          </w:tcPr>
          <w:p w14:paraId="3972453F" w14:textId="77777777" w:rsidR="006705B1" w:rsidRPr="00013A41" w:rsidRDefault="006705B1" w:rsidP="005E7756">
            <w:pPr>
              <w:spacing w:before="40" w:after="40"/>
              <w:jc w:val="center"/>
              <w:rPr>
                <w:rFonts w:cs="Arial"/>
                <w:color w:val="000000"/>
                <w:sz w:val="20"/>
                <w:szCs w:val="20"/>
              </w:rPr>
            </w:pPr>
          </w:p>
        </w:tc>
        <w:tc>
          <w:tcPr>
            <w:tcW w:w="703" w:type="dxa"/>
            <w:vMerge/>
            <w:tcBorders>
              <w:bottom w:val="double" w:sz="4" w:space="0" w:color="auto"/>
              <w:right w:val="double" w:sz="4" w:space="0" w:color="auto"/>
            </w:tcBorders>
            <w:vAlign w:val="center"/>
          </w:tcPr>
          <w:p w14:paraId="6FD74EFC" w14:textId="77777777" w:rsidR="006705B1" w:rsidRPr="00013A41" w:rsidRDefault="006705B1" w:rsidP="005E7756">
            <w:pPr>
              <w:spacing w:before="40" w:after="40"/>
              <w:jc w:val="center"/>
              <w:rPr>
                <w:rFonts w:cs="Arial"/>
                <w:color w:val="000000"/>
                <w:sz w:val="20"/>
                <w:szCs w:val="20"/>
              </w:rPr>
            </w:pPr>
          </w:p>
        </w:tc>
        <w:tc>
          <w:tcPr>
            <w:tcW w:w="1108" w:type="dxa"/>
            <w:tcBorders>
              <w:bottom w:val="double" w:sz="4" w:space="0" w:color="auto"/>
            </w:tcBorders>
            <w:vAlign w:val="center"/>
          </w:tcPr>
          <w:p w14:paraId="31FE163B"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18</w:t>
            </w:r>
          </w:p>
        </w:tc>
        <w:tc>
          <w:tcPr>
            <w:tcW w:w="1074" w:type="dxa"/>
            <w:tcBorders>
              <w:bottom w:val="double" w:sz="4" w:space="0" w:color="auto"/>
            </w:tcBorders>
            <w:vAlign w:val="center"/>
          </w:tcPr>
          <w:p w14:paraId="7BA7927F"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15</w:t>
            </w:r>
          </w:p>
        </w:tc>
        <w:tc>
          <w:tcPr>
            <w:tcW w:w="1074" w:type="dxa"/>
            <w:tcBorders>
              <w:bottom w:val="double" w:sz="4" w:space="0" w:color="auto"/>
            </w:tcBorders>
            <w:vAlign w:val="center"/>
          </w:tcPr>
          <w:p w14:paraId="66AC13C3"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12</w:t>
            </w:r>
          </w:p>
        </w:tc>
        <w:tc>
          <w:tcPr>
            <w:tcW w:w="1060" w:type="dxa"/>
            <w:tcBorders>
              <w:bottom w:val="double" w:sz="4" w:space="0" w:color="auto"/>
            </w:tcBorders>
            <w:vAlign w:val="center"/>
          </w:tcPr>
          <w:p w14:paraId="727F02F8"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060" w:type="dxa"/>
            <w:tcBorders>
              <w:bottom w:val="double" w:sz="4" w:space="0" w:color="auto"/>
            </w:tcBorders>
            <w:vAlign w:val="center"/>
          </w:tcPr>
          <w:p w14:paraId="0DA1C9DA"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w:t>
            </w:r>
          </w:p>
        </w:tc>
        <w:tc>
          <w:tcPr>
            <w:tcW w:w="1060" w:type="dxa"/>
            <w:tcBorders>
              <w:bottom w:val="double" w:sz="4" w:space="0" w:color="auto"/>
            </w:tcBorders>
            <w:vAlign w:val="center"/>
          </w:tcPr>
          <w:p w14:paraId="12C9571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4</w:t>
            </w:r>
          </w:p>
        </w:tc>
        <w:tc>
          <w:tcPr>
            <w:tcW w:w="1061" w:type="dxa"/>
            <w:tcBorders>
              <w:bottom w:val="double" w:sz="4" w:space="0" w:color="auto"/>
            </w:tcBorders>
            <w:vAlign w:val="center"/>
          </w:tcPr>
          <w:p w14:paraId="511EA4E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w:t>
            </w:r>
          </w:p>
        </w:tc>
      </w:tr>
      <w:tr w:rsidR="006705B1" w:rsidRPr="00877631" w14:paraId="66D7D7F7" w14:textId="77777777" w:rsidTr="006705B1">
        <w:tc>
          <w:tcPr>
            <w:tcW w:w="1055" w:type="dxa"/>
            <w:vMerge w:val="restart"/>
            <w:tcBorders>
              <w:top w:val="double" w:sz="4" w:space="0" w:color="auto"/>
            </w:tcBorders>
            <w:vAlign w:val="center"/>
          </w:tcPr>
          <w:p w14:paraId="16A9EBE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Sample-based reporting</w:t>
            </w:r>
          </w:p>
        </w:tc>
        <w:tc>
          <w:tcPr>
            <w:tcW w:w="707" w:type="dxa"/>
            <w:tcBorders>
              <w:top w:val="double" w:sz="4" w:space="0" w:color="auto"/>
            </w:tcBorders>
            <w:vAlign w:val="center"/>
          </w:tcPr>
          <w:p w14:paraId="0FCB8C2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0ECBA2F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top w:val="double" w:sz="4" w:space="0" w:color="auto"/>
            </w:tcBorders>
            <w:vAlign w:val="center"/>
          </w:tcPr>
          <w:p w14:paraId="35376A1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0.81</w:t>
            </w:r>
          </w:p>
        </w:tc>
        <w:tc>
          <w:tcPr>
            <w:tcW w:w="1074" w:type="dxa"/>
            <w:tcBorders>
              <w:top w:val="double" w:sz="4" w:space="0" w:color="auto"/>
            </w:tcBorders>
            <w:vAlign w:val="center"/>
          </w:tcPr>
          <w:p w14:paraId="29EDF36F"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0.91</w:t>
            </w:r>
          </w:p>
        </w:tc>
        <w:tc>
          <w:tcPr>
            <w:tcW w:w="1074" w:type="dxa"/>
            <w:tcBorders>
              <w:top w:val="double" w:sz="4" w:space="0" w:color="auto"/>
            </w:tcBorders>
            <w:vAlign w:val="center"/>
          </w:tcPr>
          <w:p w14:paraId="28A0C59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1.04</w:t>
            </w:r>
          </w:p>
        </w:tc>
        <w:tc>
          <w:tcPr>
            <w:tcW w:w="1060" w:type="dxa"/>
            <w:tcBorders>
              <w:top w:val="double" w:sz="4" w:space="0" w:color="auto"/>
            </w:tcBorders>
            <w:vAlign w:val="center"/>
          </w:tcPr>
          <w:p w14:paraId="3AC7EFCB"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1.26</w:t>
            </w:r>
          </w:p>
        </w:tc>
        <w:tc>
          <w:tcPr>
            <w:tcW w:w="1060" w:type="dxa"/>
            <w:tcBorders>
              <w:top w:val="double" w:sz="4" w:space="0" w:color="auto"/>
            </w:tcBorders>
            <w:vAlign w:val="center"/>
          </w:tcPr>
          <w:p w14:paraId="2347075B"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tcBorders>
              <w:top w:val="double" w:sz="4" w:space="0" w:color="auto"/>
            </w:tcBorders>
            <w:vAlign w:val="center"/>
          </w:tcPr>
          <w:p w14:paraId="76F1E1E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2.35</w:t>
            </w:r>
          </w:p>
        </w:tc>
        <w:tc>
          <w:tcPr>
            <w:tcW w:w="1061" w:type="dxa"/>
            <w:tcBorders>
              <w:top w:val="double" w:sz="4" w:space="0" w:color="auto"/>
            </w:tcBorders>
            <w:vAlign w:val="center"/>
          </w:tcPr>
          <w:p w14:paraId="387475C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3.64</w:t>
            </w:r>
          </w:p>
        </w:tc>
      </w:tr>
      <w:tr w:rsidR="006705B1" w:rsidRPr="00877631" w14:paraId="417453DF" w14:textId="77777777" w:rsidTr="006705B1">
        <w:tc>
          <w:tcPr>
            <w:tcW w:w="1055" w:type="dxa"/>
            <w:vMerge/>
            <w:vAlign w:val="center"/>
          </w:tcPr>
          <w:p w14:paraId="01851C2A"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6A962D47"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1E53FB93"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vAlign w:val="center"/>
          </w:tcPr>
          <w:p w14:paraId="16E7023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0.84</w:t>
            </w:r>
          </w:p>
        </w:tc>
        <w:tc>
          <w:tcPr>
            <w:tcW w:w="1074" w:type="dxa"/>
            <w:vAlign w:val="center"/>
          </w:tcPr>
          <w:p w14:paraId="374D646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0.95</w:t>
            </w:r>
          </w:p>
        </w:tc>
        <w:tc>
          <w:tcPr>
            <w:tcW w:w="1074" w:type="dxa"/>
            <w:vAlign w:val="center"/>
          </w:tcPr>
          <w:p w14:paraId="2F10BA0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1.03</w:t>
            </w:r>
          </w:p>
        </w:tc>
        <w:tc>
          <w:tcPr>
            <w:tcW w:w="1060" w:type="dxa"/>
            <w:vAlign w:val="center"/>
          </w:tcPr>
          <w:p w14:paraId="2FBC66E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1.25</w:t>
            </w:r>
          </w:p>
        </w:tc>
        <w:tc>
          <w:tcPr>
            <w:tcW w:w="1060" w:type="dxa"/>
            <w:vAlign w:val="center"/>
          </w:tcPr>
          <w:p w14:paraId="69C4315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vAlign w:val="center"/>
          </w:tcPr>
          <w:p w14:paraId="26A4A6E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2.38</w:t>
            </w:r>
          </w:p>
        </w:tc>
        <w:tc>
          <w:tcPr>
            <w:tcW w:w="1061" w:type="dxa"/>
            <w:vAlign w:val="center"/>
          </w:tcPr>
          <w:p w14:paraId="15A3A16B"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3.54</w:t>
            </w:r>
          </w:p>
        </w:tc>
      </w:tr>
      <w:tr w:rsidR="006705B1" w:rsidRPr="00877631" w14:paraId="0AD4098E" w14:textId="77777777" w:rsidTr="006705B1">
        <w:tc>
          <w:tcPr>
            <w:tcW w:w="1055" w:type="dxa"/>
            <w:vMerge/>
            <w:vAlign w:val="center"/>
          </w:tcPr>
          <w:p w14:paraId="26C26F39" w14:textId="77777777" w:rsidR="006705B1" w:rsidRPr="00013A41" w:rsidRDefault="006705B1" w:rsidP="005E7756">
            <w:pPr>
              <w:spacing w:before="40" w:after="40"/>
              <w:jc w:val="center"/>
              <w:rPr>
                <w:rFonts w:cs="Arial"/>
                <w:color w:val="000000"/>
                <w:sz w:val="20"/>
                <w:szCs w:val="20"/>
              </w:rPr>
            </w:pPr>
          </w:p>
        </w:tc>
        <w:tc>
          <w:tcPr>
            <w:tcW w:w="707" w:type="dxa"/>
            <w:tcBorders>
              <w:bottom w:val="double" w:sz="4" w:space="0" w:color="auto"/>
            </w:tcBorders>
            <w:vAlign w:val="center"/>
          </w:tcPr>
          <w:p w14:paraId="0C31B60D"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bottom w:val="double" w:sz="4" w:space="0" w:color="auto"/>
              <w:right w:val="double" w:sz="4" w:space="0" w:color="auto"/>
            </w:tcBorders>
            <w:vAlign w:val="center"/>
          </w:tcPr>
          <w:p w14:paraId="6A21CA1E"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bottom w:val="double" w:sz="4" w:space="0" w:color="auto"/>
            </w:tcBorders>
            <w:vAlign w:val="center"/>
          </w:tcPr>
          <w:p w14:paraId="2D53BFF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1.20</w:t>
            </w:r>
          </w:p>
        </w:tc>
        <w:tc>
          <w:tcPr>
            <w:tcW w:w="1074" w:type="dxa"/>
            <w:tcBorders>
              <w:bottom w:val="double" w:sz="4" w:space="0" w:color="auto"/>
            </w:tcBorders>
            <w:vAlign w:val="center"/>
          </w:tcPr>
          <w:p w14:paraId="00F8ED4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1.33</w:t>
            </w:r>
          </w:p>
        </w:tc>
        <w:tc>
          <w:tcPr>
            <w:tcW w:w="1074" w:type="dxa"/>
            <w:tcBorders>
              <w:bottom w:val="double" w:sz="4" w:space="0" w:color="auto"/>
            </w:tcBorders>
            <w:vAlign w:val="center"/>
          </w:tcPr>
          <w:p w14:paraId="68B3A89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1.52</w:t>
            </w:r>
          </w:p>
        </w:tc>
        <w:tc>
          <w:tcPr>
            <w:tcW w:w="1060" w:type="dxa"/>
            <w:tcBorders>
              <w:bottom w:val="double" w:sz="4" w:space="0" w:color="auto"/>
            </w:tcBorders>
            <w:vAlign w:val="center"/>
          </w:tcPr>
          <w:p w14:paraId="4F58777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1.77</w:t>
            </w:r>
          </w:p>
        </w:tc>
        <w:tc>
          <w:tcPr>
            <w:tcW w:w="1060" w:type="dxa"/>
            <w:tcBorders>
              <w:bottom w:val="double" w:sz="4" w:space="0" w:color="auto"/>
            </w:tcBorders>
            <w:vAlign w:val="center"/>
          </w:tcPr>
          <w:p w14:paraId="0FECBD4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2.25</w:t>
            </w:r>
          </w:p>
        </w:tc>
        <w:tc>
          <w:tcPr>
            <w:tcW w:w="1060" w:type="dxa"/>
            <w:tcBorders>
              <w:bottom w:val="double" w:sz="4" w:space="0" w:color="auto"/>
            </w:tcBorders>
            <w:vAlign w:val="center"/>
          </w:tcPr>
          <w:p w14:paraId="0826B9A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3.54</w:t>
            </w:r>
          </w:p>
        </w:tc>
        <w:tc>
          <w:tcPr>
            <w:tcW w:w="1061" w:type="dxa"/>
            <w:tcBorders>
              <w:bottom w:val="double" w:sz="4" w:space="0" w:color="auto"/>
            </w:tcBorders>
            <w:vAlign w:val="center"/>
          </w:tcPr>
          <w:p w14:paraId="50ACA8C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4.98</w:t>
            </w:r>
          </w:p>
        </w:tc>
      </w:tr>
      <w:tr w:rsidR="006705B1" w:rsidRPr="00877631" w14:paraId="30BFC212" w14:textId="77777777" w:rsidTr="006705B1">
        <w:tc>
          <w:tcPr>
            <w:tcW w:w="1055" w:type="dxa"/>
            <w:vMerge/>
            <w:vAlign w:val="center"/>
          </w:tcPr>
          <w:p w14:paraId="037F3A99" w14:textId="77777777" w:rsidR="006705B1" w:rsidRPr="00013A41" w:rsidRDefault="006705B1" w:rsidP="005E7756">
            <w:pPr>
              <w:spacing w:before="40" w:after="40"/>
              <w:jc w:val="center"/>
              <w:rPr>
                <w:rFonts w:cs="Arial"/>
                <w:color w:val="000000"/>
                <w:sz w:val="20"/>
                <w:szCs w:val="20"/>
              </w:rPr>
            </w:pPr>
          </w:p>
        </w:tc>
        <w:tc>
          <w:tcPr>
            <w:tcW w:w="707" w:type="dxa"/>
            <w:tcBorders>
              <w:top w:val="double" w:sz="4" w:space="0" w:color="auto"/>
            </w:tcBorders>
            <w:vAlign w:val="center"/>
          </w:tcPr>
          <w:p w14:paraId="42F7A0ED"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30E5776B"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top w:val="double" w:sz="4" w:space="0" w:color="auto"/>
            </w:tcBorders>
            <w:vAlign w:val="center"/>
          </w:tcPr>
          <w:p w14:paraId="6E231D1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1.01</w:t>
            </w:r>
          </w:p>
        </w:tc>
        <w:tc>
          <w:tcPr>
            <w:tcW w:w="1074" w:type="dxa"/>
            <w:tcBorders>
              <w:top w:val="double" w:sz="4" w:space="0" w:color="auto"/>
            </w:tcBorders>
            <w:vAlign w:val="center"/>
          </w:tcPr>
          <w:p w14:paraId="5420A1D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1.11</w:t>
            </w:r>
          </w:p>
        </w:tc>
        <w:tc>
          <w:tcPr>
            <w:tcW w:w="1074" w:type="dxa"/>
            <w:tcBorders>
              <w:top w:val="double" w:sz="4" w:space="0" w:color="auto"/>
            </w:tcBorders>
            <w:vAlign w:val="center"/>
          </w:tcPr>
          <w:p w14:paraId="02ECEFC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1.22</w:t>
            </w:r>
          </w:p>
        </w:tc>
        <w:tc>
          <w:tcPr>
            <w:tcW w:w="1060" w:type="dxa"/>
            <w:tcBorders>
              <w:top w:val="double" w:sz="4" w:space="0" w:color="auto"/>
            </w:tcBorders>
            <w:vAlign w:val="center"/>
          </w:tcPr>
          <w:p w14:paraId="56B83E4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1.46</w:t>
            </w:r>
          </w:p>
        </w:tc>
        <w:tc>
          <w:tcPr>
            <w:tcW w:w="1060" w:type="dxa"/>
            <w:tcBorders>
              <w:top w:val="double" w:sz="4" w:space="0" w:color="auto"/>
            </w:tcBorders>
            <w:vAlign w:val="center"/>
          </w:tcPr>
          <w:p w14:paraId="7539E31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2.00</w:t>
            </w:r>
          </w:p>
        </w:tc>
        <w:tc>
          <w:tcPr>
            <w:tcW w:w="1060" w:type="dxa"/>
            <w:tcBorders>
              <w:top w:val="double" w:sz="4" w:space="0" w:color="auto"/>
            </w:tcBorders>
            <w:vAlign w:val="center"/>
          </w:tcPr>
          <w:p w14:paraId="48CABEA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2.99</w:t>
            </w:r>
          </w:p>
        </w:tc>
        <w:tc>
          <w:tcPr>
            <w:tcW w:w="1061" w:type="dxa"/>
            <w:tcBorders>
              <w:top w:val="double" w:sz="4" w:space="0" w:color="auto"/>
            </w:tcBorders>
            <w:vAlign w:val="center"/>
          </w:tcPr>
          <w:p w14:paraId="2500F4E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4.56</w:t>
            </w:r>
          </w:p>
        </w:tc>
      </w:tr>
      <w:tr w:rsidR="006705B1" w:rsidRPr="00877631" w14:paraId="22A203CD" w14:textId="77777777" w:rsidTr="006705B1">
        <w:tc>
          <w:tcPr>
            <w:tcW w:w="1055" w:type="dxa"/>
            <w:vMerge/>
            <w:vAlign w:val="center"/>
          </w:tcPr>
          <w:p w14:paraId="4784EDF4"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51A9731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6CB053AD"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vAlign w:val="center"/>
          </w:tcPr>
          <w:p w14:paraId="4387016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0.99</w:t>
            </w:r>
          </w:p>
        </w:tc>
        <w:tc>
          <w:tcPr>
            <w:tcW w:w="1074" w:type="dxa"/>
            <w:vAlign w:val="center"/>
          </w:tcPr>
          <w:p w14:paraId="2D4D48BF"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1.13</w:t>
            </w:r>
          </w:p>
        </w:tc>
        <w:tc>
          <w:tcPr>
            <w:tcW w:w="1074" w:type="dxa"/>
            <w:vAlign w:val="center"/>
          </w:tcPr>
          <w:p w14:paraId="08ECA50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1.27</w:t>
            </w:r>
          </w:p>
        </w:tc>
        <w:tc>
          <w:tcPr>
            <w:tcW w:w="1060" w:type="dxa"/>
            <w:vAlign w:val="center"/>
          </w:tcPr>
          <w:p w14:paraId="7984992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1.42</w:t>
            </w:r>
          </w:p>
        </w:tc>
        <w:tc>
          <w:tcPr>
            <w:tcW w:w="1060" w:type="dxa"/>
            <w:vAlign w:val="center"/>
          </w:tcPr>
          <w:p w14:paraId="6EF40DD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1.88</w:t>
            </w:r>
          </w:p>
        </w:tc>
        <w:tc>
          <w:tcPr>
            <w:tcW w:w="1060" w:type="dxa"/>
            <w:vAlign w:val="center"/>
          </w:tcPr>
          <w:p w14:paraId="23C3AC1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2.98</w:t>
            </w:r>
          </w:p>
        </w:tc>
        <w:tc>
          <w:tcPr>
            <w:tcW w:w="1061" w:type="dxa"/>
            <w:vAlign w:val="center"/>
          </w:tcPr>
          <w:p w14:paraId="24AD2CF2"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4.25</w:t>
            </w:r>
          </w:p>
        </w:tc>
      </w:tr>
      <w:tr w:rsidR="006705B1" w:rsidRPr="00877631" w14:paraId="36E5EA07" w14:textId="77777777" w:rsidTr="006705B1">
        <w:tc>
          <w:tcPr>
            <w:tcW w:w="1055" w:type="dxa"/>
            <w:vMerge/>
            <w:tcBorders>
              <w:bottom w:val="double" w:sz="4" w:space="0" w:color="auto"/>
            </w:tcBorders>
            <w:vAlign w:val="center"/>
          </w:tcPr>
          <w:p w14:paraId="3C7898AE" w14:textId="77777777" w:rsidR="006705B1" w:rsidRPr="00013A41" w:rsidRDefault="006705B1" w:rsidP="005E7756">
            <w:pPr>
              <w:spacing w:before="40" w:after="40"/>
              <w:jc w:val="center"/>
              <w:rPr>
                <w:rFonts w:cs="Arial"/>
                <w:color w:val="000000"/>
                <w:sz w:val="20"/>
                <w:szCs w:val="20"/>
              </w:rPr>
            </w:pPr>
          </w:p>
        </w:tc>
        <w:tc>
          <w:tcPr>
            <w:tcW w:w="707" w:type="dxa"/>
            <w:tcBorders>
              <w:bottom w:val="double" w:sz="4" w:space="0" w:color="auto"/>
            </w:tcBorders>
            <w:vAlign w:val="center"/>
          </w:tcPr>
          <w:p w14:paraId="79861071"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bottom w:val="double" w:sz="4" w:space="0" w:color="auto"/>
              <w:right w:val="double" w:sz="4" w:space="0" w:color="auto"/>
            </w:tcBorders>
            <w:vAlign w:val="center"/>
          </w:tcPr>
          <w:p w14:paraId="2731B8F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bottom w:val="double" w:sz="4" w:space="0" w:color="auto"/>
            </w:tcBorders>
            <w:vAlign w:val="center"/>
          </w:tcPr>
          <w:p w14:paraId="39917D3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1.29</w:t>
            </w:r>
          </w:p>
        </w:tc>
        <w:tc>
          <w:tcPr>
            <w:tcW w:w="1074" w:type="dxa"/>
            <w:tcBorders>
              <w:bottom w:val="double" w:sz="4" w:space="0" w:color="auto"/>
            </w:tcBorders>
            <w:vAlign w:val="center"/>
          </w:tcPr>
          <w:p w14:paraId="1D7DD4F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1.34</w:t>
            </w:r>
          </w:p>
        </w:tc>
        <w:tc>
          <w:tcPr>
            <w:tcW w:w="1074" w:type="dxa"/>
            <w:tcBorders>
              <w:bottom w:val="double" w:sz="4" w:space="0" w:color="auto"/>
            </w:tcBorders>
            <w:vAlign w:val="center"/>
          </w:tcPr>
          <w:p w14:paraId="7F5FD8B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tcBorders>
              <w:bottom w:val="double" w:sz="4" w:space="0" w:color="auto"/>
            </w:tcBorders>
            <w:vAlign w:val="center"/>
          </w:tcPr>
          <w:p w14:paraId="1B0A3EF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1.85</w:t>
            </w:r>
          </w:p>
        </w:tc>
        <w:tc>
          <w:tcPr>
            <w:tcW w:w="1060" w:type="dxa"/>
            <w:tcBorders>
              <w:bottom w:val="double" w:sz="4" w:space="0" w:color="auto"/>
            </w:tcBorders>
            <w:vAlign w:val="center"/>
          </w:tcPr>
          <w:p w14:paraId="731EA36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2.40</w:t>
            </w:r>
          </w:p>
        </w:tc>
        <w:tc>
          <w:tcPr>
            <w:tcW w:w="1060" w:type="dxa"/>
            <w:tcBorders>
              <w:bottom w:val="double" w:sz="4" w:space="0" w:color="auto"/>
            </w:tcBorders>
            <w:vAlign w:val="center"/>
          </w:tcPr>
          <w:p w14:paraId="796FBB8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3.52</w:t>
            </w:r>
          </w:p>
        </w:tc>
        <w:tc>
          <w:tcPr>
            <w:tcW w:w="1061" w:type="dxa"/>
            <w:tcBorders>
              <w:bottom w:val="double" w:sz="4" w:space="0" w:color="auto"/>
            </w:tcBorders>
            <w:vAlign w:val="center"/>
          </w:tcPr>
          <w:p w14:paraId="4E79EF8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5.19</w:t>
            </w:r>
          </w:p>
        </w:tc>
      </w:tr>
      <w:tr w:rsidR="006705B1" w:rsidRPr="00877631" w14:paraId="6666CE1C" w14:textId="77777777" w:rsidTr="006705B1">
        <w:tc>
          <w:tcPr>
            <w:tcW w:w="1055" w:type="dxa"/>
            <w:vMerge w:val="restart"/>
            <w:tcBorders>
              <w:top w:val="double" w:sz="4" w:space="0" w:color="auto"/>
            </w:tcBorders>
            <w:vAlign w:val="center"/>
          </w:tcPr>
          <w:p w14:paraId="2D4FD0EE"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Path-based reporting</w:t>
            </w:r>
          </w:p>
        </w:tc>
        <w:tc>
          <w:tcPr>
            <w:tcW w:w="707" w:type="dxa"/>
            <w:tcBorders>
              <w:top w:val="double" w:sz="4" w:space="0" w:color="auto"/>
            </w:tcBorders>
            <w:vAlign w:val="center"/>
          </w:tcPr>
          <w:p w14:paraId="6A0F11C0"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5F28E40A"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top w:val="double" w:sz="4" w:space="0" w:color="auto"/>
              <w:left w:val="double" w:sz="4" w:space="0" w:color="auto"/>
            </w:tcBorders>
            <w:vAlign w:val="center"/>
          </w:tcPr>
          <w:p w14:paraId="3EC1460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1.00</w:t>
            </w:r>
          </w:p>
        </w:tc>
        <w:tc>
          <w:tcPr>
            <w:tcW w:w="1074" w:type="dxa"/>
            <w:tcBorders>
              <w:top w:val="double" w:sz="4" w:space="0" w:color="auto"/>
            </w:tcBorders>
            <w:vAlign w:val="center"/>
          </w:tcPr>
          <w:p w14:paraId="17A9223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1.20</w:t>
            </w:r>
          </w:p>
        </w:tc>
        <w:tc>
          <w:tcPr>
            <w:tcW w:w="1074" w:type="dxa"/>
            <w:tcBorders>
              <w:top w:val="double" w:sz="4" w:space="0" w:color="auto"/>
            </w:tcBorders>
            <w:vAlign w:val="center"/>
          </w:tcPr>
          <w:p w14:paraId="4E92420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1.36</w:t>
            </w:r>
          </w:p>
        </w:tc>
        <w:tc>
          <w:tcPr>
            <w:tcW w:w="1060" w:type="dxa"/>
            <w:tcBorders>
              <w:top w:val="double" w:sz="4" w:space="0" w:color="auto"/>
            </w:tcBorders>
            <w:vAlign w:val="center"/>
          </w:tcPr>
          <w:p w14:paraId="5BFB697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tcBorders>
              <w:top w:val="double" w:sz="4" w:space="0" w:color="auto"/>
            </w:tcBorders>
            <w:vAlign w:val="center"/>
          </w:tcPr>
          <w:p w14:paraId="570A0E8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2.45</w:t>
            </w:r>
          </w:p>
        </w:tc>
        <w:tc>
          <w:tcPr>
            <w:tcW w:w="1060" w:type="dxa"/>
            <w:tcBorders>
              <w:top w:val="double" w:sz="4" w:space="0" w:color="auto"/>
            </w:tcBorders>
            <w:vAlign w:val="center"/>
          </w:tcPr>
          <w:p w14:paraId="37DBA35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3.89</w:t>
            </w:r>
          </w:p>
        </w:tc>
        <w:tc>
          <w:tcPr>
            <w:tcW w:w="1061" w:type="dxa"/>
            <w:tcBorders>
              <w:top w:val="double" w:sz="4" w:space="0" w:color="auto"/>
            </w:tcBorders>
            <w:vAlign w:val="center"/>
          </w:tcPr>
          <w:p w14:paraId="0015FBBA"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5.94</w:t>
            </w:r>
          </w:p>
        </w:tc>
      </w:tr>
      <w:tr w:rsidR="006705B1" w:rsidRPr="00877631" w14:paraId="6C3F49FB" w14:textId="77777777" w:rsidTr="006705B1">
        <w:tc>
          <w:tcPr>
            <w:tcW w:w="1055" w:type="dxa"/>
            <w:vMerge/>
            <w:vAlign w:val="center"/>
          </w:tcPr>
          <w:p w14:paraId="10FDE337"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77026A54"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32B5FEF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left w:val="double" w:sz="4" w:space="0" w:color="auto"/>
            </w:tcBorders>
            <w:vAlign w:val="center"/>
          </w:tcPr>
          <w:p w14:paraId="0B02491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1.19</w:t>
            </w:r>
          </w:p>
        </w:tc>
        <w:tc>
          <w:tcPr>
            <w:tcW w:w="1074" w:type="dxa"/>
            <w:vAlign w:val="center"/>
          </w:tcPr>
          <w:p w14:paraId="71BA62D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1.31</w:t>
            </w:r>
          </w:p>
        </w:tc>
        <w:tc>
          <w:tcPr>
            <w:tcW w:w="1074" w:type="dxa"/>
            <w:vAlign w:val="center"/>
          </w:tcPr>
          <w:p w14:paraId="166E1B5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1.50</w:t>
            </w:r>
          </w:p>
        </w:tc>
        <w:tc>
          <w:tcPr>
            <w:tcW w:w="1060" w:type="dxa"/>
            <w:vAlign w:val="center"/>
          </w:tcPr>
          <w:p w14:paraId="191B6E4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1.77</w:t>
            </w:r>
          </w:p>
        </w:tc>
        <w:tc>
          <w:tcPr>
            <w:tcW w:w="1060" w:type="dxa"/>
            <w:vAlign w:val="center"/>
          </w:tcPr>
          <w:p w14:paraId="4C61C6C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2.63</w:t>
            </w:r>
          </w:p>
        </w:tc>
        <w:tc>
          <w:tcPr>
            <w:tcW w:w="1060" w:type="dxa"/>
            <w:vAlign w:val="center"/>
          </w:tcPr>
          <w:p w14:paraId="5E1369E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4.24</w:t>
            </w:r>
          </w:p>
        </w:tc>
        <w:tc>
          <w:tcPr>
            <w:tcW w:w="1061" w:type="dxa"/>
            <w:vAlign w:val="center"/>
          </w:tcPr>
          <w:p w14:paraId="29D1AF5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6.13</w:t>
            </w:r>
          </w:p>
        </w:tc>
      </w:tr>
      <w:tr w:rsidR="006705B1" w:rsidRPr="00877631" w14:paraId="06CD05A9" w14:textId="77777777" w:rsidTr="006705B1">
        <w:tc>
          <w:tcPr>
            <w:tcW w:w="1055" w:type="dxa"/>
            <w:vMerge/>
            <w:vAlign w:val="center"/>
          </w:tcPr>
          <w:p w14:paraId="53060BAF" w14:textId="77777777" w:rsidR="006705B1" w:rsidRPr="00013A41" w:rsidRDefault="006705B1" w:rsidP="005E7756">
            <w:pPr>
              <w:spacing w:before="40" w:after="40"/>
              <w:jc w:val="center"/>
              <w:rPr>
                <w:rFonts w:cs="Arial"/>
                <w:color w:val="000000"/>
                <w:sz w:val="20"/>
                <w:szCs w:val="20"/>
              </w:rPr>
            </w:pPr>
          </w:p>
        </w:tc>
        <w:tc>
          <w:tcPr>
            <w:tcW w:w="707" w:type="dxa"/>
            <w:tcBorders>
              <w:bottom w:val="double" w:sz="4" w:space="0" w:color="auto"/>
            </w:tcBorders>
            <w:vAlign w:val="center"/>
          </w:tcPr>
          <w:p w14:paraId="29FB08D3"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bottom w:val="double" w:sz="4" w:space="0" w:color="auto"/>
              <w:right w:val="double" w:sz="4" w:space="0" w:color="auto"/>
            </w:tcBorders>
            <w:vAlign w:val="center"/>
          </w:tcPr>
          <w:p w14:paraId="1E8E4EBC"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left w:val="double" w:sz="4" w:space="0" w:color="auto"/>
              <w:bottom w:val="double" w:sz="4" w:space="0" w:color="auto"/>
            </w:tcBorders>
            <w:vAlign w:val="center"/>
          </w:tcPr>
          <w:p w14:paraId="546F521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2.20</w:t>
            </w:r>
          </w:p>
        </w:tc>
        <w:tc>
          <w:tcPr>
            <w:tcW w:w="1074" w:type="dxa"/>
            <w:tcBorders>
              <w:bottom w:val="double" w:sz="4" w:space="0" w:color="auto"/>
            </w:tcBorders>
            <w:vAlign w:val="center"/>
          </w:tcPr>
          <w:p w14:paraId="4DAD4DB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2.27</w:t>
            </w:r>
          </w:p>
        </w:tc>
        <w:tc>
          <w:tcPr>
            <w:tcW w:w="1074" w:type="dxa"/>
            <w:tcBorders>
              <w:bottom w:val="double" w:sz="4" w:space="0" w:color="auto"/>
            </w:tcBorders>
            <w:vAlign w:val="center"/>
          </w:tcPr>
          <w:p w14:paraId="0C8B4E02"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2.50</w:t>
            </w:r>
          </w:p>
        </w:tc>
        <w:tc>
          <w:tcPr>
            <w:tcW w:w="1060" w:type="dxa"/>
            <w:tcBorders>
              <w:bottom w:val="double" w:sz="4" w:space="0" w:color="auto"/>
            </w:tcBorders>
            <w:vAlign w:val="center"/>
          </w:tcPr>
          <w:p w14:paraId="573C651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3.13</w:t>
            </w:r>
          </w:p>
        </w:tc>
        <w:tc>
          <w:tcPr>
            <w:tcW w:w="1060" w:type="dxa"/>
            <w:tcBorders>
              <w:bottom w:val="double" w:sz="4" w:space="0" w:color="auto"/>
            </w:tcBorders>
            <w:vAlign w:val="center"/>
          </w:tcPr>
          <w:p w14:paraId="42FFE0D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4.36</w:t>
            </w:r>
          </w:p>
        </w:tc>
        <w:tc>
          <w:tcPr>
            <w:tcW w:w="1060" w:type="dxa"/>
            <w:tcBorders>
              <w:bottom w:val="double" w:sz="4" w:space="0" w:color="auto"/>
            </w:tcBorders>
            <w:vAlign w:val="center"/>
          </w:tcPr>
          <w:p w14:paraId="6D60EFF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6.80</w:t>
            </w:r>
          </w:p>
        </w:tc>
        <w:tc>
          <w:tcPr>
            <w:tcW w:w="1061" w:type="dxa"/>
            <w:tcBorders>
              <w:bottom w:val="double" w:sz="4" w:space="0" w:color="auto"/>
            </w:tcBorders>
            <w:vAlign w:val="center"/>
          </w:tcPr>
          <w:p w14:paraId="3AE1E2F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8.76</w:t>
            </w:r>
          </w:p>
        </w:tc>
      </w:tr>
      <w:tr w:rsidR="006705B1" w:rsidRPr="00877631" w14:paraId="3F0E6E1C" w14:textId="77777777" w:rsidTr="006705B1">
        <w:tc>
          <w:tcPr>
            <w:tcW w:w="1055" w:type="dxa"/>
            <w:vMerge/>
            <w:vAlign w:val="center"/>
          </w:tcPr>
          <w:p w14:paraId="025ED567" w14:textId="77777777" w:rsidR="006705B1" w:rsidRPr="00013A41" w:rsidRDefault="006705B1" w:rsidP="005E7756">
            <w:pPr>
              <w:spacing w:before="40" w:after="40"/>
              <w:jc w:val="center"/>
              <w:rPr>
                <w:rFonts w:cs="Arial"/>
                <w:color w:val="000000"/>
                <w:sz w:val="20"/>
                <w:szCs w:val="20"/>
              </w:rPr>
            </w:pPr>
          </w:p>
        </w:tc>
        <w:tc>
          <w:tcPr>
            <w:tcW w:w="707" w:type="dxa"/>
            <w:tcBorders>
              <w:top w:val="double" w:sz="4" w:space="0" w:color="auto"/>
            </w:tcBorders>
            <w:vAlign w:val="center"/>
          </w:tcPr>
          <w:p w14:paraId="0B2D7BF4"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6AF9079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top w:val="double" w:sz="4" w:space="0" w:color="auto"/>
              <w:left w:val="double" w:sz="4" w:space="0" w:color="auto"/>
            </w:tcBorders>
            <w:vAlign w:val="center"/>
          </w:tcPr>
          <w:p w14:paraId="6EA46B4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0.99</w:t>
            </w:r>
          </w:p>
        </w:tc>
        <w:tc>
          <w:tcPr>
            <w:tcW w:w="1074" w:type="dxa"/>
            <w:tcBorders>
              <w:top w:val="double" w:sz="4" w:space="0" w:color="auto"/>
            </w:tcBorders>
            <w:vAlign w:val="center"/>
          </w:tcPr>
          <w:p w14:paraId="34B39E0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1.19</w:t>
            </w:r>
          </w:p>
        </w:tc>
        <w:tc>
          <w:tcPr>
            <w:tcW w:w="1074" w:type="dxa"/>
            <w:tcBorders>
              <w:top w:val="double" w:sz="4" w:space="0" w:color="auto"/>
            </w:tcBorders>
            <w:vAlign w:val="center"/>
          </w:tcPr>
          <w:p w14:paraId="69C1CD9A"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1.39</w:t>
            </w:r>
          </w:p>
        </w:tc>
        <w:tc>
          <w:tcPr>
            <w:tcW w:w="1060" w:type="dxa"/>
            <w:tcBorders>
              <w:top w:val="double" w:sz="4" w:space="0" w:color="auto"/>
            </w:tcBorders>
            <w:vAlign w:val="center"/>
          </w:tcPr>
          <w:p w14:paraId="4AF9781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1.62</w:t>
            </w:r>
          </w:p>
        </w:tc>
        <w:tc>
          <w:tcPr>
            <w:tcW w:w="1060" w:type="dxa"/>
            <w:tcBorders>
              <w:top w:val="double" w:sz="4" w:space="0" w:color="auto"/>
            </w:tcBorders>
            <w:vAlign w:val="center"/>
          </w:tcPr>
          <w:p w14:paraId="5F8100D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2.31</w:t>
            </w:r>
          </w:p>
        </w:tc>
        <w:tc>
          <w:tcPr>
            <w:tcW w:w="1060" w:type="dxa"/>
            <w:tcBorders>
              <w:top w:val="double" w:sz="4" w:space="0" w:color="auto"/>
            </w:tcBorders>
            <w:vAlign w:val="center"/>
          </w:tcPr>
          <w:p w14:paraId="7309326E"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3.95</w:t>
            </w:r>
          </w:p>
        </w:tc>
        <w:tc>
          <w:tcPr>
            <w:tcW w:w="1061" w:type="dxa"/>
            <w:tcBorders>
              <w:top w:val="double" w:sz="4" w:space="0" w:color="auto"/>
            </w:tcBorders>
            <w:vAlign w:val="center"/>
          </w:tcPr>
          <w:p w14:paraId="42E0A45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5.79</w:t>
            </w:r>
          </w:p>
        </w:tc>
      </w:tr>
      <w:tr w:rsidR="006705B1" w:rsidRPr="00877631" w14:paraId="6F501D46" w14:textId="77777777" w:rsidTr="006705B1">
        <w:tc>
          <w:tcPr>
            <w:tcW w:w="1055" w:type="dxa"/>
            <w:vMerge/>
            <w:vAlign w:val="center"/>
          </w:tcPr>
          <w:p w14:paraId="27A2F859"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321E2F7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4B0EFC55"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left w:val="double" w:sz="4" w:space="0" w:color="auto"/>
            </w:tcBorders>
            <w:vAlign w:val="center"/>
          </w:tcPr>
          <w:p w14:paraId="18F3338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1.22</w:t>
            </w:r>
          </w:p>
        </w:tc>
        <w:tc>
          <w:tcPr>
            <w:tcW w:w="1074" w:type="dxa"/>
            <w:vAlign w:val="center"/>
          </w:tcPr>
          <w:p w14:paraId="450BA18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1.29</w:t>
            </w:r>
          </w:p>
        </w:tc>
        <w:tc>
          <w:tcPr>
            <w:tcW w:w="1074" w:type="dxa"/>
            <w:vAlign w:val="center"/>
          </w:tcPr>
          <w:p w14:paraId="6A414ED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1.46</w:t>
            </w:r>
          </w:p>
        </w:tc>
        <w:tc>
          <w:tcPr>
            <w:tcW w:w="1060" w:type="dxa"/>
            <w:vAlign w:val="center"/>
          </w:tcPr>
          <w:p w14:paraId="667AD69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1.78</w:t>
            </w:r>
          </w:p>
        </w:tc>
        <w:tc>
          <w:tcPr>
            <w:tcW w:w="1060" w:type="dxa"/>
            <w:vAlign w:val="center"/>
          </w:tcPr>
          <w:p w14:paraId="1188219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2.62</w:t>
            </w:r>
          </w:p>
        </w:tc>
        <w:tc>
          <w:tcPr>
            <w:tcW w:w="1060" w:type="dxa"/>
            <w:vAlign w:val="center"/>
          </w:tcPr>
          <w:p w14:paraId="2E7CC46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4.18</w:t>
            </w:r>
          </w:p>
        </w:tc>
        <w:tc>
          <w:tcPr>
            <w:tcW w:w="1061" w:type="dxa"/>
            <w:vAlign w:val="center"/>
          </w:tcPr>
          <w:p w14:paraId="03870ED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6.07</w:t>
            </w:r>
          </w:p>
        </w:tc>
      </w:tr>
      <w:tr w:rsidR="006705B1" w:rsidRPr="00877631" w14:paraId="12E1DB33" w14:textId="77777777" w:rsidTr="006705B1">
        <w:tc>
          <w:tcPr>
            <w:tcW w:w="1055" w:type="dxa"/>
            <w:vMerge/>
            <w:vAlign w:val="center"/>
          </w:tcPr>
          <w:p w14:paraId="6F7FECDB"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19AE7317"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right w:val="double" w:sz="4" w:space="0" w:color="auto"/>
            </w:tcBorders>
            <w:vAlign w:val="center"/>
          </w:tcPr>
          <w:p w14:paraId="5481F1A0"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left w:val="double" w:sz="4" w:space="0" w:color="auto"/>
            </w:tcBorders>
            <w:vAlign w:val="center"/>
          </w:tcPr>
          <w:p w14:paraId="181F70C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2.07</w:t>
            </w:r>
          </w:p>
        </w:tc>
        <w:tc>
          <w:tcPr>
            <w:tcW w:w="1074" w:type="dxa"/>
            <w:vAlign w:val="center"/>
          </w:tcPr>
          <w:p w14:paraId="09363A1E"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2.25</w:t>
            </w:r>
          </w:p>
        </w:tc>
        <w:tc>
          <w:tcPr>
            <w:tcW w:w="1074" w:type="dxa"/>
            <w:vAlign w:val="center"/>
          </w:tcPr>
          <w:p w14:paraId="006050BE"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2.52</w:t>
            </w:r>
          </w:p>
        </w:tc>
        <w:tc>
          <w:tcPr>
            <w:tcW w:w="1060" w:type="dxa"/>
            <w:vAlign w:val="center"/>
          </w:tcPr>
          <w:p w14:paraId="0A06333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3.02</w:t>
            </w:r>
          </w:p>
        </w:tc>
        <w:tc>
          <w:tcPr>
            <w:tcW w:w="1060" w:type="dxa"/>
            <w:vAlign w:val="center"/>
          </w:tcPr>
          <w:p w14:paraId="2AE75C3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4.32</w:t>
            </w:r>
          </w:p>
        </w:tc>
        <w:tc>
          <w:tcPr>
            <w:tcW w:w="1060" w:type="dxa"/>
            <w:vAlign w:val="center"/>
          </w:tcPr>
          <w:p w14:paraId="08C9515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6.47</w:t>
            </w:r>
          </w:p>
        </w:tc>
        <w:tc>
          <w:tcPr>
            <w:tcW w:w="1061" w:type="dxa"/>
            <w:vAlign w:val="center"/>
          </w:tcPr>
          <w:p w14:paraId="2E411C2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9.05</w:t>
            </w:r>
          </w:p>
        </w:tc>
      </w:tr>
    </w:tbl>
    <w:p w14:paraId="10DA2D05" w14:textId="77777777" w:rsidR="00B94B09" w:rsidRPr="00B94B09" w:rsidRDefault="00B94B09" w:rsidP="00B94B09">
      <w:pPr>
        <w:rPr>
          <w:lang w:eastAsia="en-GB"/>
        </w:rPr>
      </w:pPr>
    </w:p>
    <w:p w14:paraId="28F062B2" w14:textId="1D9790D5" w:rsidR="005E6AD5" w:rsidRDefault="005E6AD5" w:rsidP="005E6AD5">
      <w:pPr>
        <w:pStyle w:val="Caption"/>
      </w:pPr>
      <w:bookmarkStart w:id="839" w:name="_Ref173418955"/>
      <w:r>
        <w:t xml:space="preserve">Table </w:t>
      </w:r>
      <w:r w:rsidR="00500110">
        <w:fldChar w:fldCharType="begin"/>
      </w:r>
      <w:r w:rsidR="00500110">
        <w:instrText xml:space="preserve"> SEQ Table \* ARABIC </w:instrText>
      </w:r>
      <w:r w:rsidR="00500110">
        <w:fldChar w:fldCharType="separate"/>
      </w:r>
      <w:r w:rsidR="00850DA1">
        <w:rPr>
          <w:noProof/>
        </w:rPr>
        <w:t>15</w:t>
      </w:r>
      <w:r w:rsidR="00500110">
        <w:rPr>
          <w:noProof/>
        </w:rPr>
        <w:fldChar w:fldCharType="end"/>
      </w:r>
      <w:bookmarkEnd w:id="839"/>
      <w:r w:rsidR="00442259">
        <w:t xml:space="preserve"> </w:t>
      </w:r>
      <w:r w:rsidR="00442259" w:rsidRPr="00086111">
        <w:rPr>
          <w:lang w:eastAsia="ja-JP"/>
        </w:rPr>
        <w:t xml:space="preserve">90%tile </w:t>
      </w:r>
      <w:r w:rsidR="00442259" w:rsidRPr="00086111">
        <w:t>2D positioning accuracy</w:t>
      </w:r>
      <w:r w:rsidR="00442259">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00442259">
        <w:t xml:space="preserve"> (meters) of PDP models</w:t>
      </w:r>
      <w:r w:rsidR="00442259" w:rsidRPr="00086111">
        <w:t xml:space="preserve"> using </w:t>
      </w:r>
      <w:r w:rsidR="00442259">
        <w:t xml:space="preserve">direct sample-based reporting or Rel-17 path-based reporting from different number of TRPs </w:t>
      </w:r>
      <w:r w:rsidR="00442259" w:rsidRPr="00086111">
        <w:t xml:space="preserve">for the </w:t>
      </w:r>
      <w:r w:rsidR="00442259" w:rsidRPr="00086111">
        <w:rPr>
          <w:lang w:eastAsia="ja-JP"/>
        </w:rPr>
        <w:t>{60%, 6m, 2m} InF-DH scenario</w:t>
      </w:r>
      <w:r w:rsidR="00442259" w:rsidRPr="00086111">
        <w:t>.</w:t>
      </w:r>
      <w:r w:rsidR="00442259" w:rsidRPr="00E215F0">
        <w:t xml:space="preserve"> The positioning accuracy is for the “small model” for centralized direct positioning trained with 40,000 samples </w:t>
      </w:r>
      <w:r w:rsidR="00442259" w:rsidRPr="00E215F0">
        <w:fldChar w:fldCharType="begin"/>
      </w:r>
      <w:r w:rsidR="00442259" w:rsidRPr="00E215F0">
        <w:instrText xml:space="preserve"> REF _Ref158730650 \r \h </w:instrText>
      </w:r>
      <w:r w:rsidR="00442259" w:rsidRPr="00E215F0">
        <w:fldChar w:fldCharType="separate"/>
      </w:r>
      <w:r w:rsidR="00850DA1">
        <w:t>[6]</w:t>
      </w:r>
      <w:r w:rsidR="00442259" w:rsidRPr="00E215F0">
        <w:fldChar w:fldCharType="end"/>
      </w:r>
      <w:r w:rsidR="00442259" w:rsidRPr="00E215F0">
        <w:t>.</w:t>
      </w:r>
      <w:r w:rsidR="00442259">
        <w:t xml:space="preserve"> </w:t>
      </w:r>
      <w:r w:rsidR="00442259" w:rsidRPr="00DF7E3A">
        <w:t xml:space="preserve">For </w:t>
      </w:r>
      <w:r w:rsidR="00442259">
        <w:t xml:space="preserve">all </w:t>
      </w:r>
      <w:r w:rsidR="00442259" w:rsidRPr="00DF7E3A">
        <w:t xml:space="preserve">the models trained on the Rel-17 path-based reports, the </w:t>
      </w:r>
      <w:r w:rsidR="00442259" w:rsidRPr="004157FD">
        <w:rPr>
          <w:i/>
          <w:u w:val="single"/>
        </w:rPr>
        <w:t>same</w:t>
      </w:r>
      <w:r w:rsidR="00442259" w:rsidRPr="00DF7E3A">
        <w:t xml:space="preserve"> channel estimator was used for the training and inference</w:t>
      </w:r>
      <w:r w:rsidR="00442259">
        <w:t>.</w:t>
      </w:r>
    </w:p>
    <w:tbl>
      <w:tblPr>
        <w:tblStyle w:val="TableGrid"/>
        <w:tblW w:w="0" w:type="auto"/>
        <w:tblLook w:val="04A0" w:firstRow="1" w:lastRow="0" w:firstColumn="1" w:lastColumn="0" w:noHBand="0" w:noVBand="1"/>
      </w:tblPr>
      <w:tblGrid>
        <w:gridCol w:w="1054"/>
        <w:gridCol w:w="718"/>
        <w:gridCol w:w="712"/>
        <w:gridCol w:w="1076"/>
        <w:gridCol w:w="1076"/>
        <w:gridCol w:w="1077"/>
        <w:gridCol w:w="1062"/>
        <w:gridCol w:w="1062"/>
        <w:gridCol w:w="1062"/>
        <w:gridCol w:w="1063"/>
      </w:tblGrid>
      <w:tr w:rsidR="00FD0107" w:rsidRPr="002432CB" w14:paraId="169F8902" w14:textId="77777777" w:rsidTr="005E7756">
        <w:tc>
          <w:tcPr>
            <w:tcW w:w="2484" w:type="dxa"/>
            <w:gridSpan w:val="3"/>
            <w:tcBorders>
              <w:right w:val="double" w:sz="4" w:space="0" w:color="auto"/>
            </w:tcBorders>
            <w:vAlign w:val="center"/>
          </w:tcPr>
          <w:p w14:paraId="2200673F"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Test cases</w:t>
            </w:r>
          </w:p>
        </w:tc>
        <w:tc>
          <w:tcPr>
            <w:tcW w:w="7478" w:type="dxa"/>
            <w:gridSpan w:val="7"/>
            <w:tcBorders>
              <w:left w:val="double" w:sz="4" w:space="0" w:color="auto"/>
            </w:tcBorders>
            <w:vAlign w:val="center"/>
          </w:tcPr>
          <w:p w14:paraId="0485A88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 xml:space="preserve">90%tile 2D positioning errors [m] based on </w:t>
            </w:r>
            <w:r w:rsidRPr="00877631">
              <w:rPr>
                <w:rFonts w:cs="Arial"/>
                <w:b/>
                <w:bCs/>
                <w:color w:val="000000"/>
                <w:szCs w:val="20"/>
              </w:rPr>
              <w:t>12.5 MHz RS bandwidth</w:t>
            </w:r>
          </w:p>
        </w:tc>
      </w:tr>
      <w:tr w:rsidR="00FD0107" w:rsidRPr="002432CB" w14:paraId="45A00860" w14:textId="77777777" w:rsidTr="005E7756">
        <w:tc>
          <w:tcPr>
            <w:tcW w:w="1054" w:type="dxa"/>
            <w:vMerge w:val="restart"/>
            <w:vAlign w:val="center"/>
          </w:tcPr>
          <w:p w14:paraId="0157C129" w14:textId="77777777" w:rsidR="00FD0107" w:rsidRPr="00013A41" w:rsidRDefault="00FD0107" w:rsidP="005E7756">
            <w:pPr>
              <w:spacing w:before="40" w:after="40"/>
              <w:jc w:val="center"/>
              <w:rPr>
                <w:rFonts w:eastAsia="DengXian" w:cs="Arial"/>
                <w:color w:val="000000"/>
                <w:sz w:val="20"/>
                <w:szCs w:val="20"/>
              </w:rPr>
            </w:pPr>
          </w:p>
        </w:tc>
        <w:tc>
          <w:tcPr>
            <w:tcW w:w="718" w:type="dxa"/>
            <w:vMerge w:val="restart"/>
            <w:vAlign w:val="center"/>
          </w:tcPr>
          <w:p w14:paraId="1E99F48C" w14:textId="77777777" w:rsidR="00FD0107" w:rsidRPr="00013A41"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2" w:type="dxa"/>
            <w:vMerge w:val="restart"/>
            <w:tcBorders>
              <w:right w:val="double" w:sz="4" w:space="0" w:color="auto"/>
            </w:tcBorders>
            <w:vAlign w:val="center"/>
          </w:tcPr>
          <w:p w14:paraId="1347709C" w14:textId="77777777" w:rsidR="00FD0107" w:rsidRPr="00013A41" w:rsidRDefault="009C13C0"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478" w:type="dxa"/>
            <w:gridSpan w:val="7"/>
            <w:vAlign w:val="center"/>
          </w:tcPr>
          <w:p w14:paraId="36B7D62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Different number of TRPs</w:t>
            </w:r>
          </w:p>
        </w:tc>
      </w:tr>
      <w:tr w:rsidR="00FD0107" w:rsidRPr="002432CB" w14:paraId="18D184D0" w14:textId="77777777" w:rsidTr="005E7756">
        <w:tc>
          <w:tcPr>
            <w:tcW w:w="1054" w:type="dxa"/>
            <w:vMerge/>
            <w:tcBorders>
              <w:bottom w:val="double" w:sz="4" w:space="0" w:color="auto"/>
            </w:tcBorders>
            <w:vAlign w:val="center"/>
          </w:tcPr>
          <w:p w14:paraId="276E1774" w14:textId="77777777" w:rsidR="00FD0107" w:rsidRPr="00013A41" w:rsidRDefault="00FD0107" w:rsidP="005E7756">
            <w:pPr>
              <w:spacing w:before="40" w:after="40"/>
              <w:jc w:val="center"/>
              <w:rPr>
                <w:rFonts w:cs="Arial"/>
                <w:color w:val="000000"/>
                <w:sz w:val="20"/>
                <w:szCs w:val="20"/>
              </w:rPr>
            </w:pPr>
          </w:p>
        </w:tc>
        <w:tc>
          <w:tcPr>
            <w:tcW w:w="718" w:type="dxa"/>
            <w:vMerge/>
            <w:tcBorders>
              <w:bottom w:val="double" w:sz="4" w:space="0" w:color="auto"/>
            </w:tcBorders>
            <w:vAlign w:val="center"/>
          </w:tcPr>
          <w:p w14:paraId="4586890B" w14:textId="77777777" w:rsidR="00FD0107" w:rsidRPr="00013A41" w:rsidRDefault="00FD0107" w:rsidP="005E7756">
            <w:pPr>
              <w:spacing w:before="40" w:after="40"/>
              <w:jc w:val="center"/>
              <w:rPr>
                <w:rFonts w:cs="Arial"/>
                <w:color w:val="000000"/>
                <w:sz w:val="20"/>
                <w:szCs w:val="20"/>
              </w:rPr>
            </w:pPr>
          </w:p>
        </w:tc>
        <w:tc>
          <w:tcPr>
            <w:tcW w:w="712" w:type="dxa"/>
            <w:vMerge/>
            <w:tcBorders>
              <w:bottom w:val="double" w:sz="4" w:space="0" w:color="auto"/>
              <w:right w:val="double" w:sz="4" w:space="0" w:color="auto"/>
            </w:tcBorders>
            <w:vAlign w:val="center"/>
          </w:tcPr>
          <w:p w14:paraId="554444E9" w14:textId="77777777" w:rsidR="00FD0107" w:rsidRPr="00013A41" w:rsidRDefault="00FD0107" w:rsidP="005E7756">
            <w:pPr>
              <w:spacing w:before="40" w:after="40"/>
              <w:jc w:val="center"/>
              <w:rPr>
                <w:rFonts w:cs="Arial"/>
                <w:color w:val="000000"/>
                <w:sz w:val="20"/>
                <w:szCs w:val="20"/>
              </w:rPr>
            </w:pPr>
          </w:p>
        </w:tc>
        <w:tc>
          <w:tcPr>
            <w:tcW w:w="1076" w:type="dxa"/>
            <w:tcBorders>
              <w:bottom w:val="double" w:sz="4" w:space="0" w:color="auto"/>
            </w:tcBorders>
            <w:vAlign w:val="center"/>
          </w:tcPr>
          <w:p w14:paraId="37147749"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18</w:t>
            </w:r>
          </w:p>
        </w:tc>
        <w:tc>
          <w:tcPr>
            <w:tcW w:w="1076" w:type="dxa"/>
            <w:tcBorders>
              <w:bottom w:val="double" w:sz="4" w:space="0" w:color="auto"/>
            </w:tcBorders>
            <w:vAlign w:val="center"/>
          </w:tcPr>
          <w:p w14:paraId="273100CA"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15</w:t>
            </w:r>
          </w:p>
        </w:tc>
        <w:tc>
          <w:tcPr>
            <w:tcW w:w="1077" w:type="dxa"/>
            <w:tcBorders>
              <w:bottom w:val="double" w:sz="4" w:space="0" w:color="auto"/>
            </w:tcBorders>
            <w:vAlign w:val="center"/>
          </w:tcPr>
          <w:p w14:paraId="1DF813FC"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12</w:t>
            </w:r>
          </w:p>
        </w:tc>
        <w:tc>
          <w:tcPr>
            <w:tcW w:w="1062" w:type="dxa"/>
            <w:tcBorders>
              <w:bottom w:val="double" w:sz="4" w:space="0" w:color="auto"/>
            </w:tcBorders>
            <w:vAlign w:val="center"/>
          </w:tcPr>
          <w:p w14:paraId="512372C7"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9</w:t>
            </w:r>
          </w:p>
        </w:tc>
        <w:tc>
          <w:tcPr>
            <w:tcW w:w="1062" w:type="dxa"/>
            <w:tcBorders>
              <w:bottom w:val="double" w:sz="4" w:space="0" w:color="auto"/>
            </w:tcBorders>
            <w:vAlign w:val="center"/>
          </w:tcPr>
          <w:p w14:paraId="57F71A07"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6</w:t>
            </w:r>
          </w:p>
        </w:tc>
        <w:tc>
          <w:tcPr>
            <w:tcW w:w="1062" w:type="dxa"/>
            <w:tcBorders>
              <w:bottom w:val="double" w:sz="4" w:space="0" w:color="auto"/>
            </w:tcBorders>
            <w:vAlign w:val="center"/>
          </w:tcPr>
          <w:p w14:paraId="3DAE614D"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4</w:t>
            </w:r>
          </w:p>
        </w:tc>
        <w:tc>
          <w:tcPr>
            <w:tcW w:w="1063" w:type="dxa"/>
            <w:tcBorders>
              <w:bottom w:val="double" w:sz="4" w:space="0" w:color="auto"/>
            </w:tcBorders>
            <w:vAlign w:val="center"/>
          </w:tcPr>
          <w:p w14:paraId="65D789E2"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w:t>
            </w:r>
          </w:p>
        </w:tc>
      </w:tr>
      <w:tr w:rsidR="00FD0107" w:rsidRPr="002432CB" w14:paraId="13ECFE3D" w14:textId="77777777" w:rsidTr="005E7756">
        <w:tc>
          <w:tcPr>
            <w:tcW w:w="1054" w:type="dxa"/>
            <w:vMerge w:val="restart"/>
            <w:vAlign w:val="center"/>
          </w:tcPr>
          <w:p w14:paraId="38E0CDA5"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Sample-based reporting</w:t>
            </w:r>
          </w:p>
        </w:tc>
        <w:tc>
          <w:tcPr>
            <w:tcW w:w="718" w:type="dxa"/>
            <w:vAlign w:val="center"/>
          </w:tcPr>
          <w:p w14:paraId="233E019E"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top w:val="double" w:sz="4" w:space="0" w:color="auto"/>
              <w:right w:val="double" w:sz="4" w:space="0" w:color="auto"/>
            </w:tcBorders>
            <w:vAlign w:val="center"/>
          </w:tcPr>
          <w:p w14:paraId="1CD0D99A"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vAlign w:val="center"/>
          </w:tcPr>
          <w:p w14:paraId="13389C3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0.99</w:t>
            </w:r>
          </w:p>
        </w:tc>
        <w:tc>
          <w:tcPr>
            <w:tcW w:w="1076" w:type="dxa"/>
            <w:vAlign w:val="center"/>
          </w:tcPr>
          <w:p w14:paraId="7DCD0D4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1.15</w:t>
            </w:r>
          </w:p>
        </w:tc>
        <w:tc>
          <w:tcPr>
            <w:tcW w:w="1077" w:type="dxa"/>
            <w:vAlign w:val="center"/>
          </w:tcPr>
          <w:p w14:paraId="3E83DC0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1.28</w:t>
            </w:r>
          </w:p>
        </w:tc>
        <w:tc>
          <w:tcPr>
            <w:tcW w:w="1062" w:type="dxa"/>
            <w:vAlign w:val="center"/>
          </w:tcPr>
          <w:p w14:paraId="639BB94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1.43</w:t>
            </w:r>
          </w:p>
        </w:tc>
        <w:tc>
          <w:tcPr>
            <w:tcW w:w="1062" w:type="dxa"/>
            <w:vAlign w:val="center"/>
          </w:tcPr>
          <w:p w14:paraId="681EB08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2.01</w:t>
            </w:r>
          </w:p>
        </w:tc>
        <w:tc>
          <w:tcPr>
            <w:tcW w:w="1062" w:type="dxa"/>
            <w:vAlign w:val="center"/>
          </w:tcPr>
          <w:p w14:paraId="7C66200C"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3.02</w:t>
            </w:r>
          </w:p>
        </w:tc>
        <w:tc>
          <w:tcPr>
            <w:tcW w:w="1063" w:type="dxa"/>
            <w:vAlign w:val="center"/>
          </w:tcPr>
          <w:p w14:paraId="74E86EBB"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4.55</w:t>
            </w:r>
          </w:p>
        </w:tc>
      </w:tr>
      <w:tr w:rsidR="00FD0107" w:rsidRPr="002432CB" w14:paraId="3974EB4D" w14:textId="77777777" w:rsidTr="005E7756">
        <w:tc>
          <w:tcPr>
            <w:tcW w:w="1054" w:type="dxa"/>
            <w:vMerge/>
            <w:vAlign w:val="center"/>
          </w:tcPr>
          <w:p w14:paraId="05E218D8" w14:textId="77777777" w:rsidR="00FD0107" w:rsidRPr="00013A41" w:rsidRDefault="00FD0107" w:rsidP="005E7756">
            <w:pPr>
              <w:spacing w:before="40" w:after="40"/>
              <w:jc w:val="center"/>
              <w:rPr>
                <w:rFonts w:cs="Arial"/>
                <w:color w:val="000000"/>
                <w:sz w:val="20"/>
                <w:szCs w:val="20"/>
              </w:rPr>
            </w:pPr>
          </w:p>
        </w:tc>
        <w:tc>
          <w:tcPr>
            <w:tcW w:w="718" w:type="dxa"/>
            <w:tcBorders>
              <w:bottom w:val="double" w:sz="4" w:space="0" w:color="auto"/>
            </w:tcBorders>
            <w:vAlign w:val="center"/>
          </w:tcPr>
          <w:p w14:paraId="4DDFD02A"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bottom w:val="double" w:sz="4" w:space="0" w:color="auto"/>
              <w:right w:val="double" w:sz="4" w:space="0" w:color="auto"/>
            </w:tcBorders>
            <w:vAlign w:val="center"/>
          </w:tcPr>
          <w:p w14:paraId="1E41AFDB"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tcBorders>
              <w:bottom w:val="double" w:sz="4" w:space="0" w:color="auto"/>
            </w:tcBorders>
            <w:vAlign w:val="center"/>
          </w:tcPr>
          <w:p w14:paraId="59041AC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1.24</w:t>
            </w:r>
          </w:p>
        </w:tc>
        <w:tc>
          <w:tcPr>
            <w:tcW w:w="1076" w:type="dxa"/>
            <w:tcBorders>
              <w:bottom w:val="double" w:sz="4" w:space="0" w:color="auto"/>
            </w:tcBorders>
            <w:vAlign w:val="center"/>
          </w:tcPr>
          <w:p w14:paraId="0D853E29"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1.33</w:t>
            </w:r>
          </w:p>
        </w:tc>
        <w:tc>
          <w:tcPr>
            <w:tcW w:w="1077" w:type="dxa"/>
            <w:tcBorders>
              <w:bottom w:val="double" w:sz="4" w:space="0" w:color="auto"/>
            </w:tcBorders>
            <w:vAlign w:val="center"/>
          </w:tcPr>
          <w:p w14:paraId="4BAE5EE5"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1.52</w:t>
            </w:r>
          </w:p>
        </w:tc>
        <w:tc>
          <w:tcPr>
            <w:tcW w:w="1062" w:type="dxa"/>
            <w:tcBorders>
              <w:bottom w:val="double" w:sz="4" w:space="0" w:color="auto"/>
            </w:tcBorders>
            <w:vAlign w:val="center"/>
          </w:tcPr>
          <w:p w14:paraId="7B7B5346"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1.62</w:t>
            </w:r>
          </w:p>
        </w:tc>
        <w:tc>
          <w:tcPr>
            <w:tcW w:w="1062" w:type="dxa"/>
            <w:tcBorders>
              <w:bottom w:val="double" w:sz="4" w:space="0" w:color="auto"/>
            </w:tcBorders>
            <w:vAlign w:val="center"/>
          </w:tcPr>
          <w:p w14:paraId="4536ADB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2.27</w:t>
            </w:r>
          </w:p>
        </w:tc>
        <w:tc>
          <w:tcPr>
            <w:tcW w:w="1062" w:type="dxa"/>
            <w:tcBorders>
              <w:bottom w:val="double" w:sz="4" w:space="0" w:color="auto"/>
            </w:tcBorders>
            <w:vAlign w:val="center"/>
          </w:tcPr>
          <w:p w14:paraId="5DB27CE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3.17</w:t>
            </w:r>
          </w:p>
        </w:tc>
        <w:tc>
          <w:tcPr>
            <w:tcW w:w="1063" w:type="dxa"/>
            <w:tcBorders>
              <w:bottom w:val="double" w:sz="4" w:space="0" w:color="auto"/>
            </w:tcBorders>
            <w:vAlign w:val="center"/>
          </w:tcPr>
          <w:p w14:paraId="236D76D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4.91</w:t>
            </w:r>
          </w:p>
        </w:tc>
      </w:tr>
      <w:tr w:rsidR="00FD0107" w:rsidRPr="002432CB" w14:paraId="7AB94D3A" w14:textId="77777777" w:rsidTr="005E7756">
        <w:tc>
          <w:tcPr>
            <w:tcW w:w="1054" w:type="dxa"/>
            <w:vMerge/>
            <w:vAlign w:val="center"/>
          </w:tcPr>
          <w:p w14:paraId="5573B09A" w14:textId="77777777" w:rsidR="00FD0107" w:rsidRPr="00013A41" w:rsidRDefault="00FD0107" w:rsidP="005E7756">
            <w:pPr>
              <w:spacing w:before="40" w:after="40"/>
              <w:jc w:val="center"/>
              <w:rPr>
                <w:rFonts w:cs="Arial"/>
                <w:color w:val="000000"/>
                <w:sz w:val="20"/>
                <w:szCs w:val="20"/>
              </w:rPr>
            </w:pPr>
          </w:p>
        </w:tc>
        <w:tc>
          <w:tcPr>
            <w:tcW w:w="718" w:type="dxa"/>
            <w:vAlign w:val="center"/>
          </w:tcPr>
          <w:p w14:paraId="524AF6A9"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right w:val="double" w:sz="4" w:space="0" w:color="auto"/>
            </w:tcBorders>
            <w:vAlign w:val="center"/>
          </w:tcPr>
          <w:p w14:paraId="20E58EC2"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vAlign w:val="center"/>
          </w:tcPr>
          <w:p w14:paraId="21A2686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1.13</w:t>
            </w:r>
          </w:p>
        </w:tc>
        <w:tc>
          <w:tcPr>
            <w:tcW w:w="1076" w:type="dxa"/>
            <w:vAlign w:val="center"/>
          </w:tcPr>
          <w:p w14:paraId="6E8B9BD8"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1.29</w:t>
            </w:r>
          </w:p>
        </w:tc>
        <w:tc>
          <w:tcPr>
            <w:tcW w:w="1077" w:type="dxa"/>
            <w:vAlign w:val="center"/>
          </w:tcPr>
          <w:p w14:paraId="7CE68D4C"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1.50</w:t>
            </w:r>
          </w:p>
        </w:tc>
        <w:tc>
          <w:tcPr>
            <w:tcW w:w="1062" w:type="dxa"/>
            <w:vAlign w:val="center"/>
          </w:tcPr>
          <w:p w14:paraId="33C7A91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1.67</w:t>
            </w:r>
          </w:p>
        </w:tc>
        <w:tc>
          <w:tcPr>
            <w:tcW w:w="1062" w:type="dxa"/>
            <w:vAlign w:val="center"/>
          </w:tcPr>
          <w:p w14:paraId="0DAF141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2.19</w:t>
            </w:r>
          </w:p>
        </w:tc>
        <w:tc>
          <w:tcPr>
            <w:tcW w:w="1062" w:type="dxa"/>
            <w:vAlign w:val="center"/>
          </w:tcPr>
          <w:p w14:paraId="10A2F221"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3.46</w:t>
            </w:r>
          </w:p>
        </w:tc>
        <w:tc>
          <w:tcPr>
            <w:tcW w:w="1063" w:type="dxa"/>
            <w:vAlign w:val="center"/>
          </w:tcPr>
          <w:p w14:paraId="562F96C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4.95</w:t>
            </w:r>
          </w:p>
        </w:tc>
      </w:tr>
      <w:tr w:rsidR="00FD0107" w:rsidRPr="002432CB" w14:paraId="72086D76" w14:textId="77777777" w:rsidTr="005E7756">
        <w:tc>
          <w:tcPr>
            <w:tcW w:w="1054" w:type="dxa"/>
            <w:vMerge/>
            <w:tcBorders>
              <w:bottom w:val="double" w:sz="4" w:space="0" w:color="auto"/>
            </w:tcBorders>
            <w:vAlign w:val="center"/>
          </w:tcPr>
          <w:p w14:paraId="31D49598" w14:textId="77777777" w:rsidR="00FD0107" w:rsidRPr="00013A41" w:rsidRDefault="00FD0107" w:rsidP="005E7756">
            <w:pPr>
              <w:spacing w:before="40" w:after="40"/>
              <w:jc w:val="center"/>
              <w:rPr>
                <w:rFonts w:cs="Arial"/>
                <w:color w:val="000000"/>
                <w:sz w:val="20"/>
                <w:szCs w:val="20"/>
              </w:rPr>
            </w:pPr>
          </w:p>
        </w:tc>
        <w:tc>
          <w:tcPr>
            <w:tcW w:w="718" w:type="dxa"/>
            <w:tcBorders>
              <w:bottom w:val="double" w:sz="4" w:space="0" w:color="auto"/>
            </w:tcBorders>
            <w:vAlign w:val="center"/>
          </w:tcPr>
          <w:p w14:paraId="437BB4DF"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bottom w:val="double" w:sz="4" w:space="0" w:color="auto"/>
              <w:right w:val="double" w:sz="4" w:space="0" w:color="auto"/>
            </w:tcBorders>
            <w:vAlign w:val="center"/>
          </w:tcPr>
          <w:p w14:paraId="7BD6A1E1"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tcBorders>
              <w:bottom w:val="double" w:sz="4" w:space="0" w:color="auto"/>
            </w:tcBorders>
            <w:vAlign w:val="center"/>
          </w:tcPr>
          <w:p w14:paraId="740D30E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1.26</w:t>
            </w:r>
          </w:p>
        </w:tc>
        <w:tc>
          <w:tcPr>
            <w:tcW w:w="1076" w:type="dxa"/>
            <w:tcBorders>
              <w:bottom w:val="double" w:sz="4" w:space="0" w:color="auto"/>
            </w:tcBorders>
            <w:vAlign w:val="center"/>
          </w:tcPr>
          <w:p w14:paraId="39199A48"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1.37</w:t>
            </w:r>
          </w:p>
        </w:tc>
        <w:tc>
          <w:tcPr>
            <w:tcW w:w="1077" w:type="dxa"/>
            <w:tcBorders>
              <w:bottom w:val="double" w:sz="4" w:space="0" w:color="auto"/>
            </w:tcBorders>
            <w:vAlign w:val="center"/>
          </w:tcPr>
          <w:p w14:paraId="264094F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1.61</w:t>
            </w:r>
          </w:p>
        </w:tc>
        <w:tc>
          <w:tcPr>
            <w:tcW w:w="1062" w:type="dxa"/>
            <w:tcBorders>
              <w:bottom w:val="double" w:sz="4" w:space="0" w:color="auto"/>
            </w:tcBorders>
            <w:vAlign w:val="center"/>
          </w:tcPr>
          <w:p w14:paraId="169EEB1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1.82</w:t>
            </w:r>
          </w:p>
        </w:tc>
        <w:tc>
          <w:tcPr>
            <w:tcW w:w="1062" w:type="dxa"/>
            <w:tcBorders>
              <w:bottom w:val="double" w:sz="4" w:space="0" w:color="auto"/>
            </w:tcBorders>
            <w:vAlign w:val="center"/>
          </w:tcPr>
          <w:p w14:paraId="69AECA9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2.38</w:t>
            </w:r>
          </w:p>
        </w:tc>
        <w:tc>
          <w:tcPr>
            <w:tcW w:w="1062" w:type="dxa"/>
            <w:tcBorders>
              <w:bottom w:val="double" w:sz="4" w:space="0" w:color="auto"/>
            </w:tcBorders>
            <w:vAlign w:val="center"/>
          </w:tcPr>
          <w:p w14:paraId="719FFEBD"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3.44</w:t>
            </w:r>
          </w:p>
        </w:tc>
        <w:tc>
          <w:tcPr>
            <w:tcW w:w="1063" w:type="dxa"/>
            <w:tcBorders>
              <w:bottom w:val="double" w:sz="4" w:space="0" w:color="auto"/>
            </w:tcBorders>
            <w:vAlign w:val="center"/>
          </w:tcPr>
          <w:p w14:paraId="21FC95B8"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5.13</w:t>
            </w:r>
          </w:p>
        </w:tc>
      </w:tr>
      <w:tr w:rsidR="00FD0107" w:rsidRPr="002432CB" w14:paraId="55E44438" w14:textId="77777777" w:rsidTr="005E7756">
        <w:tc>
          <w:tcPr>
            <w:tcW w:w="1054" w:type="dxa"/>
            <w:vMerge w:val="restart"/>
            <w:tcBorders>
              <w:top w:val="double" w:sz="4" w:space="0" w:color="auto"/>
            </w:tcBorders>
            <w:vAlign w:val="center"/>
          </w:tcPr>
          <w:p w14:paraId="485C3BD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Path-based reporting</w:t>
            </w:r>
          </w:p>
        </w:tc>
        <w:tc>
          <w:tcPr>
            <w:tcW w:w="718" w:type="dxa"/>
            <w:tcBorders>
              <w:top w:val="double" w:sz="4" w:space="0" w:color="auto"/>
            </w:tcBorders>
            <w:vAlign w:val="center"/>
          </w:tcPr>
          <w:p w14:paraId="1571214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top w:val="double" w:sz="4" w:space="0" w:color="auto"/>
              <w:right w:val="double" w:sz="4" w:space="0" w:color="auto"/>
            </w:tcBorders>
            <w:vAlign w:val="center"/>
          </w:tcPr>
          <w:p w14:paraId="301700D4"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tcBorders>
              <w:top w:val="double" w:sz="4" w:space="0" w:color="auto"/>
              <w:left w:val="double" w:sz="4" w:space="0" w:color="auto"/>
            </w:tcBorders>
            <w:vAlign w:val="center"/>
          </w:tcPr>
          <w:p w14:paraId="7D87A2E6"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1.47</w:t>
            </w:r>
          </w:p>
        </w:tc>
        <w:tc>
          <w:tcPr>
            <w:tcW w:w="1076" w:type="dxa"/>
            <w:tcBorders>
              <w:top w:val="double" w:sz="4" w:space="0" w:color="auto"/>
            </w:tcBorders>
            <w:vAlign w:val="center"/>
          </w:tcPr>
          <w:p w14:paraId="5781423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1.68</w:t>
            </w:r>
          </w:p>
        </w:tc>
        <w:tc>
          <w:tcPr>
            <w:tcW w:w="1077" w:type="dxa"/>
            <w:tcBorders>
              <w:top w:val="double" w:sz="4" w:space="0" w:color="auto"/>
            </w:tcBorders>
            <w:vAlign w:val="center"/>
          </w:tcPr>
          <w:p w14:paraId="14D74BEC"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1.84</w:t>
            </w:r>
          </w:p>
        </w:tc>
        <w:tc>
          <w:tcPr>
            <w:tcW w:w="1062" w:type="dxa"/>
            <w:tcBorders>
              <w:top w:val="double" w:sz="4" w:space="0" w:color="auto"/>
            </w:tcBorders>
            <w:vAlign w:val="center"/>
          </w:tcPr>
          <w:p w14:paraId="228858D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2.33</w:t>
            </w:r>
          </w:p>
        </w:tc>
        <w:tc>
          <w:tcPr>
            <w:tcW w:w="1062" w:type="dxa"/>
            <w:tcBorders>
              <w:top w:val="double" w:sz="4" w:space="0" w:color="auto"/>
            </w:tcBorders>
            <w:vAlign w:val="center"/>
          </w:tcPr>
          <w:p w14:paraId="63C48A6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3.50</w:t>
            </w:r>
          </w:p>
        </w:tc>
        <w:tc>
          <w:tcPr>
            <w:tcW w:w="1062" w:type="dxa"/>
            <w:tcBorders>
              <w:top w:val="double" w:sz="4" w:space="0" w:color="auto"/>
            </w:tcBorders>
            <w:vAlign w:val="center"/>
          </w:tcPr>
          <w:p w14:paraId="05FEF6B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5.75</w:t>
            </w:r>
          </w:p>
        </w:tc>
        <w:tc>
          <w:tcPr>
            <w:tcW w:w="1063" w:type="dxa"/>
            <w:tcBorders>
              <w:top w:val="double" w:sz="4" w:space="0" w:color="auto"/>
            </w:tcBorders>
            <w:vAlign w:val="center"/>
          </w:tcPr>
          <w:p w14:paraId="214B03F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8.35</w:t>
            </w:r>
          </w:p>
        </w:tc>
      </w:tr>
      <w:tr w:rsidR="00FD0107" w:rsidRPr="002432CB" w14:paraId="6AD54AB5" w14:textId="77777777" w:rsidTr="005E7756">
        <w:tc>
          <w:tcPr>
            <w:tcW w:w="1054" w:type="dxa"/>
            <w:vMerge/>
            <w:vAlign w:val="center"/>
          </w:tcPr>
          <w:p w14:paraId="3119ED3D" w14:textId="77777777" w:rsidR="00FD0107" w:rsidRPr="00013A41" w:rsidRDefault="00FD0107" w:rsidP="005E7756">
            <w:pPr>
              <w:spacing w:before="40" w:after="40"/>
              <w:jc w:val="center"/>
              <w:rPr>
                <w:rFonts w:cs="Arial"/>
                <w:color w:val="000000"/>
                <w:sz w:val="20"/>
                <w:szCs w:val="20"/>
              </w:rPr>
            </w:pPr>
          </w:p>
        </w:tc>
        <w:tc>
          <w:tcPr>
            <w:tcW w:w="718" w:type="dxa"/>
            <w:tcBorders>
              <w:bottom w:val="double" w:sz="4" w:space="0" w:color="auto"/>
            </w:tcBorders>
            <w:vAlign w:val="center"/>
          </w:tcPr>
          <w:p w14:paraId="4AAF0F48"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bottom w:val="double" w:sz="4" w:space="0" w:color="auto"/>
              <w:right w:val="double" w:sz="4" w:space="0" w:color="auto"/>
            </w:tcBorders>
            <w:vAlign w:val="center"/>
          </w:tcPr>
          <w:p w14:paraId="38EA19FE"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tcBorders>
              <w:left w:val="double" w:sz="4" w:space="0" w:color="auto"/>
              <w:bottom w:val="double" w:sz="4" w:space="0" w:color="auto"/>
            </w:tcBorders>
            <w:vAlign w:val="center"/>
          </w:tcPr>
          <w:p w14:paraId="07F4012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1.85</w:t>
            </w:r>
          </w:p>
        </w:tc>
        <w:tc>
          <w:tcPr>
            <w:tcW w:w="1076" w:type="dxa"/>
            <w:tcBorders>
              <w:bottom w:val="double" w:sz="4" w:space="0" w:color="auto"/>
            </w:tcBorders>
            <w:vAlign w:val="center"/>
          </w:tcPr>
          <w:p w14:paraId="36DC69B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2.05</w:t>
            </w:r>
          </w:p>
        </w:tc>
        <w:tc>
          <w:tcPr>
            <w:tcW w:w="1077" w:type="dxa"/>
            <w:tcBorders>
              <w:bottom w:val="double" w:sz="4" w:space="0" w:color="auto"/>
            </w:tcBorders>
            <w:vAlign w:val="center"/>
          </w:tcPr>
          <w:p w14:paraId="40D06EB1"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2.31</w:t>
            </w:r>
          </w:p>
        </w:tc>
        <w:tc>
          <w:tcPr>
            <w:tcW w:w="1062" w:type="dxa"/>
            <w:tcBorders>
              <w:bottom w:val="double" w:sz="4" w:space="0" w:color="auto"/>
            </w:tcBorders>
            <w:vAlign w:val="center"/>
          </w:tcPr>
          <w:p w14:paraId="173354A5"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2.79</w:t>
            </w:r>
          </w:p>
        </w:tc>
        <w:tc>
          <w:tcPr>
            <w:tcW w:w="1062" w:type="dxa"/>
            <w:tcBorders>
              <w:bottom w:val="double" w:sz="4" w:space="0" w:color="auto"/>
            </w:tcBorders>
            <w:vAlign w:val="center"/>
          </w:tcPr>
          <w:p w14:paraId="2742F75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4.08</w:t>
            </w:r>
          </w:p>
        </w:tc>
        <w:tc>
          <w:tcPr>
            <w:tcW w:w="1062" w:type="dxa"/>
            <w:tcBorders>
              <w:bottom w:val="double" w:sz="4" w:space="0" w:color="auto"/>
            </w:tcBorders>
            <w:vAlign w:val="center"/>
          </w:tcPr>
          <w:p w14:paraId="4F177D5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6.44</w:t>
            </w:r>
          </w:p>
        </w:tc>
        <w:tc>
          <w:tcPr>
            <w:tcW w:w="1063" w:type="dxa"/>
            <w:tcBorders>
              <w:bottom w:val="double" w:sz="4" w:space="0" w:color="auto"/>
            </w:tcBorders>
            <w:vAlign w:val="center"/>
          </w:tcPr>
          <w:p w14:paraId="532FC63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9.08</w:t>
            </w:r>
          </w:p>
        </w:tc>
      </w:tr>
      <w:tr w:rsidR="00FD0107" w:rsidRPr="002432CB" w14:paraId="6AD9632C" w14:textId="77777777" w:rsidTr="005E7756">
        <w:tc>
          <w:tcPr>
            <w:tcW w:w="1054" w:type="dxa"/>
            <w:vMerge/>
            <w:vAlign w:val="center"/>
          </w:tcPr>
          <w:p w14:paraId="139FEA35" w14:textId="77777777" w:rsidR="00FD0107" w:rsidRPr="00013A41" w:rsidRDefault="00FD0107" w:rsidP="005E7756">
            <w:pPr>
              <w:spacing w:before="40" w:after="40"/>
              <w:jc w:val="center"/>
              <w:rPr>
                <w:rFonts w:cs="Arial"/>
                <w:color w:val="000000"/>
                <w:sz w:val="20"/>
                <w:szCs w:val="20"/>
              </w:rPr>
            </w:pPr>
          </w:p>
        </w:tc>
        <w:tc>
          <w:tcPr>
            <w:tcW w:w="718" w:type="dxa"/>
            <w:tcBorders>
              <w:top w:val="double" w:sz="4" w:space="0" w:color="auto"/>
            </w:tcBorders>
            <w:vAlign w:val="center"/>
          </w:tcPr>
          <w:p w14:paraId="78E8AED2"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top w:val="double" w:sz="4" w:space="0" w:color="auto"/>
              <w:right w:val="double" w:sz="4" w:space="0" w:color="auto"/>
            </w:tcBorders>
            <w:vAlign w:val="center"/>
          </w:tcPr>
          <w:p w14:paraId="118797A4"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tcBorders>
              <w:top w:val="double" w:sz="4" w:space="0" w:color="auto"/>
              <w:left w:val="double" w:sz="4" w:space="0" w:color="auto"/>
            </w:tcBorders>
            <w:vAlign w:val="center"/>
          </w:tcPr>
          <w:p w14:paraId="19D1310B"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1.42</w:t>
            </w:r>
          </w:p>
        </w:tc>
        <w:tc>
          <w:tcPr>
            <w:tcW w:w="1076" w:type="dxa"/>
            <w:tcBorders>
              <w:top w:val="double" w:sz="4" w:space="0" w:color="auto"/>
            </w:tcBorders>
            <w:vAlign w:val="center"/>
          </w:tcPr>
          <w:p w14:paraId="09532AE5"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1.68</w:t>
            </w:r>
          </w:p>
        </w:tc>
        <w:tc>
          <w:tcPr>
            <w:tcW w:w="1077" w:type="dxa"/>
            <w:tcBorders>
              <w:top w:val="double" w:sz="4" w:space="0" w:color="auto"/>
            </w:tcBorders>
            <w:vAlign w:val="center"/>
          </w:tcPr>
          <w:p w14:paraId="56A159F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1.93</w:t>
            </w:r>
          </w:p>
        </w:tc>
        <w:tc>
          <w:tcPr>
            <w:tcW w:w="1062" w:type="dxa"/>
            <w:tcBorders>
              <w:top w:val="double" w:sz="4" w:space="0" w:color="auto"/>
            </w:tcBorders>
            <w:vAlign w:val="center"/>
          </w:tcPr>
          <w:p w14:paraId="07067E6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2.34</w:t>
            </w:r>
          </w:p>
        </w:tc>
        <w:tc>
          <w:tcPr>
            <w:tcW w:w="1062" w:type="dxa"/>
            <w:tcBorders>
              <w:top w:val="double" w:sz="4" w:space="0" w:color="auto"/>
            </w:tcBorders>
            <w:vAlign w:val="center"/>
          </w:tcPr>
          <w:p w14:paraId="1F2CFFE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3.71</w:t>
            </w:r>
          </w:p>
        </w:tc>
        <w:tc>
          <w:tcPr>
            <w:tcW w:w="1062" w:type="dxa"/>
            <w:tcBorders>
              <w:top w:val="double" w:sz="4" w:space="0" w:color="auto"/>
            </w:tcBorders>
            <w:vAlign w:val="center"/>
          </w:tcPr>
          <w:p w14:paraId="1C630942"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5.80</w:t>
            </w:r>
          </w:p>
        </w:tc>
        <w:tc>
          <w:tcPr>
            <w:tcW w:w="1063" w:type="dxa"/>
            <w:tcBorders>
              <w:top w:val="double" w:sz="4" w:space="0" w:color="auto"/>
            </w:tcBorders>
            <w:vAlign w:val="center"/>
          </w:tcPr>
          <w:p w14:paraId="1E66DA82"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8.36</w:t>
            </w:r>
          </w:p>
        </w:tc>
      </w:tr>
      <w:tr w:rsidR="00FD0107" w:rsidRPr="002432CB" w14:paraId="0E9B7151" w14:textId="77777777" w:rsidTr="005E7756">
        <w:tc>
          <w:tcPr>
            <w:tcW w:w="1054" w:type="dxa"/>
            <w:vMerge/>
            <w:vAlign w:val="center"/>
          </w:tcPr>
          <w:p w14:paraId="30BE86CC" w14:textId="77777777" w:rsidR="00FD0107" w:rsidRPr="00013A41" w:rsidRDefault="00FD0107" w:rsidP="005E7756">
            <w:pPr>
              <w:spacing w:before="40" w:after="40"/>
              <w:jc w:val="center"/>
              <w:rPr>
                <w:rFonts w:cs="Arial"/>
                <w:color w:val="000000"/>
                <w:sz w:val="20"/>
                <w:szCs w:val="20"/>
              </w:rPr>
            </w:pPr>
          </w:p>
        </w:tc>
        <w:tc>
          <w:tcPr>
            <w:tcW w:w="718" w:type="dxa"/>
            <w:vAlign w:val="center"/>
          </w:tcPr>
          <w:p w14:paraId="184604AC"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right w:val="double" w:sz="4" w:space="0" w:color="auto"/>
            </w:tcBorders>
            <w:vAlign w:val="center"/>
          </w:tcPr>
          <w:p w14:paraId="512DF5AD"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tcBorders>
              <w:left w:val="double" w:sz="4" w:space="0" w:color="auto"/>
            </w:tcBorders>
            <w:vAlign w:val="center"/>
          </w:tcPr>
          <w:p w14:paraId="6B36DAB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1.90</w:t>
            </w:r>
          </w:p>
        </w:tc>
        <w:tc>
          <w:tcPr>
            <w:tcW w:w="1076" w:type="dxa"/>
            <w:vAlign w:val="center"/>
          </w:tcPr>
          <w:p w14:paraId="32719BC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2.01</w:t>
            </w:r>
          </w:p>
        </w:tc>
        <w:tc>
          <w:tcPr>
            <w:tcW w:w="1077" w:type="dxa"/>
            <w:vAlign w:val="center"/>
          </w:tcPr>
          <w:p w14:paraId="4B71564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2.19</w:t>
            </w:r>
          </w:p>
        </w:tc>
        <w:tc>
          <w:tcPr>
            <w:tcW w:w="1062" w:type="dxa"/>
            <w:vAlign w:val="center"/>
          </w:tcPr>
          <w:p w14:paraId="5608358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2.73</w:t>
            </w:r>
          </w:p>
        </w:tc>
        <w:tc>
          <w:tcPr>
            <w:tcW w:w="1062" w:type="dxa"/>
            <w:vAlign w:val="center"/>
          </w:tcPr>
          <w:p w14:paraId="13FAD51D"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3.91</w:t>
            </w:r>
          </w:p>
        </w:tc>
        <w:tc>
          <w:tcPr>
            <w:tcW w:w="1062" w:type="dxa"/>
            <w:vAlign w:val="center"/>
          </w:tcPr>
          <w:p w14:paraId="18CE752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6.80</w:t>
            </w:r>
          </w:p>
        </w:tc>
        <w:tc>
          <w:tcPr>
            <w:tcW w:w="1063" w:type="dxa"/>
            <w:vAlign w:val="center"/>
          </w:tcPr>
          <w:p w14:paraId="43722FA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8.79</w:t>
            </w:r>
          </w:p>
        </w:tc>
      </w:tr>
    </w:tbl>
    <w:p w14:paraId="49BD62B0" w14:textId="77777777" w:rsidR="00897566" w:rsidRDefault="00897566" w:rsidP="00B94B09">
      <w:pPr>
        <w:rPr>
          <w:lang w:eastAsia="en-GB"/>
        </w:rPr>
      </w:pPr>
    </w:p>
    <w:p w14:paraId="351B09F3" w14:textId="4A5ED6BE" w:rsidR="00897566" w:rsidRDefault="001C5F94" w:rsidP="00B94B09">
      <w:pPr>
        <w:rPr>
          <w:lang w:eastAsia="en-GB"/>
        </w:rPr>
      </w:pPr>
      <w:r>
        <w:rPr>
          <w:lang w:val="x-none"/>
        </w:rPr>
        <w:t xml:space="preserve">A subset of the evaluation results shown in </w:t>
      </w:r>
      <w:r>
        <w:rPr>
          <w:lang w:val="x-none"/>
        </w:rPr>
        <w:fldChar w:fldCharType="begin"/>
      </w:r>
      <w:r>
        <w:rPr>
          <w:lang w:val="x-none"/>
        </w:rPr>
        <w:instrText xml:space="preserve"> REF _Ref173418945 \h </w:instrText>
      </w:r>
      <w:r>
        <w:rPr>
          <w:lang w:val="x-none"/>
        </w:rPr>
      </w:r>
      <w:r>
        <w:rPr>
          <w:lang w:val="x-none"/>
        </w:rPr>
        <w:fldChar w:fldCharType="separate"/>
      </w:r>
      <w:r w:rsidR="00850DA1">
        <w:t xml:space="preserve">Table </w:t>
      </w:r>
      <w:r w:rsidR="00850DA1">
        <w:rPr>
          <w:noProof/>
        </w:rPr>
        <w:t>13</w:t>
      </w:r>
      <w:r>
        <w:rPr>
          <w:lang w:val="x-none"/>
        </w:rPr>
        <w:fldChar w:fldCharType="end"/>
      </w:r>
      <w:r>
        <w:rPr>
          <w:lang w:val="x-none"/>
        </w:rPr>
        <w:t xml:space="preserve"> to </w:t>
      </w:r>
      <w:r>
        <w:rPr>
          <w:lang w:val="x-none"/>
        </w:rPr>
        <w:fldChar w:fldCharType="begin"/>
      </w:r>
      <w:r>
        <w:rPr>
          <w:lang w:val="x-none"/>
        </w:rPr>
        <w:instrText xml:space="preserve"> REF _Ref173418955 \h </w:instrText>
      </w:r>
      <w:r>
        <w:rPr>
          <w:lang w:val="x-none"/>
        </w:rPr>
      </w:r>
      <w:r>
        <w:rPr>
          <w:lang w:val="x-none"/>
        </w:rPr>
        <w:fldChar w:fldCharType="separate"/>
      </w:r>
      <w:r w:rsidR="00850DA1">
        <w:t xml:space="preserve">Table </w:t>
      </w:r>
      <w:r w:rsidR="00850DA1">
        <w:rPr>
          <w:noProof/>
        </w:rPr>
        <w:t>15</w:t>
      </w:r>
      <w:r>
        <w:rPr>
          <w:lang w:val="x-none"/>
        </w:rPr>
        <w:fldChar w:fldCharType="end"/>
      </w:r>
      <w:r>
        <w:rPr>
          <w:lang w:val="x-none"/>
        </w:rPr>
        <w:t xml:space="preserve"> are also plotted in </w:t>
      </w:r>
      <w:r w:rsidR="002C4568">
        <w:rPr>
          <w:lang w:val="x-none"/>
        </w:rPr>
        <w:fldChar w:fldCharType="begin"/>
      </w:r>
      <w:r w:rsidR="002C4568">
        <w:rPr>
          <w:lang w:val="x-none"/>
        </w:rPr>
        <w:instrText xml:space="preserve"> REF _Ref173851220 </w:instrText>
      </w:r>
      <w:r w:rsidR="002C4568">
        <w:rPr>
          <w:lang w:val="x-none"/>
        </w:rPr>
        <w:fldChar w:fldCharType="separate"/>
      </w:r>
      <w:r w:rsidR="00850DA1" w:rsidRPr="00E215F0">
        <w:t xml:space="preserve">Figure </w:t>
      </w:r>
      <w:r w:rsidR="00850DA1">
        <w:rPr>
          <w:noProof/>
        </w:rPr>
        <w:t>13</w:t>
      </w:r>
      <w:r w:rsidR="002C4568">
        <w:rPr>
          <w:lang w:val="x-none"/>
        </w:rPr>
        <w:fldChar w:fldCharType="end"/>
      </w:r>
      <w:r w:rsidR="002C4568">
        <w:rPr>
          <w:lang w:val="x-none"/>
        </w:rPr>
        <w:t xml:space="preserve"> to </w:t>
      </w:r>
      <w:r w:rsidR="002C4568">
        <w:rPr>
          <w:lang w:val="x-none"/>
        </w:rPr>
        <w:fldChar w:fldCharType="begin"/>
      </w:r>
      <w:r w:rsidR="002C4568">
        <w:rPr>
          <w:lang w:val="x-none"/>
        </w:rPr>
        <w:instrText xml:space="preserve"> REF _Ref173851221 </w:instrText>
      </w:r>
      <w:r w:rsidR="002C4568">
        <w:rPr>
          <w:lang w:val="x-none"/>
        </w:rPr>
        <w:fldChar w:fldCharType="separate"/>
      </w:r>
      <w:r w:rsidR="00850DA1" w:rsidRPr="00E215F0">
        <w:t xml:space="preserve">Figure </w:t>
      </w:r>
      <w:r w:rsidR="00850DA1">
        <w:rPr>
          <w:noProof/>
        </w:rPr>
        <w:t>16</w:t>
      </w:r>
      <w:r w:rsidR="002C4568">
        <w:rPr>
          <w:lang w:val="x-none"/>
        </w:rPr>
        <w:fldChar w:fldCharType="end"/>
      </w:r>
      <w:r w:rsidR="002C4568">
        <w:rPr>
          <w:lang w:val="x-none"/>
        </w:rPr>
        <w:t xml:space="preserve">. Each figure show the positioning accuracy achieved of sample-based measurement vs path-based measurement, for a given time window duration and a given </w:t>
      </w:r>
      <m:oMath>
        <m:sSub>
          <m:sSubPr>
            <m:ctrlPr>
              <w:rPr>
                <w:rFonts w:ascii="Cambria Math" w:hAnsi="Cambria Math" w:cs="Arial"/>
                <w:color w:val="000000"/>
              </w:rPr>
            </m:ctrlPr>
          </m:sSubPr>
          <m:e>
            <m:r>
              <w:rPr>
                <w:rFonts w:ascii="Cambria Math" w:hAnsi="Cambria Math" w:cs="Arial"/>
                <w:color w:val="000000"/>
              </w:rPr>
              <m:t>N'</m:t>
            </m:r>
          </m:e>
          <m:sub>
            <m:r>
              <w:rPr>
                <w:rFonts w:ascii="Cambria Math" w:hAnsi="Cambria Math" w:cs="Arial"/>
                <w:color w:val="000000"/>
              </w:rPr>
              <m:t>t</m:t>
            </m:r>
          </m:sub>
        </m:sSub>
      </m:oMath>
      <w:r w:rsidR="002C4568">
        <w:rPr>
          <w:lang w:val="x-none"/>
        </w:rPr>
        <w:t xml:space="preserve"> . </w:t>
      </w:r>
      <w:r w:rsidR="000A598E">
        <w:rPr>
          <w:lang w:val="x-none"/>
        </w:rPr>
        <w:t xml:space="preserve">The evaluation results show a clear advantage of sample-based measurement for a range of RS </w:t>
      </w:r>
      <w:r w:rsidR="000A598E">
        <w:rPr>
          <w:lang w:val="x-none"/>
        </w:rPr>
        <w:lastRenderedPageBreak/>
        <w:t xml:space="preserve">bandwidth, time window size, and </w:t>
      </w:r>
      <m:oMath>
        <m:sSub>
          <m:sSubPr>
            <m:ctrlPr>
              <w:rPr>
                <w:rFonts w:ascii="Cambria Math" w:hAnsi="Cambria Math" w:cs="Arial"/>
                <w:color w:val="000000"/>
              </w:rPr>
            </m:ctrlPr>
          </m:sSubPr>
          <m:e>
            <m:r>
              <w:rPr>
                <w:rFonts w:ascii="Cambria Math" w:hAnsi="Cambria Math" w:cs="Arial"/>
                <w:color w:val="000000"/>
              </w:rPr>
              <m:t>N'</m:t>
            </m:r>
          </m:e>
          <m:sub>
            <m:r>
              <w:rPr>
                <w:rFonts w:ascii="Cambria Math" w:hAnsi="Cambria Math" w:cs="Arial"/>
                <w:color w:val="000000"/>
              </w:rPr>
              <m:t>t</m:t>
            </m:r>
          </m:sub>
        </m:sSub>
      </m:oMath>
      <w:r w:rsidR="000A598E">
        <w:rPr>
          <w:color w:val="000000"/>
        </w:rPr>
        <w:t>.</w:t>
      </w:r>
      <w:r w:rsidR="002C4568" w:rsidRPr="002C4568">
        <w:rPr>
          <w:rFonts w:ascii="Cambria Math" w:hAnsi="Cambria Math" w:cs="Arial"/>
          <w:color w:val="000000"/>
        </w:rPr>
        <w:br/>
      </w:r>
    </w:p>
    <w:p w14:paraId="37F1A867" w14:textId="30ED0A9D" w:rsidR="00230A08" w:rsidRDefault="00903845" w:rsidP="002938DE">
      <w:pPr>
        <w:pStyle w:val="Observation"/>
        <w:rPr>
          <w:lang w:eastAsia="en-GB"/>
        </w:rPr>
      </w:pPr>
      <w:bookmarkStart w:id="840" w:name="_Toc178961853"/>
      <w:r>
        <w:rPr>
          <w:lang w:eastAsia="en-GB"/>
        </w:rPr>
        <w:t>Sample-based reporting can achieve</w:t>
      </w:r>
      <w:r w:rsidR="00394926">
        <w:rPr>
          <w:lang w:eastAsia="en-GB"/>
        </w:rPr>
        <w:t xml:space="preserve"> </w:t>
      </w:r>
      <w:r w:rsidR="00FD4496">
        <w:rPr>
          <w:lang w:eastAsia="en-GB"/>
        </w:rPr>
        <w:t xml:space="preserve">significantly </w:t>
      </w:r>
      <w:r w:rsidR="00394926">
        <w:rPr>
          <w:lang w:eastAsia="en-GB"/>
        </w:rPr>
        <w:t xml:space="preserve">better positioning accuracy compared to path-based reporting when fewer number of TRPs are used </w:t>
      </w:r>
      <w:r w:rsidR="002C3CA6">
        <w:rPr>
          <w:lang w:eastAsia="en-GB"/>
        </w:rPr>
        <w:t>on</w:t>
      </w:r>
      <w:r w:rsidR="00394926">
        <w:rPr>
          <w:lang w:eastAsia="en-GB"/>
        </w:rPr>
        <w:t xml:space="preserve"> smaller RS bandwidth (</w:t>
      </w:r>
      <w:r w:rsidR="002C3CA6">
        <w:rPr>
          <w:lang w:eastAsia="en-GB"/>
        </w:rPr>
        <w:t xml:space="preserve">i.e., </w:t>
      </w:r>
      <w:r w:rsidR="00091539">
        <w:rPr>
          <w:lang w:eastAsia="en-GB"/>
        </w:rPr>
        <w:t>BW=50, 25 and 12.5 MHz</w:t>
      </w:r>
      <w:r w:rsidR="00394926">
        <w:rPr>
          <w:lang w:eastAsia="en-GB"/>
        </w:rPr>
        <w:t>).</w:t>
      </w:r>
      <w:bookmarkEnd w:id="840"/>
      <w:r w:rsidR="00394926">
        <w:rPr>
          <w:lang w:eastAsia="en-GB"/>
        </w:rPr>
        <w:t xml:space="preserve"> </w:t>
      </w:r>
    </w:p>
    <w:p w14:paraId="309504F4" w14:textId="12E69253" w:rsidR="00E9220B" w:rsidRDefault="00E9220B" w:rsidP="002938DE">
      <w:pPr>
        <w:pStyle w:val="Observation"/>
        <w:rPr>
          <w:lang w:eastAsia="en-GB"/>
        </w:rPr>
      </w:pPr>
      <w:bookmarkStart w:id="841" w:name="_Toc178961854"/>
      <w:r w:rsidRPr="00E9220B">
        <w:rPr>
          <w:lang w:eastAsia="en-GB"/>
        </w:rPr>
        <w:t>Sample-based measurement allows a substantially smaller PRS bandwidth to be configured to achieve the same positioning accuracy as path-based measurement. The PRS resource allocation savings can be 50% or more, especially for smaller number of active TRPs (e.g., 3-12 TRPs).</w:t>
      </w:r>
      <w:bookmarkEnd w:id="841"/>
    </w:p>
    <w:p w14:paraId="0B2897B5" w14:textId="6437B448" w:rsidR="00DD38E7" w:rsidRDefault="00DD38E7" w:rsidP="002938DE">
      <w:pPr>
        <w:pStyle w:val="Observation"/>
        <w:rPr>
          <w:lang w:eastAsia="en-GB"/>
        </w:rPr>
      </w:pPr>
      <w:bookmarkStart w:id="842" w:name="_Toc178961855"/>
      <w:r w:rsidRPr="00DD38E7">
        <w:rPr>
          <w:lang w:eastAsia="en-GB"/>
        </w:rPr>
        <w:t>Sample-based measurement allows a substantially smaller number of reported TRPs to achieve the same positioning accuracy as path-based measurement. The reported TRP overhead savings can be 50% or more, especially for smaller BWs.</w:t>
      </w:r>
      <w:bookmarkEnd w:id="842"/>
    </w:p>
    <w:p w14:paraId="34D98EFB" w14:textId="77777777" w:rsidR="00897566" w:rsidRDefault="00897566" w:rsidP="00E8119F">
      <w:pPr>
        <w:pStyle w:val="Observation"/>
        <w:numPr>
          <w:ilvl w:val="0"/>
          <w:numId w:val="0"/>
        </w:numPr>
        <w:rPr>
          <w:lang w:eastAsia="en-GB"/>
        </w:rPr>
      </w:pPr>
    </w:p>
    <w:p w14:paraId="302C4991" w14:textId="200DF992" w:rsidR="00897566" w:rsidRDefault="00101165" w:rsidP="00013A41">
      <w:pPr>
        <w:jc w:val="center"/>
      </w:pPr>
      <w:bookmarkStart w:id="843" w:name="_Hlk173951490"/>
      <w:r>
        <w:rPr>
          <w:noProof/>
        </w:rPr>
        <w:drawing>
          <wp:inline distT="0" distB="0" distL="0" distR="0" wp14:anchorId="4150DED1" wp14:editId="60F4A36D">
            <wp:extent cx="4800600" cy="360273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00600" cy="3602736"/>
                    </a:xfrm>
                    <a:prstGeom prst="rect">
                      <a:avLst/>
                    </a:prstGeom>
                    <a:noFill/>
                    <a:ln>
                      <a:noFill/>
                    </a:ln>
                  </pic:spPr>
                </pic:pic>
              </a:graphicData>
            </a:graphic>
          </wp:inline>
        </w:drawing>
      </w:r>
    </w:p>
    <w:p w14:paraId="5B89B2EF" w14:textId="6D6297AA" w:rsidR="002026C2" w:rsidRPr="00E215F0" w:rsidRDefault="002026C2" w:rsidP="002026C2">
      <w:pPr>
        <w:pStyle w:val="Caption"/>
      </w:pPr>
      <w:bookmarkStart w:id="844" w:name="_Ref173851220"/>
      <w:bookmarkEnd w:id="843"/>
      <w:r w:rsidRPr="00E215F0">
        <w:t xml:space="preserve">Figure </w:t>
      </w:r>
      <w:r w:rsidR="00500110">
        <w:fldChar w:fldCharType="begin"/>
      </w:r>
      <w:r w:rsidR="00500110">
        <w:instrText xml:space="preserve"> SEQ Figure \* ARABIC </w:instrText>
      </w:r>
      <w:r w:rsidR="00500110">
        <w:fldChar w:fldCharType="separate"/>
      </w:r>
      <w:r w:rsidR="00850DA1">
        <w:rPr>
          <w:noProof/>
        </w:rPr>
        <w:t>13</w:t>
      </w:r>
      <w:r w:rsidR="00500110">
        <w:rPr>
          <w:noProof/>
        </w:rPr>
        <w:fldChar w:fldCharType="end"/>
      </w:r>
      <w:bookmarkEnd w:id="844"/>
      <w:r w:rsidR="008359C2">
        <w:rPr>
          <w:noProof/>
        </w:rPr>
        <w:t>.</w:t>
      </w:r>
      <w:r w:rsidRPr="00E215F0">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(meters) of sample-based measurement vs path-based measurement</w:t>
      </w:r>
      <w:r w:rsidRPr="00E215F0">
        <w:t>.</w:t>
      </w:r>
      <w:r>
        <w:t xml:space="preserve"> Time window size of 2083.84 ns, corresponding to N</w:t>
      </w:r>
      <w:r w:rsidRPr="00013A41">
        <w:rPr>
          <w:vertAlign w:val="subscript"/>
        </w:rPr>
        <w:t>t</w:t>
      </w:r>
      <w:r>
        <w:t>=128 for 50 MHz. N’</w:t>
      </w:r>
      <w:r w:rsidRPr="00013A41">
        <w:rPr>
          <w:vertAlign w:val="subscript"/>
        </w:rPr>
        <w:t>t</w:t>
      </w:r>
      <w:r>
        <w:t xml:space="preserve">=16. </w:t>
      </w:r>
      <w:r w:rsidRPr="00086111">
        <w:rPr>
          <w:lang w:eastAsia="ja-JP"/>
        </w:rPr>
        <w:t>{60%, 6m, 2m} InF-DH scenario</w:t>
      </w:r>
      <w:r w:rsidRPr="00086111">
        <w:t>.</w:t>
      </w:r>
    </w:p>
    <w:p w14:paraId="42DA139B" w14:textId="77777777" w:rsidR="002026C2" w:rsidRDefault="002026C2" w:rsidP="00013A41">
      <w:pPr>
        <w:jc w:val="center"/>
      </w:pPr>
    </w:p>
    <w:p w14:paraId="7A4D2362" w14:textId="7A85D6C2" w:rsidR="00897566" w:rsidRDefault="00101165" w:rsidP="00013A41">
      <w:pPr>
        <w:jc w:val="center"/>
      </w:pPr>
      <w:r>
        <w:rPr>
          <w:noProof/>
        </w:rPr>
        <w:lastRenderedPageBreak/>
        <w:drawing>
          <wp:inline distT="0" distB="0" distL="0" distR="0" wp14:anchorId="09002178" wp14:editId="609118C3">
            <wp:extent cx="4800600" cy="360273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00600" cy="3602736"/>
                    </a:xfrm>
                    <a:prstGeom prst="rect">
                      <a:avLst/>
                    </a:prstGeom>
                    <a:noFill/>
                    <a:ln>
                      <a:noFill/>
                    </a:ln>
                  </pic:spPr>
                </pic:pic>
              </a:graphicData>
            </a:graphic>
          </wp:inline>
        </w:drawing>
      </w:r>
    </w:p>
    <w:p w14:paraId="1D0DCB0F" w14:textId="1E08AB00" w:rsidR="002026C2" w:rsidRPr="00E215F0" w:rsidRDefault="002026C2" w:rsidP="002026C2">
      <w:pPr>
        <w:pStyle w:val="Caption"/>
      </w:pPr>
      <w:r w:rsidRPr="00E215F0">
        <w:t xml:space="preserve">Figure </w:t>
      </w:r>
      <w:r w:rsidR="00500110">
        <w:fldChar w:fldCharType="begin"/>
      </w:r>
      <w:r w:rsidR="00500110">
        <w:instrText xml:space="preserve"> SEQ Figure \* ARABIC </w:instrText>
      </w:r>
      <w:r w:rsidR="00500110">
        <w:fldChar w:fldCharType="separate"/>
      </w:r>
      <w:r w:rsidR="00850DA1">
        <w:rPr>
          <w:noProof/>
        </w:rPr>
        <w:t>14</w:t>
      </w:r>
      <w:r w:rsidR="00500110">
        <w:rPr>
          <w:noProof/>
        </w:rPr>
        <w:fldChar w:fldCharType="end"/>
      </w:r>
      <w:r w:rsidR="008359C2">
        <w:rPr>
          <w:noProof/>
        </w:rPr>
        <w:t>.</w:t>
      </w:r>
      <w:r w:rsidRPr="00E215F0">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(meters) of sample-based measurement vs path-based measurement</w:t>
      </w:r>
      <w:r w:rsidRPr="00E215F0">
        <w:t>.</w:t>
      </w:r>
      <w:r>
        <w:t xml:space="preserve"> Time window size of 1041.92 ns, corresponding to N</w:t>
      </w:r>
      <w:r w:rsidRPr="00927A33">
        <w:rPr>
          <w:vertAlign w:val="subscript"/>
        </w:rPr>
        <w:t>t</w:t>
      </w:r>
      <w:r>
        <w:t>=64 for 50 MHz. N’</w:t>
      </w:r>
      <w:r w:rsidRPr="00927A33">
        <w:rPr>
          <w:vertAlign w:val="subscript"/>
        </w:rPr>
        <w:t>t</w:t>
      </w:r>
      <w:r>
        <w:t xml:space="preserve">=16. </w:t>
      </w:r>
      <w:r w:rsidRPr="00086111">
        <w:rPr>
          <w:lang w:eastAsia="ja-JP"/>
        </w:rPr>
        <w:t>{60%, 6m, 2m} InF-DH scenario</w:t>
      </w:r>
      <w:r w:rsidRPr="00086111">
        <w:t>.</w:t>
      </w:r>
    </w:p>
    <w:p w14:paraId="37D502D1" w14:textId="77777777" w:rsidR="002026C2" w:rsidRDefault="002026C2" w:rsidP="00013A41">
      <w:pPr>
        <w:jc w:val="center"/>
      </w:pPr>
    </w:p>
    <w:p w14:paraId="797B025B" w14:textId="61822185" w:rsidR="002432CB" w:rsidRDefault="002432CB" w:rsidP="00013A41">
      <w:pPr>
        <w:jc w:val="center"/>
      </w:pPr>
      <w:r>
        <w:rPr>
          <w:noProof/>
        </w:rPr>
        <w:drawing>
          <wp:inline distT="0" distB="0" distL="0" distR="0" wp14:anchorId="0252365C" wp14:editId="37AFB5A2">
            <wp:extent cx="4809744" cy="360273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09744" cy="3602736"/>
                    </a:xfrm>
                    <a:prstGeom prst="rect">
                      <a:avLst/>
                    </a:prstGeom>
                    <a:noFill/>
                    <a:ln>
                      <a:noFill/>
                    </a:ln>
                  </pic:spPr>
                </pic:pic>
              </a:graphicData>
            </a:graphic>
          </wp:inline>
        </w:drawing>
      </w:r>
    </w:p>
    <w:p w14:paraId="214D344D" w14:textId="0EF12B45" w:rsidR="002026C2" w:rsidRDefault="002026C2" w:rsidP="00E8119F">
      <w:pPr>
        <w:pStyle w:val="Caption"/>
      </w:pPr>
      <w:r w:rsidRPr="00E215F0">
        <w:t xml:space="preserve">Figure </w:t>
      </w:r>
      <w:r w:rsidR="00500110">
        <w:fldChar w:fldCharType="begin"/>
      </w:r>
      <w:r w:rsidR="00500110">
        <w:instrText xml:space="preserve"> SEQ Figure \* ARABIC </w:instrText>
      </w:r>
      <w:r w:rsidR="00500110">
        <w:fldChar w:fldCharType="separate"/>
      </w:r>
      <w:r w:rsidR="00850DA1">
        <w:rPr>
          <w:noProof/>
        </w:rPr>
        <w:t>15</w:t>
      </w:r>
      <w:r w:rsidR="00500110">
        <w:rPr>
          <w:noProof/>
        </w:rPr>
        <w:fldChar w:fldCharType="end"/>
      </w:r>
      <w:r w:rsidR="008359C2">
        <w:t>.</w:t>
      </w:r>
      <w:r w:rsidRPr="00E215F0">
        <w:t xml:space="preserve"> </w:t>
      </w:r>
      <w:r w:rsidRPr="00086111">
        <w:t>90%tile 2D positioning accuracy</w:t>
      </w:r>
      <w:r>
        <w:t xml:space="preserve"> </w:t>
      </w:r>
      <m:oMath>
        <m:sSub>
          <m:sSubPr>
            <m:ctrlPr>
              <w:rPr>
                <w:rFonts w:ascii="Cambria Math" w:hAnsi="Cambria Math"/>
              </w:rPr>
            </m:ctrlPr>
          </m:sSubPr>
          <m:e>
            <m:r>
              <m:rPr>
                <m:sty m:val="b"/>
              </m:rPr>
              <w:rPr>
                <w:rFonts w:ascii="Cambria Math" w:hAnsi="Cambria Math"/>
              </w:rPr>
              <m:t>Δ</m:t>
            </m:r>
          </m:e>
          <m:sub>
            <m:r>
              <m:rPr>
                <m:sty m:val="b"/>
              </m:rPr>
              <w:rPr>
                <w:rFonts w:ascii="Cambria Math" w:hAnsi="Cambria Math"/>
              </w:rPr>
              <m:t>90%</m:t>
            </m:r>
          </m:sub>
        </m:sSub>
      </m:oMath>
      <w:r>
        <w:t xml:space="preserve"> (meters) of sample-based measurement vs path-based measurement</w:t>
      </w:r>
      <w:r w:rsidRPr="00E215F0">
        <w:t>.</w:t>
      </w:r>
      <w:r>
        <w:t xml:space="preserve"> Time window size of 2083.84 ns, corresponding to N</w:t>
      </w:r>
      <w:r w:rsidRPr="00013A41">
        <w:t>t</w:t>
      </w:r>
      <w:r>
        <w:t>=128 for 50 MHz. N’</w:t>
      </w:r>
      <w:r w:rsidRPr="00013A41">
        <w:t>t</w:t>
      </w:r>
      <w:r>
        <w:t xml:space="preserve">=9. </w:t>
      </w:r>
      <w:r w:rsidRPr="00086111">
        <w:t>{60%, 6m,</w:t>
      </w:r>
      <w:r w:rsidRPr="00086111">
        <w:rPr>
          <w:lang w:eastAsia="ja-JP"/>
        </w:rPr>
        <w:t xml:space="preserve"> 2m} InF-DH scenario</w:t>
      </w:r>
      <w:r w:rsidRPr="00086111">
        <w:t>.</w:t>
      </w:r>
    </w:p>
    <w:p w14:paraId="17B3FF72" w14:textId="68DAF97C" w:rsidR="00897566" w:rsidRDefault="00101165" w:rsidP="00013A41">
      <w:pPr>
        <w:jc w:val="center"/>
      </w:pPr>
      <w:bookmarkStart w:id="845" w:name="_Hlk173951557"/>
      <w:r>
        <w:rPr>
          <w:noProof/>
        </w:rPr>
        <w:lastRenderedPageBreak/>
        <w:drawing>
          <wp:inline distT="0" distB="0" distL="0" distR="0" wp14:anchorId="5B05AA16" wp14:editId="42D25012">
            <wp:extent cx="4800600" cy="3602736"/>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00600" cy="3602736"/>
                    </a:xfrm>
                    <a:prstGeom prst="rect">
                      <a:avLst/>
                    </a:prstGeom>
                    <a:noFill/>
                    <a:ln>
                      <a:noFill/>
                    </a:ln>
                  </pic:spPr>
                </pic:pic>
              </a:graphicData>
            </a:graphic>
          </wp:inline>
        </w:drawing>
      </w:r>
    </w:p>
    <w:p w14:paraId="221E4132" w14:textId="68E9BBB1" w:rsidR="00897566" w:rsidRPr="00B94B09" w:rsidRDefault="002026C2" w:rsidP="00E8119F">
      <w:pPr>
        <w:pStyle w:val="Caption"/>
      </w:pPr>
      <w:bookmarkStart w:id="846" w:name="_Ref173851221"/>
      <w:bookmarkEnd w:id="845"/>
      <w:r w:rsidRPr="00E215F0">
        <w:t xml:space="preserve">Figure </w:t>
      </w:r>
      <w:r w:rsidR="00500110">
        <w:fldChar w:fldCharType="begin"/>
      </w:r>
      <w:r w:rsidR="00500110">
        <w:instrText xml:space="preserve"> SEQ Figure \* ARABIC </w:instrText>
      </w:r>
      <w:r w:rsidR="00500110">
        <w:fldChar w:fldCharType="separate"/>
      </w:r>
      <w:r w:rsidR="00850DA1">
        <w:rPr>
          <w:noProof/>
        </w:rPr>
        <w:t>16</w:t>
      </w:r>
      <w:r w:rsidR="00500110">
        <w:rPr>
          <w:noProof/>
        </w:rPr>
        <w:fldChar w:fldCharType="end"/>
      </w:r>
      <w:bookmarkEnd w:id="846"/>
      <w:r w:rsidR="008359C2">
        <w:t>.</w:t>
      </w:r>
      <w:r w:rsidRPr="00E215F0">
        <w:t xml:space="preserve"> </w:t>
      </w:r>
      <w:r w:rsidRPr="00086111">
        <w:t>90%tile 2D positioning accuracy</w:t>
      </w:r>
      <w:r>
        <w:t xml:space="preserve"> </w:t>
      </w:r>
      <m:oMath>
        <m:sSub>
          <m:sSubPr>
            <m:ctrlPr>
              <w:rPr>
                <w:rFonts w:ascii="Cambria Math" w:hAnsi="Cambria Math"/>
              </w:rPr>
            </m:ctrlPr>
          </m:sSubPr>
          <m:e>
            <m:r>
              <m:rPr>
                <m:sty m:val="b"/>
              </m:rPr>
              <w:rPr>
                <w:rFonts w:ascii="Cambria Math" w:hAnsi="Cambria Math"/>
              </w:rPr>
              <m:t>Δ</m:t>
            </m:r>
          </m:e>
          <m:sub>
            <m:r>
              <m:rPr>
                <m:sty m:val="b"/>
              </m:rPr>
              <w:rPr>
                <w:rFonts w:ascii="Cambria Math" w:hAnsi="Cambria Math"/>
              </w:rPr>
              <m:t>90%</m:t>
            </m:r>
          </m:sub>
        </m:sSub>
      </m:oMath>
      <w:r>
        <w:t xml:space="preserve"> (meters) of sample-based measurement vs path-based measurement</w:t>
      </w:r>
      <w:r w:rsidRPr="00E215F0">
        <w:t>.</w:t>
      </w:r>
      <w:r>
        <w:t xml:space="preserve"> Time window size of 1041.92 ns, corresponding to N</w:t>
      </w:r>
      <w:r w:rsidRPr="00013A41">
        <w:t>t</w:t>
      </w:r>
      <w:r>
        <w:t>=64 for 50 MHz. N’</w:t>
      </w:r>
      <w:r w:rsidRPr="00013A41">
        <w:t>t</w:t>
      </w:r>
      <w:r>
        <w:t xml:space="preserve">=9. </w:t>
      </w:r>
      <w:r w:rsidRPr="00086111">
        <w:t>{60%, 6m, 2m} InF-DH scenario.</w:t>
      </w:r>
    </w:p>
    <w:p w14:paraId="73349886" w14:textId="01F9AD9D" w:rsidR="00394268" w:rsidRPr="00394268" w:rsidRDefault="003213A0" w:rsidP="004157FD">
      <w:pPr>
        <w:pStyle w:val="Heading4"/>
      </w:pPr>
      <w:bookmarkStart w:id="847" w:name="_Ref163068298"/>
      <w:bookmarkStart w:id="848" w:name="_Toc165990986"/>
      <w:bookmarkStart w:id="849" w:name="_Toc178961654"/>
      <w:r>
        <w:t>Burden of higher s</w:t>
      </w:r>
      <w:r w:rsidR="00394268">
        <w:t>ignaling size</w:t>
      </w:r>
      <w:bookmarkEnd w:id="847"/>
      <w:r>
        <w:t xml:space="preserve"> with path-based measurements</w:t>
      </w:r>
      <w:bookmarkEnd w:id="848"/>
      <w:bookmarkEnd w:id="849"/>
    </w:p>
    <w:p w14:paraId="7CCFB1AC" w14:textId="28BB8C17" w:rsidR="00320062" w:rsidRDefault="00320062" w:rsidP="001F46E8">
      <w:r w:rsidRPr="00194B5B">
        <w:t>In this section, we provide a preliminary but more detailed signal</w:t>
      </w:r>
      <w:r w:rsidR="00C10131">
        <w:t>ing</w:t>
      </w:r>
      <w:r w:rsidRPr="00194B5B">
        <w:t xml:space="preserve"> size vs positioning accuracy trade-off analysis</w:t>
      </w:r>
      <w:r>
        <w:t xml:space="preserve"> between the sample- and path-based signaling approaches.</w:t>
      </w:r>
    </w:p>
    <w:p w14:paraId="0CEEEFFE" w14:textId="77777777" w:rsidR="00731182" w:rsidRDefault="00731182" w:rsidP="00731182">
      <w:r>
        <w:t xml:space="preserve">For the sample-based signaling, most companies used </w:t>
      </w:r>
    </w:p>
    <w:p w14:paraId="4579A49C" w14:textId="77777777" w:rsidR="00731182" w:rsidRPr="00194B5B" w:rsidRDefault="00731182" w:rsidP="00731182">
      <w:pPr>
        <w:ind w:left="567"/>
      </w:pPr>
      <w:r w:rsidRPr="00194B5B">
        <w:t>"Sampling period = 1/(N</w:t>
      </w:r>
      <w:r w:rsidRPr="00194B5B">
        <w:rPr>
          <w:vertAlign w:val="subscript"/>
        </w:rPr>
        <w:t>f</w:t>
      </w:r>
      <w:r w:rsidRPr="00194B5B">
        <w:t xml:space="preserve"> ×∆f). For FR1, sampling period = 1/(4096×30)=8.14 (ns), where N</w:t>
      </w:r>
      <w:r w:rsidRPr="00194B5B">
        <w:rPr>
          <w:vertAlign w:val="subscript"/>
        </w:rPr>
        <w:t>f</w:t>
      </w:r>
      <w:r w:rsidRPr="00194B5B">
        <w:t xml:space="preserve"> =4096 according to 38.211, and ∆f =30 kHz is the subcarrier spacing."  </w:t>
      </w:r>
    </w:p>
    <w:p w14:paraId="66ACDD7F" w14:textId="5909F2B6" w:rsidR="00731182" w:rsidRPr="00194B5B" w:rsidRDefault="00731182" w:rsidP="00731182">
      <w:r w:rsidRPr="00194B5B">
        <w:t xml:space="preserve">That is, </w:t>
      </w:r>
      <w:r w:rsidRPr="00067FB1">
        <w:rPr>
          <w:b/>
          <w:bCs/>
        </w:rPr>
        <w:t>sampling-based signaling with a resolution of 16</w:t>
      </w:r>
      <w:r w:rsidRPr="00067FB1">
        <w:rPr>
          <w:rFonts w:ascii="Symbol" w:eastAsia="Symbol" w:hAnsi="Symbol" w:cs="Symbol"/>
          <w:b/>
          <w:bCs/>
        </w:rPr>
        <w:t>´</w:t>
      </w:r>
      <w:r w:rsidRPr="00067FB1">
        <w:rPr>
          <w:b/>
          <w:bCs/>
        </w:rPr>
        <w:t>T</w:t>
      </w:r>
      <w:r w:rsidRPr="00067FB1">
        <w:rPr>
          <w:b/>
          <w:bCs/>
          <w:vertAlign w:val="subscript"/>
        </w:rPr>
        <w:t>c</w:t>
      </w:r>
      <w:r w:rsidRPr="00194B5B">
        <w:t xml:space="preserve"> </w:t>
      </w:r>
      <w:r>
        <w:t>has been studied extensively by companies</w:t>
      </w:r>
      <w:r w:rsidRPr="00194B5B">
        <w:t>.</w:t>
      </w:r>
      <w:r w:rsidR="00E369CA">
        <w:t xml:space="preserve"> Details of the signaling size</w:t>
      </w:r>
      <w:r w:rsidR="00F30F5A">
        <w:t xml:space="preserve">s for sample-based reporting are provided in Section </w:t>
      </w:r>
      <w:r w:rsidR="00E262C5">
        <w:fldChar w:fldCharType="begin"/>
      </w:r>
      <w:r w:rsidR="00E262C5">
        <w:instrText xml:space="preserve"> REF _Ref163048709 \r \h </w:instrText>
      </w:r>
      <w:r w:rsidR="00E262C5">
        <w:fldChar w:fldCharType="separate"/>
      </w:r>
      <w:r w:rsidR="00850DA1">
        <w:t>3.2.4.2</w:t>
      </w:r>
      <w:r w:rsidR="00E262C5">
        <w:fldChar w:fldCharType="end"/>
      </w:r>
      <w:r w:rsidR="00F30F5A">
        <w:t>.</w:t>
      </w:r>
    </w:p>
    <w:p w14:paraId="28C36401" w14:textId="77777777" w:rsidR="00BC409E" w:rsidRDefault="00BC409E" w:rsidP="00731182"/>
    <w:p w14:paraId="10BA2F66" w14:textId="3C4A6FA5" w:rsidR="00731182" w:rsidRDefault="001331D1" w:rsidP="00731182">
      <w:r>
        <w:t>For the path-based reporting, t</w:t>
      </w:r>
      <w:r w:rsidR="00731182">
        <w:t xml:space="preserve">he existing </w:t>
      </w:r>
      <w:r w:rsidR="00731182" w:rsidRPr="00194B5B">
        <w:t>timing information report (e.g., RSTD)</w:t>
      </w:r>
      <w:r w:rsidR="00731182">
        <w:t xml:space="preserve"> allows</w:t>
      </w:r>
      <w:r w:rsidR="00731182" w:rsidRPr="00194B5B">
        <w:t xml:space="preserve"> the resolution step of 2</w:t>
      </w:r>
      <w:r w:rsidR="00731182" w:rsidRPr="00194B5B">
        <w:rPr>
          <w:i/>
          <w:iCs/>
          <w:vertAlign w:val="superscript"/>
        </w:rPr>
        <w:t>k</w:t>
      </w:r>
      <w:r w:rsidR="00731182" w:rsidRPr="00194B5B">
        <w:rPr>
          <w:rFonts w:ascii="Symbol" w:eastAsia="Symbol" w:hAnsi="Symbol" w:cs="Symbol"/>
        </w:rPr>
        <w:t>´</w:t>
      </w:r>
      <w:r w:rsidR="00731182" w:rsidRPr="00194B5B">
        <w:t>T</w:t>
      </w:r>
      <w:r w:rsidR="00731182" w:rsidRPr="00194B5B">
        <w:rPr>
          <w:vertAlign w:val="subscript"/>
        </w:rPr>
        <w:t>c</w:t>
      </w:r>
      <w:r w:rsidR="00731182" w:rsidRPr="00194B5B">
        <w:t xml:space="preserve"> is commonly used</w:t>
      </w:r>
      <w:r w:rsidR="00731182">
        <w:t xml:space="preserve">, where the parameter </w:t>
      </w:r>
      <w:r w:rsidR="00731182" w:rsidRPr="00D64346">
        <w:rPr>
          <w:i/>
          <w:iCs/>
        </w:rPr>
        <w:t>k</w:t>
      </w:r>
      <w:r w:rsidR="00731182">
        <w:t xml:space="preserve"> can be configured by the LMF within the range of </w:t>
      </w:r>
      <w:r w:rsidR="00731182" w:rsidRPr="00194B5B">
        <w:t>0&lt;=</w:t>
      </w:r>
      <w:r w:rsidR="00731182" w:rsidRPr="00194B5B">
        <w:rPr>
          <w:i/>
          <w:iCs/>
        </w:rPr>
        <w:t>k</w:t>
      </w:r>
      <w:r w:rsidR="00731182" w:rsidRPr="00194B5B">
        <w:t>&lt;=5. Thus</w:t>
      </w:r>
      <w:r w:rsidR="00DF6E92" w:rsidRPr="00194B5B">
        <w:t>,</w:t>
      </w:r>
      <w:r w:rsidR="00731182" w:rsidRPr="00194B5B">
        <w:t xml:space="preserve"> the timing information </w:t>
      </w:r>
      <w:r w:rsidR="00DF6E92">
        <w:t>can be</w:t>
      </w:r>
      <w:r w:rsidR="00DF6E92" w:rsidRPr="00194B5B">
        <w:t xml:space="preserve"> </w:t>
      </w:r>
      <w:r w:rsidR="00731182" w:rsidRPr="00194B5B">
        <w:t>configured to be reported with granularity in the range of T</w:t>
      </w:r>
      <w:r w:rsidR="00731182" w:rsidRPr="00194B5B">
        <w:rPr>
          <w:vertAlign w:val="subscript"/>
        </w:rPr>
        <w:t>c</w:t>
      </w:r>
      <w:r w:rsidR="00731182" w:rsidRPr="00194B5B">
        <w:t xml:space="preserve"> to 32</w:t>
      </w:r>
      <w:r w:rsidR="00731182" w:rsidRPr="00194B5B">
        <w:rPr>
          <w:rFonts w:ascii="Symbol" w:eastAsia="Symbol" w:hAnsi="Symbol" w:cs="Symbol"/>
        </w:rPr>
        <w:t>´</w:t>
      </w:r>
      <w:r w:rsidR="00731182" w:rsidRPr="00194B5B">
        <w:t>T</w:t>
      </w:r>
      <w:r w:rsidR="00731182" w:rsidRPr="00194B5B">
        <w:rPr>
          <w:vertAlign w:val="subscript"/>
        </w:rPr>
        <w:t>c</w:t>
      </w:r>
      <w:r w:rsidR="00731182" w:rsidRPr="00194B5B">
        <w:t>.</w:t>
      </w:r>
      <w:r w:rsidR="00731182">
        <w:t xml:space="preserve"> The number of bits needed to express a path delay has the following range</w:t>
      </w:r>
    </w:p>
    <w:p w14:paraId="51B922DC" w14:textId="77777777" w:rsidR="00731182" w:rsidRDefault="00731182" w:rsidP="00D35F36">
      <w:pPr>
        <w:pStyle w:val="ListParagraph"/>
        <w:numPr>
          <w:ilvl w:val="0"/>
          <w:numId w:val="25"/>
        </w:numPr>
      </w:pPr>
      <w:r>
        <w:t>16 – 21 bits for the first path</w:t>
      </w:r>
    </w:p>
    <w:p w14:paraId="1AB5DA0E" w14:textId="77A61168" w:rsidR="005076CC" w:rsidRPr="000D71EA" w:rsidRDefault="005076CC" w:rsidP="00D35F36">
      <w:pPr>
        <w:pStyle w:val="ListParagraph"/>
        <w:numPr>
          <w:ilvl w:val="1"/>
          <w:numId w:val="25"/>
        </w:numPr>
        <w:rPr>
          <w:b/>
          <w:bCs/>
        </w:rPr>
      </w:pPr>
      <w:r w:rsidRPr="000D71EA">
        <w:rPr>
          <w:b/>
          <w:bCs/>
        </w:rPr>
        <w:t xml:space="preserve">Reporting of the first path is still </w:t>
      </w:r>
      <w:r w:rsidR="000D71EA" w:rsidRPr="000D71EA">
        <w:rPr>
          <w:b/>
          <w:bCs/>
        </w:rPr>
        <w:t>based on the unit of the configured granularity. So, this is still a grid point.</w:t>
      </w:r>
    </w:p>
    <w:p w14:paraId="467B44B6" w14:textId="77777777" w:rsidR="00731182" w:rsidRPr="00086111" w:rsidRDefault="00731182" w:rsidP="00D35F36">
      <w:pPr>
        <w:pStyle w:val="ListParagraph"/>
        <w:numPr>
          <w:ilvl w:val="0"/>
          <w:numId w:val="25"/>
        </w:numPr>
      </w:pPr>
      <w:r>
        <w:t>9 – 14 bits for each additional relative path (7 bits shorter than for the first path)</w:t>
      </w:r>
    </w:p>
    <w:p w14:paraId="0207DE73" w14:textId="3AE64906" w:rsidR="00731182" w:rsidRDefault="00731182" w:rsidP="00731182">
      <w:r>
        <w:t xml:space="preserve">However, to achieve </w:t>
      </w:r>
      <w:r w:rsidR="00CA5C14">
        <w:t xml:space="preserve">more </w:t>
      </w:r>
      <w:r>
        <w:t>granular path resolution than the sample-based signaling approach</w:t>
      </w:r>
      <w:r w:rsidR="00270B02">
        <w:t xml:space="preserve"> with 16</w:t>
      </w:r>
      <w:r w:rsidR="00270B02" w:rsidRPr="00194B5B">
        <w:rPr>
          <w:rFonts w:ascii="Symbol" w:eastAsia="Symbol" w:hAnsi="Symbol" w:cs="Symbol"/>
        </w:rPr>
        <w:t>´</w:t>
      </w:r>
      <w:r w:rsidR="00270B02" w:rsidRPr="00194B5B">
        <w:t>T</w:t>
      </w:r>
      <w:r w:rsidR="00270B02" w:rsidRPr="00194B5B">
        <w:rPr>
          <w:vertAlign w:val="subscript"/>
        </w:rPr>
        <w:t>c</w:t>
      </w:r>
      <w:r w:rsidR="00270B02">
        <w:t xml:space="preserve"> resolution</w:t>
      </w:r>
      <w:r>
        <w:t xml:space="preserve">, the parameter </w:t>
      </w:r>
      <w:r w:rsidRPr="00D64346">
        <w:rPr>
          <w:i/>
          <w:iCs/>
        </w:rPr>
        <w:t>k</w:t>
      </w:r>
      <w:r>
        <w:t xml:space="preserve"> for the path-based signaling should be configured in the range of </w:t>
      </w:r>
      <w:r w:rsidRPr="00194B5B">
        <w:t>0&lt;=</w:t>
      </w:r>
      <w:r w:rsidRPr="00194B5B">
        <w:rPr>
          <w:i/>
          <w:iCs/>
        </w:rPr>
        <w:t>k</w:t>
      </w:r>
      <w:r w:rsidRPr="00194B5B">
        <w:t>&lt;=</w:t>
      </w:r>
      <w:r>
        <w:t xml:space="preserve">3 such that </w:t>
      </w:r>
      <w:r w:rsidRPr="00194B5B">
        <w:t>the timing information is configured to be reported with granularity in the range of T</w:t>
      </w:r>
      <w:r w:rsidRPr="00194B5B">
        <w:rPr>
          <w:vertAlign w:val="subscript"/>
        </w:rPr>
        <w:t>c</w:t>
      </w:r>
      <w:r w:rsidRPr="00194B5B">
        <w:t xml:space="preserve"> to </w:t>
      </w:r>
      <w:bookmarkStart w:id="850" w:name="_Hlk163038399"/>
      <w:r>
        <w:t>8</w:t>
      </w:r>
      <w:r w:rsidRPr="00194B5B">
        <w:rPr>
          <w:rFonts w:ascii="Symbol" w:eastAsia="Symbol" w:hAnsi="Symbol" w:cs="Symbol"/>
        </w:rPr>
        <w:t>´</w:t>
      </w:r>
      <w:r w:rsidRPr="00194B5B">
        <w:t>T</w:t>
      </w:r>
      <w:r w:rsidRPr="00194B5B">
        <w:rPr>
          <w:vertAlign w:val="subscript"/>
        </w:rPr>
        <w:t>c</w:t>
      </w:r>
      <w:bookmarkEnd w:id="850"/>
      <w:r>
        <w:t>. Hence, the number of bits needed to express a path delay has the following range</w:t>
      </w:r>
    </w:p>
    <w:p w14:paraId="02ED9D93" w14:textId="77777777" w:rsidR="00731182" w:rsidRPr="00086111" w:rsidRDefault="00731182" w:rsidP="00D35F36">
      <w:pPr>
        <w:pStyle w:val="ListParagraph"/>
        <w:numPr>
          <w:ilvl w:val="1"/>
          <w:numId w:val="25"/>
        </w:numPr>
      </w:pPr>
      <w:r>
        <w:t>18 – 21 bits for the first path</w:t>
      </w:r>
    </w:p>
    <w:p w14:paraId="70C2C1EE" w14:textId="77777777" w:rsidR="00731182" w:rsidRPr="00086111" w:rsidRDefault="00731182" w:rsidP="00D35F36">
      <w:pPr>
        <w:pStyle w:val="ListParagraph"/>
        <w:numPr>
          <w:ilvl w:val="1"/>
          <w:numId w:val="25"/>
        </w:numPr>
      </w:pPr>
      <w:r>
        <w:lastRenderedPageBreak/>
        <w:t>11 – 14 bits for each additional relative path (7 bits shorter than for the first path)</w:t>
      </w:r>
    </w:p>
    <w:p w14:paraId="075706AC" w14:textId="77777777" w:rsidR="00D6409C" w:rsidRDefault="00D6409C" w:rsidP="00D6409C">
      <w:r>
        <w:t>The signaling of one path report can contain up to three parts:</w:t>
      </w:r>
    </w:p>
    <w:p w14:paraId="30A7B1BD" w14:textId="77777777" w:rsidR="00D6409C" w:rsidRPr="00194B5B" w:rsidRDefault="00D6409C" w:rsidP="00D35F36">
      <w:pPr>
        <w:pStyle w:val="ListParagraph"/>
        <w:numPr>
          <w:ilvl w:val="0"/>
          <w:numId w:val="32"/>
        </w:numPr>
      </w:pPr>
      <w:r>
        <w:t>Estimated delay</w:t>
      </w:r>
    </w:p>
    <w:p w14:paraId="2C5A792A" w14:textId="77777777" w:rsidR="00D6409C" w:rsidRPr="00194B5B" w:rsidRDefault="00D6409C" w:rsidP="00D35F36">
      <w:pPr>
        <w:pStyle w:val="ListParagraph"/>
        <w:numPr>
          <w:ilvl w:val="0"/>
          <w:numId w:val="32"/>
        </w:numPr>
      </w:pPr>
      <w:r>
        <w:t>Interpolated power of the path</w:t>
      </w:r>
    </w:p>
    <w:p w14:paraId="25E705C1" w14:textId="77777777" w:rsidR="00D6409C" w:rsidRPr="00194B5B" w:rsidRDefault="00D6409C" w:rsidP="00D35F36">
      <w:pPr>
        <w:pStyle w:val="ListParagraph"/>
        <w:numPr>
          <w:ilvl w:val="0"/>
          <w:numId w:val="32"/>
        </w:numPr>
      </w:pPr>
      <w:r>
        <w:t>Interpolated phase of the path</w:t>
      </w:r>
    </w:p>
    <w:p w14:paraId="2AD495DE" w14:textId="77777777" w:rsidR="00D6409C" w:rsidRPr="00E215F0" w:rsidRDefault="00D6409C" w:rsidP="00D6409C">
      <w:r>
        <w:t xml:space="preserve">If the signaling contains feedbacks for </w:t>
      </w:r>
      <w:r w:rsidRPr="00E215F0">
        <w:t>N</w:t>
      </w:r>
      <w:r w:rsidRPr="00E215F0">
        <w:rPr>
          <w:vertAlign w:val="subscript"/>
        </w:rPr>
        <w:t>TRP</w:t>
      </w:r>
      <w:r>
        <w:t xml:space="preserve"> links, the number of bits for each part is</w:t>
      </w:r>
    </w:p>
    <w:p w14:paraId="38863230" w14:textId="77777777" w:rsidR="00D6409C" w:rsidRPr="00E215F0" w:rsidRDefault="00D6409C" w:rsidP="00D35F36">
      <w:pPr>
        <w:pStyle w:val="ListParagraph"/>
        <w:numPr>
          <w:ilvl w:val="0"/>
          <w:numId w:val="25"/>
        </w:numPr>
      </w:pPr>
      <w:r>
        <w:t>Delays:</w:t>
      </w:r>
      <w:r w:rsidRPr="00E215F0">
        <w:t xml:space="preserve"> N</w:t>
      </w:r>
      <w:r w:rsidRPr="00E215F0">
        <w:rPr>
          <w:vertAlign w:val="subscript"/>
        </w:rPr>
        <w:t>TRP</w:t>
      </w:r>
      <w:r w:rsidRPr="00E215F0">
        <w:t xml:space="preserve"> </w:t>
      </w:r>
      <w:r w:rsidRPr="00E215F0">
        <w:rPr>
          <w:rFonts w:cs="Arial"/>
        </w:rPr>
        <w:t>×</w:t>
      </w:r>
      <w:r w:rsidRPr="00E215F0">
        <w:t xml:space="preserve"> </w:t>
      </w:r>
      <w:r>
        <w:t>B</w:t>
      </w:r>
      <w:r w:rsidRPr="006F6085">
        <w:rPr>
          <w:vertAlign w:val="subscript"/>
        </w:rPr>
        <w:t>delay</w:t>
      </w:r>
      <w:r>
        <w:t xml:space="preserve"> </w:t>
      </w:r>
      <w:r w:rsidRPr="00E215F0">
        <w:t>bits</w:t>
      </w:r>
    </w:p>
    <w:p w14:paraId="0F40370A" w14:textId="77777777" w:rsidR="00D6409C" w:rsidRPr="00E215F0" w:rsidRDefault="00D6409C" w:rsidP="00D35F36">
      <w:pPr>
        <w:pStyle w:val="ListParagraph"/>
        <w:numPr>
          <w:ilvl w:val="0"/>
          <w:numId w:val="25"/>
        </w:numPr>
      </w:pPr>
      <w:r>
        <w:t>Powers</w:t>
      </w:r>
      <w:r w:rsidRPr="00E215F0">
        <w:t>: N</w:t>
      </w:r>
      <w:r w:rsidRPr="00E215F0">
        <w:rPr>
          <w:vertAlign w:val="subscript"/>
        </w:rPr>
        <w:t>TRP</w:t>
      </w:r>
      <w:r w:rsidRPr="00E215F0">
        <w:t xml:space="preserve"> </w:t>
      </w:r>
      <w:r w:rsidRPr="00E215F0">
        <w:rPr>
          <w:rFonts w:cs="Arial"/>
        </w:rPr>
        <w:t>×</w:t>
      </w:r>
      <w:r w:rsidRPr="00E215F0">
        <w:t xml:space="preserve"> N</w:t>
      </w:r>
      <w:r w:rsidRPr="00E215F0">
        <w:rPr>
          <w:vertAlign w:val="subscript"/>
        </w:rPr>
        <w:t>port</w:t>
      </w:r>
      <w:r w:rsidRPr="00E215F0">
        <w:t xml:space="preserve"> </w:t>
      </w:r>
      <w:r w:rsidRPr="00E215F0">
        <w:rPr>
          <w:rFonts w:cs="Arial"/>
        </w:rPr>
        <w:t xml:space="preserve">× </w:t>
      </w:r>
      <w:r w:rsidRPr="00E215F0">
        <w:t>N</w:t>
      </w:r>
      <w:r w:rsidRPr="00DC32F9">
        <w:rPr>
          <w:vertAlign w:val="subscript"/>
        </w:rPr>
        <w:t>t</w:t>
      </w:r>
      <w:r>
        <w:t>'</w:t>
      </w:r>
      <w:r w:rsidRPr="00E215F0">
        <w:rPr>
          <w:rFonts w:cs="Arial"/>
        </w:rPr>
        <w:t xml:space="preserve"> × </w:t>
      </w:r>
      <w:r w:rsidRPr="00E215F0">
        <w:t>B</w:t>
      </w:r>
      <w:r w:rsidRPr="00E215F0">
        <w:rPr>
          <w:vertAlign w:val="subscript"/>
        </w:rPr>
        <w:t>real</w:t>
      </w:r>
      <w:r w:rsidRPr="00E215F0">
        <w:t xml:space="preserve"> </w:t>
      </w:r>
      <w:r w:rsidRPr="00E215F0">
        <w:rPr>
          <w:rFonts w:cs="Arial"/>
        </w:rPr>
        <w:t>bits</w:t>
      </w:r>
    </w:p>
    <w:p w14:paraId="2D8C4377" w14:textId="77777777" w:rsidR="00D6409C" w:rsidRPr="00E215F0" w:rsidRDefault="00D6409C" w:rsidP="00D35F36">
      <w:pPr>
        <w:pStyle w:val="ListParagraph"/>
        <w:numPr>
          <w:ilvl w:val="0"/>
          <w:numId w:val="25"/>
        </w:numPr>
      </w:pPr>
      <w:r>
        <w:t>Phases</w:t>
      </w:r>
      <w:r w:rsidRPr="00E215F0">
        <w:t>: N</w:t>
      </w:r>
      <w:r w:rsidRPr="00E215F0">
        <w:rPr>
          <w:vertAlign w:val="subscript"/>
        </w:rPr>
        <w:t>TRP</w:t>
      </w:r>
      <w:r w:rsidRPr="00E215F0">
        <w:t xml:space="preserve"> </w:t>
      </w:r>
      <w:r w:rsidRPr="00E215F0">
        <w:rPr>
          <w:rFonts w:cs="Arial"/>
        </w:rPr>
        <w:t>×</w:t>
      </w:r>
      <w:r w:rsidRPr="00E215F0">
        <w:t xml:space="preserve"> N</w:t>
      </w:r>
      <w:r w:rsidRPr="00E215F0">
        <w:rPr>
          <w:vertAlign w:val="subscript"/>
        </w:rPr>
        <w:t>port</w:t>
      </w:r>
      <w:r w:rsidRPr="00E215F0">
        <w:t xml:space="preserve"> </w:t>
      </w:r>
      <w:r w:rsidRPr="00E215F0">
        <w:rPr>
          <w:rFonts w:cs="Arial"/>
        </w:rPr>
        <w:t xml:space="preserve">× </w:t>
      </w:r>
      <w:r w:rsidRPr="00E215F0">
        <w:t>N</w:t>
      </w:r>
      <w:r w:rsidRPr="00DC32F9">
        <w:rPr>
          <w:vertAlign w:val="subscript"/>
        </w:rPr>
        <w:t>t</w:t>
      </w:r>
      <w:r>
        <w:t>'</w:t>
      </w:r>
      <w:r w:rsidRPr="00E215F0">
        <w:rPr>
          <w:rFonts w:cs="Arial"/>
        </w:rPr>
        <w:t xml:space="preserve"> × </w:t>
      </w:r>
      <w:r w:rsidRPr="00E215F0">
        <w:t>B</w:t>
      </w:r>
      <w:r w:rsidRPr="00E215F0">
        <w:rPr>
          <w:vertAlign w:val="subscript"/>
        </w:rPr>
        <w:t>real</w:t>
      </w:r>
      <w:r w:rsidRPr="00E215F0">
        <w:t xml:space="preserve"> </w:t>
      </w:r>
      <w:r w:rsidRPr="00E215F0">
        <w:rPr>
          <w:rFonts w:cs="Arial"/>
        </w:rPr>
        <w:t>bits</w:t>
      </w:r>
    </w:p>
    <w:p w14:paraId="7904F4FC" w14:textId="77777777" w:rsidR="00D6409C" w:rsidRDefault="00D6409C" w:rsidP="00D6409C">
      <w:r>
        <w:t xml:space="preserve">where </w:t>
      </w:r>
    </w:p>
    <w:p w14:paraId="4E374FB2" w14:textId="77777777" w:rsidR="00D6409C" w:rsidRPr="00E215F0" w:rsidRDefault="00D6409C" w:rsidP="00D35F36">
      <w:pPr>
        <w:pStyle w:val="ListParagraph"/>
        <w:numPr>
          <w:ilvl w:val="0"/>
          <w:numId w:val="24"/>
        </w:numPr>
      </w:pPr>
      <w:r w:rsidRPr="00E215F0">
        <w:t>N</w:t>
      </w:r>
      <w:r w:rsidRPr="00E215F0">
        <w:rPr>
          <w:vertAlign w:val="subscript"/>
        </w:rPr>
        <w:t>TRP</w:t>
      </w:r>
      <w:r w:rsidRPr="00E215F0">
        <w:t xml:space="preserve"> = 18 or dynamic TRP selection to 9, 6, 3 TRPs</w:t>
      </w:r>
    </w:p>
    <w:p w14:paraId="3AF94C16" w14:textId="77777777" w:rsidR="00D6409C" w:rsidRPr="00E215F0" w:rsidRDefault="00D6409C" w:rsidP="00D35F36">
      <w:pPr>
        <w:pStyle w:val="ListParagraph"/>
        <w:numPr>
          <w:ilvl w:val="0"/>
          <w:numId w:val="24"/>
        </w:numPr>
      </w:pPr>
      <w:r w:rsidRPr="00E215F0">
        <w:t>N</w:t>
      </w:r>
      <w:r w:rsidRPr="00E215F0">
        <w:rPr>
          <w:vertAlign w:val="subscript"/>
        </w:rPr>
        <w:t>port</w:t>
      </w:r>
      <w:r w:rsidRPr="00E215F0">
        <w:t xml:space="preserve"> = 2 for CIR and N</w:t>
      </w:r>
      <w:r w:rsidRPr="00E215F0">
        <w:rPr>
          <w:vertAlign w:val="subscript"/>
        </w:rPr>
        <w:t>port</w:t>
      </w:r>
      <w:r w:rsidRPr="00E215F0">
        <w:t xml:space="preserve"> = 1 for PDP</w:t>
      </w:r>
    </w:p>
    <w:p w14:paraId="08E8BB77" w14:textId="77777777" w:rsidR="00D6409C" w:rsidRDefault="00D6409C" w:rsidP="00D35F36">
      <w:pPr>
        <w:pStyle w:val="ListParagraph"/>
        <w:numPr>
          <w:ilvl w:val="0"/>
          <w:numId w:val="25"/>
        </w:numPr>
      </w:pPr>
      <w:r w:rsidRPr="00E215F0">
        <w:t>B</w:t>
      </w:r>
      <w:r w:rsidRPr="00E215F0">
        <w:rPr>
          <w:vertAlign w:val="subscript"/>
        </w:rPr>
        <w:t>real</w:t>
      </w:r>
      <w:r w:rsidRPr="00E215F0">
        <w:t xml:space="preserve"> = 8 </w:t>
      </w:r>
      <w:r>
        <w:t>bits</w:t>
      </w:r>
    </w:p>
    <w:p w14:paraId="636C850B" w14:textId="65E73639" w:rsidR="00D6409C" w:rsidRPr="00BD18B7" w:rsidRDefault="00D6409C" w:rsidP="00D35F36">
      <w:pPr>
        <w:pStyle w:val="ListParagraph"/>
        <w:numPr>
          <w:ilvl w:val="0"/>
          <w:numId w:val="25"/>
        </w:numPr>
        <w:spacing w:before="120"/>
      </w:pPr>
      <w:r w:rsidRPr="00BD18B7">
        <w:t>B</w:t>
      </w:r>
      <w:r w:rsidRPr="00BD18B7">
        <w:rPr>
          <w:vertAlign w:val="subscript"/>
        </w:rPr>
        <w:t>delay</w:t>
      </w:r>
      <w:r w:rsidRPr="00BD18B7">
        <w:t xml:space="preserve"> = (</w:t>
      </w:r>
      <w:r w:rsidR="00D07BED">
        <w:t>11</w:t>
      </w:r>
      <w:r w:rsidRPr="00BD18B7">
        <w:t xml:space="preserve"> </w:t>
      </w:r>
      <w:r w:rsidRPr="00BD18B7">
        <w:rPr>
          <w:rFonts w:cs="Arial"/>
        </w:rPr>
        <w:t>×</w:t>
      </w:r>
      <w:r w:rsidRPr="00BD18B7">
        <w:t xml:space="preserve"> </w:t>
      </w:r>
      <w:r w:rsidRPr="00E215F0">
        <w:t>N</w:t>
      </w:r>
      <w:r w:rsidRPr="00DC32F9">
        <w:rPr>
          <w:vertAlign w:val="subscript"/>
        </w:rPr>
        <w:t>t</w:t>
      </w:r>
      <w:r>
        <w:t>'</w:t>
      </w:r>
      <w:r w:rsidRPr="00BD18B7">
        <w:t xml:space="preserve"> + 7) to (14 </w:t>
      </w:r>
      <w:r w:rsidRPr="00BD18B7">
        <w:rPr>
          <w:rFonts w:cs="Arial"/>
        </w:rPr>
        <w:t>×</w:t>
      </w:r>
      <w:r w:rsidRPr="00BD18B7">
        <w:t xml:space="preserve"> </w:t>
      </w:r>
      <w:r w:rsidRPr="00E215F0">
        <w:t>N</w:t>
      </w:r>
      <w:r w:rsidRPr="00DC32F9">
        <w:rPr>
          <w:vertAlign w:val="subscript"/>
        </w:rPr>
        <w:t>t</w:t>
      </w:r>
      <w:r>
        <w:t>'</w:t>
      </w:r>
      <w:r w:rsidRPr="00BD18B7">
        <w:t xml:space="preserve"> + 7) bits for signaling </w:t>
      </w:r>
      <w:r w:rsidRPr="00E215F0">
        <w:t>N</w:t>
      </w:r>
      <w:r w:rsidRPr="00DC32F9">
        <w:rPr>
          <w:vertAlign w:val="subscript"/>
        </w:rPr>
        <w:t>t</w:t>
      </w:r>
      <w:r>
        <w:t>'</w:t>
      </w:r>
      <w:r w:rsidRPr="00BD18B7">
        <w:t xml:space="preserve"> delays</w:t>
      </w:r>
      <w:r>
        <w:t xml:space="preserve"> a</w:t>
      </w:r>
      <w:r w:rsidRPr="00BD18B7">
        <w:t>ccording to existing specs</w:t>
      </w:r>
    </w:p>
    <w:p w14:paraId="760FBE3A" w14:textId="77777777" w:rsidR="00D6409C" w:rsidRPr="00E215F0" w:rsidRDefault="00D6409C" w:rsidP="00D6409C">
      <w:r w:rsidRPr="00E215F0">
        <w:t>That is, for one positioning request, the total numbers of feedback bits are</w:t>
      </w:r>
    </w:p>
    <w:p w14:paraId="55019C26" w14:textId="77777777" w:rsidR="00D6409C" w:rsidRPr="00E215F0" w:rsidRDefault="00D6409C" w:rsidP="00D35F36">
      <w:pPr>
        <w:pStyle w:val="ListParagraph"/>
        <w:numPr>
          <w:ilvl w:val="0"/>
          <w:numId w:val="26"/>
        </w:numPr>
        <w:tabs>
          <w:tab w:val="left" w:pos="1260"/>
        </w:tabs>
      </w:pPr>
      <w:r w:rsidRPr="00E215F0">
        <w:t>DP</w:t>
      </w:r>
    </w:p>
    <w:p w14:paraId="39D04761" w14:textId="77777777" w:rsidR="00D6409C" w:rsidRDefault="00D6409C"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r>
        <w:t>B</w:t>
      </w:r>
      <w:r w:rsidRPr="006F6085">
        <w:rPr>
          <w:vertAlign w:val="subscript"/>
        </w:rPr>
        <w:t>delay</w:t>
      </w:r>
      <w:r w:rsidRPr="00E215F0">
        <w:t xml:space="preserve"> bits</w:t>
      </w:r>
    </w:p>
    <w:p w14:paraId="064F2B75" w14:textId="77777777" w:rsidR="00D6409C" w:rsidRPr="00F96C1C" w:rsidRDefault="00D6409C" w:rsidP="00D35F36">
      <w:pPr>
        <w:pStyle w:val="ListParagraph"/>
        <w:numPr>
          <w:ilvl w:val="1"/>
          <w:numId w:val="26"/>
        </w:numPr>
        <w:tabs>
          <w:tab w:val="left" w:pos="1260"/>
        </w:tabs>
      </w:pPr>
      <w:r w:rsidRPr="00F96C1C">
        <w:t>Optional: N</w:t>
      </w:r>
      <w:r w:rsidRPr="00F96C1C">
        <w:rPr>
          <w:vertAlign w:val="subscript"/>
        </w:rPr>
        <w:t>TRP</w:t>
      </w:r>
      <w:r w:rsidRPr="00F96C1C">
        <w:t xml:space="preserve"> </w:t>
      </w:r>
      <w:r w:rsidRPr="00F96C1C">
        <w:rPr>
          <w:rFonts w:cs="Arial"/>
        </w:rPr>
        <w:t>×</w:t>
      </w:r>
      <w:r w:rsidRPr="00F96C1C">
        <w:t xml:space="preserve"> </w:t>
      </w:r>
      <w:r>
        <w:t>(</w:t>
      </w:r>
      <w:r w:rsidRPr="00F96C1C">
        <w:t>B</w:t>
      </w:r>
      <w:r w:rsidRPr="00F96C1C">
        <w:rPr>
          <w:vertAlign w:val="subscript"/>
        </w:rPr>
        <w:t>delay</w:t>
      </w:r>
      <w:r w:rsidRPr="00F96C1C">
        <w:t xml:space="preserve"> + B</w:t>
      </w:r>
      <w:r w:rsidRPr="00F96C1C">
        <w:rPr>
          <w:vertAlign w:val="subscript"/>
        </w:rPr>
        <w:t>real</w:t>
      </w:r>
      <w:r>
        <w:t xml:space="preserve">) </w:t>
      </w:r>
      <w:r w:rsidRPr="00F96C1C">
        <w:t>bits</w:t>
      </w:r>
      <w:r>
        <w:t xml:space="preserve"> </w:t>
      </w:r>
      <w:r w:rsidRPr="00015788">
        <w:t>(including the RS RSRP for the TRP link</w:t>
      </w:r>
      <w:r>
        <w:t>s)</w:t>
      </w:r>
    </w:p>
    <w:p w14:paraId="2642EB77" w14:textId="77777777" w:rsidR="00D6409C" w:rsidRPr="00E215F0" w:rsidRDefault="00D6409C" w:rsidP="00D35F36">
      <w:pPr>
        <w:pStyle w:val="ListParagraph"/>
        <w:numPr>
          <w:ilvl w:val="0"/>
          <w:numId w:val="26"/>
        </w:numPr>
        <w:tabs>
          <w:tab w:val="left" w:pos="1260"/>
        </w:tabs>
      </w:pPr>
      <w:r w:rsidRPr="00E215F0">
        <w:t>PDP</w:t>
      </w:r>
    </w:p>
    <w:p w14:paraId="70500467" w14:textId="77777777" w:rsidR="00D6409C" w:rsidRPr="00E215F0" w:rsidRDefault="00D6409C"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r>
        <w:t>(B</w:t>
      </w:r>
      <w:r w:rsidRPr="006F6085">
        <w:rPr>
          <w:vertAlign w:val="subscript"/>
        </w:rPr>
        <w:t>delay</w:t>
      </w:r>
      <w:r w:rsidRPr="00E215F0">
        <w:rPr>
          <w:rFonts w:cs="Arial"/>
        </w:rPr>
        <w:t xml:space="preserve"> + </w:t>
      </w:r>
      <w:r w:rsidRPr="00E215F0">
        <w:t>N</w:t>
      </w:r>
      <w:r w:rsidRPr="00DC32F9">
        <w:rPr>
          <w:vertAlign w:val="subscript"/>
        </w:rPr>
        <w:t>t</w:t>
      </w:r>
      <w:r>
        <w:t>'</w:t>
      </w:r>
      <w:r w:rsidRPr="00E215F0">
        <w:rPr>
          <w:rFonts w:cs="Arial"/>
        </w:rPr>
        <w:t xml:space="preserve"> × </w:t>
      </w:r>
      <w:r w:rsidRPr="00E215F0">
        <w:t>B</w:t>
      </w:r>
      <w:r w:rsidRPr="00E215F0">
        <w:rPr>
          <w:vertAlign w:val="subscript"/>
        </w:rPr>
        <w:t>real</w:t>
      </w:r>
      <w:r>
        <w:t xml:space="preserve">) </w:t>
      </w:r>
      <w:r w:rsidRPr="00E215F0">
        <w:rPr>
          <w:rFonts w:cs="Arial"/>
        </w:rPr>
        <w:t>bits</w:t>
      </w:r>
    </w:p>
    <w:p w14:paraId="48C5CAE5" w14:textId="77777777" w:rsidR="00D6409C" w:rsidRPr="00E215F0" w:rsidRDefault="00D6409C" w:rsidP="00D35F36">
      <w:pPr>
        <w:pStyle w:val="ListParagraph"/>
        <w:numPr>
          <w:ilvl w:val="0"/>
          <w:numId w:val="26"/>
        </w:numPr>
        <w:tabs>
          <w:tab w:val="left" w:pos="1260"/>
        </w:tabs>
      </w:pPr>
      <w:r w:rsidRPr="00E215F0">
        <w:t>CIR</w:t>
      </w:r>
    </w:p>
    <w:p w14:paraId="6705872F" w14:textId="77777777" w:rsidR="00D6409C" w:rsidRPr="00BD18B7" w:rsidRDefault="00D6409C" w:rsidP="00D35F36">
      <w:pPr>
        <w:pStyle w:val="ListParagraph"/>
        <w:numPr>
          <w:ilvl w:val="1"/>
          <w:numId w:val="26"/>
        </w:numPr>
        <w:tabs>
          <w:tab w:val="left" w:pos="1260"/>
        </w:tabs>
      </w:pPr>
      <w:r w:rsidRPr="00E215F0">
        <w:t>N</w:t>
      </w:r>
      <w:r w:rsidRPr="00CE541A">
        <w:rPr>
          <w:vertAlign w:val="subscript"/>
        </w:rPr>
        <w:t>TRP</w:t>
      </w:r>
      <w:r w:rsidRPr="00E215F0">
        <w:t xml:space="preserve"> </w:t>
      </w:r>
      <w:r w:rsidRPr="00CE541A">
        <w:rPr>
          <w:rFonts w:cs="Arial"/>
        </w:rPr>
        <w:t>×</w:t>
      </w:r>
      <w:r w:rsidRPr="00E215F0">
        <w:t xml:space="preserve"> </w:t>
      </w:r>
      <w:r>
        <w:t>(B</w:t>
      </w:r>
      <w:r w:rsidRPr="006F6085">
        <w:rPr>
          <w:vertAlign w:val="subscript"/>
        </w:rPr>
        <w:t>delay</w:t>
      </w:r>
      <w:r w:rsidRPr="00CE541A">
        <w:rPr>
          <w:rFonts w:cs="Arial"/>
        </w:rPr>
        <w:t xml:space="preserve"> + </w:t>
      </w:r>
      <w:r w:rsidRPr="00E215F0">
        <w:t xml:space="preserve">4 </w:t>
      </w:r>
      <w:r w:rsidRPr="00CE541A">
        <w:rPr>
          <w:rFonts w:cs="Arial"/>
        </w:rPr>
        <w:t xml:space="preserve">× </w:t>
      </w:r>
      <w:r w:rsidRPr="00E215F0">
        <w:t>N</w:t>
      </w:r>
      <w:r w:rsidRPr="00DC32F9">
        <w:rPr>
          <w:vertAlign w:val="subscript"/>
        </w:rPr>
        <w:t>t</w:t>
      </w:r>
      <w:r>
        <w:t>'</w:t>
      </w:r>
      <w:r w:rsidRPr="00CE541A">
        <w:rPr>
          <w:rFonts w:cs="Arial"/>
        </w:rPr>
        <w:t xml:space="preserve"> × </w:t>
      </w:r>
      <w:r w:rsidRPr="00E215F0">
        <w:t>B</w:t>
      </w:r>
      <w:r w:rsidRPr="00CE541A">
        <w:rPr>
          <w:vertAlign w:val="subscript"/>
        </w:rPr>
        <w:t>real</w:t>
      </w:r>
      <w:r>
        <w:t xml:space="preserve">) </w:t>
      </w:r>
      <w:r w:rsidRPr="00CE541A">
        <w:rPr>
          <w:rFonts w:cs="Arial"/>
        </w:rPr>
        <w:t>bits</w:t>
      </w:r>
    </w:p>
    <w:p w14:paraId="5A2007AA" w14:textId="3BFA4C20" w:rsidR="00D6409C" w:rsidRDefault="00D6409C" w:rsidP="00D6409C">
      <w:r>
        <w:t xml:space="preserve">Comparing these number of signaling bits using the Rel-17 path reporting approach with those using the regular sampling grid based signaling </w:t>
      </w:r>
      <w:r w:rsidR="00C61341">
        <w:t xml:space="preserve">(see section </w:t>
      </w:r>
      <w:r w:rsidR="00500110">
        <w:fldChar w:fldCharType="begin"/>
      </w:r>
      <w:r w:rsidR="00500110">
        <w:instrText xml:space="preserve"> REF _Ref163048709 \r </w:instrText>
      </w:r>
      <w:r w:rsidR="00500110">
        <w:fldChar w:fldCharType="separate"/>
      </w:r>
      <w:r w:rsidR="00850DA1">
        <w:t>3.2.4.2</w:t>
      </w:r>
      <w:r w:rsidR="00500110">
        <w:fldChar w:fldCharType="end"/>
      </w:r>
      <w:r w:rsidR="00C61341">
        <w:t>)</w:t>
      </w:r>
      <w:r>
        <w:t xml:space="preserve">, it can be seen that </w:t>
      </w:r>
      <w:r w:rsidRPr="001F6FCD">
        <w:t>the only difference is whether the N</w:t>
      </w:r>
      <w:r w:rsidRPr="001F6FCD">
        <w:rPr>
          <w:vertAlign w:val="subscript"/>
        </w:rPr>
        <w:t>t</w:t>
      </w:r>
      <w:r w:rsidRPr="001F6FCD">
        <w:t xml:space="preserve"> bitmap is smaller or larger than the per-path delay reporting size B</w:t>
      </w:r>
      <w:r w:rsidRPr="001F6FCD">
        <w:rPr>
          <w:vertAlign w:val="subscript"/>
        </w:rPr>
        <w:t>delay</w:t>
      </w:r>
      <w:r>
        <w:t xml:space="preserve"> for the specific combinations of lengths, sub-sampling sizes and TRP down-selection case.</w:t>
      </w:r>
    </w:p>
    <w:p w14:paraId="42B6DE0B" w14:textId="77777777" w:rsidR="003438B7" w:rsidRDefault="003438B7" w:rsidP="00D6409C"/>
    <w:p w14:paraId="7FDE28D8" w14:textId="56DABAC6" w:rsidR="00B444BF" w:rsidRPr="00022F5B" w:rsidRDefault="00D7237D">
      <w:r w:rsidRPr="00022F5B">
        <w:t>Using the smallest per-path delay reporting format (</w:t>
      </w:r>
      <w:r w:rsidR="00EC2E48" w:rsidRPr="00022F5B">
        <w:t>11</w:t>
      </w:r>
      <w:r w:rsidRPr="00022F5B">
        <w:t xml:space="preserve"> </w:t>
      </w:r>
      <w:r w:rsidRPr="00022F5B">
        <w:rPr>
          <w:rFonts w:cs="Arial"/>
        </w:rPr>
        <w:t>×</w:t>
      </w:r>
      <w:r w:rsidRPr="00022F5B">
        <w:t xml:space="preserve"> </w:t>
      </w:r>
      <w:r w:rsidR="00DB440D" w:rsidRPr="00022F5B">
        <w:t>N</w:t>
      </w:r>
      <w:r w:rsidR="00DB440D" w:rsidRPr="00022F5B">
        <w:rPr>
          <w:vertAlign w:val="subscript"/>
        </w:rPr>
        <w:t>t</w:t>
      </w:r>
      <w:r w:rsidR="00DB440D" w:rsidRPr="00022F5B">
        <w:t>'</w:t>
      </w:r>
      <w:r w:rsidRPr="00022F5B">
        <w:t xml:space="preserve"> + 7 bits) </w:t>
      </w:r>
      <w:r w:rsidR="00EC2E48" w:rsidRPr="00022F5B">
        <w:t xml:space="preserve">that is </w:t>
      </w:r>
      <w:r w:rsidR="00220A27" w:rsidRPr="00022F5B">
        <w:t xml:space="preserve">more </w:t>
      </w:r>
      <w:r w:rsidR="001F6FCD" w:rsidRPr="00022F5B">
        <w:t xml:space="preserve">granular </w:t>
      </w:r>
      <w:r w:rsidR="00C47315" w:rsidRPr="00022F5B">
        <w:t>(8</w:t>
      </w:r>
      <w:r w:rsidR="00C47315" w:rsidRPr="00022F5B">
        <w:rPr>
          <w:rFonts w:ascii="Symbol" w:eastAsia="Symbol" w:hAnsi="Symbol" w:cs="Symbol"/>
        </w:rPr>
        <w:t>´</w:t>
      </w:r>
      <w:r w:rsidR="00C47315" w:rsidRPr="00022F5B">
        <w:t>T</w:t>
      </w:r>
      <w:r w:rsidR="00C47315" w:rsidRPr="00022F5B">
        <w:rPr>
          <w:vertAlign w:val="subscript"/>
        </w:rPr>
        <w:t>c</w:t>
      </w:r>
      <w:r w:rsidR="00C47315" w:rsidRPr="00022F5B">
        <w:t xml:space="preserve">) </w:t>
      </w:r>
      <w:r w:rsidR="001F6FCD" w:rsidRPr="00022F5B">
        <w:t xml:space="preserve">than the sample-based reporting </w:t>
      </w:r>
      <w:r w:rsidRPr="00022F5B">
        <w:t xml:space="preserve">as an example for the </w:t>
      </w:r>
      <w:r w:rsidR="007A02E8" w:rsidRPr="00022F5B">
        <w:t>Rel-17 path based reporting</w:t>
      </w:r>
      <w:r w:rsidR="00303704" w:rsidRPr="00022F5B">
        <w:t>,</w:t>
      </w:r>
      <w:r w:rsidR="005705D2" w:rsidRPr="00022F5B">
        <w:t xml:space="preserve"> we plot the </w:t>
      </w:r>
      <w:r w:rsidR="007A02E8" w:rsidRPr="00022F5B">
        <w:t xml:space="preserve">comparison </w:t>
      </w:r>
      <w:r w:rsidR="008D3093" w:rsidRPr="00022F5B">
        <w:t xml:space="preserve">of signal sizes using the regular sampling grid signaling approach or the Rel-17 path reporting approach in </w:t>
      </w:r>
      <w:r w:rsidR="003F5DFA" w:rsidRPr="00022F5B">
        <w:fldChar w:fldCharType="begin"/>
      </w:r>
      <w:r w:rsidR="003F5DFA" w:rsidRPr="00022F5B">
        <w:instrText xml:space="preserve"> REF _Ref158906188 \h </w:instrText>
      </w:r>
      <w:r w:rsidR="00022F5B">
        <w:instrText xml:space="preserve"> \* MERGEFORMAT </w:instrText>
      </w:r>
      <w:r w:rsidR="003F5DFA" w:rsidRPr="00022F5B">
        <w:fldChar w:fldCharType="separate"/>
      </w:r>
      <w:r w:rsidR="00850DA1" w:rsidRPr="00E215F0">
        <w:t xml:space="preserve">Figure </w:t>
      </w:r>
      <w:r w:rsidR="00850DA1">
        <w:rPr>
          <w:noProof/>
        </w:rPr>
        <w:t>17</w:t>
      </w:r>
      <w:r w:rsidR="003F5DFA" w:rsidRPr="00022F5B">
        <w:fldChar w:fldCharType="end"/>
      </w:r>
      <w:r w:rsidR="003F5DFA" w:rsidRPr="00022F5B">
        <w:t>.</w:t>
      </w:r>
      <w:r w:rsidR="005C21BB" w:rsidRPr="00022F5B">
        <w:t xml:space="preserve"> </w:t>
      </w:r>
      <w:r w:rsidR="00BE4777" w:rsidRPr="00022F5B">
        <w:t xml:space="preserve">To avoid </w:t>
      </w:r>
      <w:r w:rsidR="006C1EE8" w:rsidRPr="00022F5B">
        <w:t xml:space="preserve">over-crowding the plot, </w:t>
      </w:r>
      <w:r w:rsidR="00DB6C68" w:rsidRPr="00022F5B">
        <w:t>the comparison is based on the PDP input typ</w:t>
      </w:r>
      <w:r w:rsidR="009F471C" w:rsidRPr="00022F5B">
        <w:t>e</w:t>
      </w:r>
      <w:r w:rsidR="00C97D71" w:rsidRPr="00022F5B">
        <w:t>.</w:t>
      </w:r>
      <w:r w:rsidR="009F471C" w:rsidRPr="00022F5B">
        <w:t xml:space="preserve"> </w:t>
      </w:r>
    </w:p>
    <w:p w14:paraId="556F09D7" w14:textId="2F560E2C" w:rsidR="00C97D71" w:rsidRPr="00022F5B" w:rsidRDefault="00B444BF">
      <w:r w:rsidRPr="00022F5B">
        <w:t>T</w:t>
      </w:r>
      <w:r w:rsidR="009F471C" w:rsidRPr="00022F5B">
        <w:t xml:space="preserve">he </w:t>
      </w:r>
      <w:r w:rsidR="00F50C0A" w:rsidRPr="00022F5B">
        <w:t xml:space="preserve">90%tile 2D UE positioning errors for the different channel estimators are </w:t>
      </w:r>
      <w:r w:rsidR="003D3398" w:rsidRPr="00022F5B">
        <w:t xml:space="preserve">averaged. </w:t>
      </w:r>
      <w:r w:rsidRPr="00022F5B">
        <w:t xml:space="preserve">Note that, since </w:t>
      </w:r>
      <w:r w:rsidR="00C97D71" w:rsidRPr="00022F5B">
        <w:t>measurement nodes with computational constraints using simpler channel estimators, the ML models using the Rel-17 path-based reports tend to perform worse than models using sample-based reporting which requires much lower processing complexity</w:t>
      </w:r>
      <w:r w:rsidR="00D504E5" w:rsidRPr="00022F5B">
        <w:t xml:space="preserve">. </w:t>
      </w:r>
      <w:r w:rsidR="00E53CD9" w:rsidRPr="00022F5B">
        <w:t>The averaged performance may be too optimistic when the measurement node is a UE.</w:t>
      </w:r>
    </w:p>
    <w:p w14:paraId="09DF3169" w14:textId="3A010D7B" w:rsidR="00986C22" w:rsidRDefault="005C21BB">
      <w:r>
        <w:t>We can observe that</w:t>
      </w:r>
    </w:p>
    <w:p w14:paraId="46A23335" w14:textId="16429332" w:rsidR="003A6055" w:rsidRPr="00397642" w:rsidRDefault="00B8292A" w:rsidP="00D35F36">
      <w:pPr>
        <w:pStyle w:val="ListParagraph"/>
        <w:numPr>
          <w:ilvl w:val="0"/>
          <w:numId w:val="63"/>
        </w:numPr>
      </w:pPr>
      <w:r>
        <w:t>The sizes of p</w:t>
      </w:r>
      <w:r w:rsidR="00052891">
        <w:t>ath-based signaling</w:t>
      </w:r>
      <w:r w:rsidR="00F76A2E">
        <w:t xml:space="preserve"> </w:t>
      </w:r>
      <w:r w:rsidR="006420DA">
        <w:t xml:space="preserve">scale with the </w:t>
      </w:r>
      <w:r w:rsidR="00235DA1">
        <w:t xml:space="preserve">number of </w:t>
      </w:r>
      <w:r w:rsidR="003C3791">
        <w:t xml:space="preserve">nonzero subsamples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4D6730">
        <w:t>.</w:t>
      </w:r>
    </w:p>
    <w:p w14:paraId="572A68A9" w14:textId="06D9C575" w:rsidR="004D6730" w:rsidRPr="00397642" w:rsidRDefault="004D6730" w:rsidP="00D35F36">
      <w:pPr>
        <w:pStyle w:val="ListParagraph"/>
        <w:numPr>
          <w:ilvl w:val="0"/>
          <w:numId w:val="63"/>
        </w:numPr>
      </w:pPr>
      <w:r>
        <w:t xml:space="preserve">The sizes of sample-based signaling scale with the number of </w:t>
      </w:r>
      <w:r w:rsidR="00AD0673">
        <w:t xml:space="preserve">available </w:t>
      </w:r>
      <w:r w:rsidR="0074689F">
        <w:t>samples for subsampling</w:t>
      </w:r>
      <w:r w:rsidR="00A25A0C">
        <w:t xml:space="preserve">, i.e.,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93B8F">
        <w:t>.</w:t>
      </w:r>
    </w:p>
    <w:p w14:paraId="33DE9BFA" w14:textId="2EEC487C" w:rsidR="00A93B8F" w:rsidRDefault="00C02391" w:rsidP="00C02391">
      <w:r>
        <w:t xml:space="preserve">As a result of the above general behaviors of the two feedback approaches, we can see that </w:t>
      </w:r>
    </w:p>
    <w:p w14:paraId="180BDAC1" w14:textId="0A3035EE" w:rsidR="003D3398" w:rsidRDefault="00455019" w:rsidP="00D35F36">
      <w:pPr>
        <w:pStyle w:val="ListParagraph"/>
        <w:numPr>
          <w:ilvl w:val="0"/>
          <w:numId w:val="33"/>
        </w:numPr>
      </w:pPr>
      <w:r>
        <w:t>Sa</w:t>
      </w:r>
      <w:r w:rsidR="00650A3D">
        <w:t xml:space="preserve">mple-based signaling requires fewer </w:t>
      </w:r>
      <w:r w:rsidR="006D3E50">
        <w:t xml:space="preserve">signaling </w:t>
      </w:r>
      <w:r w:rsidR="00650A3D">
        <w:t>bits than path-based signaling for</w:t>
      </w:r>
      <w:r>
        <w:t xml:space="preserve"> the following cases</w:t>
      </w:r>
    </w:p>
    <w:p w14:paraId="56F310A4" w14:textId="0104023A" w:rsidR="00650A3D" w:rsidRDefault="00C10131" w:rsidP="00D35F36">
      <w:pPr>
        <w:pStyle w:val="ListParagraph"/>
        <w:numPr>
          <w:ilvl w:val="1"/>
          <w:numId w:val="33"/>
        </w:numPr>
      </w:pPr>
      <w:r w:rsidRPr="00E215F0">
        <w:t>N</w:t>
      </w:r>
      <w:r w:rsidRPr="00DC32F9">
        <w:rPr>
          <w:vertAlign w:val="subscript"/>
        </w:rPr>
        <w:t>t</w:t>
      </w:r>
      <w:r w:rsidR="00650A3D">
        <w:t xml:space="preserve"> = 64</w:t>
      </w:r>
      <w:r w:rsidR="005440F3">
        <w:t xml:space="preserve">, </w:t>
      </w:r>
      <w:r w:rsidRPr="00E215F0">
        <w:t>N</w:t>
      </w:r>
      <w:r w:rsidRPr="00DC32F9">
        <w:rPr>
          <w:vertAlign w:val="subscript"/>
        </w:rPr>
        <w:t>t</w:t>
      </w:r>
      <w:r>
        <w:t>'</w:t>
      </w:r>
      <w:r w:rsidR="005440F3">
        <w:t xml:space="preserve"> = 9</w:t>
      </w:r>
    </w:p>
    <w:p w14:paraId="036F3581" w14:textId="5A17EE54" w:rsidR="00701DA5" w:rsidRDefault="00C10131" w:rsidP="00D35F36">
      <w:pPr>
        <w:pStyle w:val="ListParagraph"/>
        <w:numPr>
          <w:ilvl w:val="1"/>
          <w:numId w:val="33"/>
        </w:numPr>
      </w:pPr>
      <w:r w:rsidRPr="00E215F0">
        <w:t>N</w:t>
      </w:r>
      <w:r w:rsidRPr="00DC32F9">
        <w:rPr>
          <w:vertAlign w:val="subscript"/>
        </w:rPr>
        <w:t>t</w:t>
      </w:r>
      <w:r w:rsidR="00701DA5">
        <w:t xml:space="preserve"> = 64, </w:t>
      </w:r>
      <w:r w:rsidRPr="00E215F0">
        <w:t>N</w:t>
      </w:r>
      <w:r w:rsidRPr="00DC32F9">
        <w:rPr>
          <w:vertAlign w:val="subscript"/>
        </w:rPr>
        <w:t>t</w:t>
      </w:r>
      <w:r>
        <w:t>'</w:t>
      </w:r>
      <w:r w:rsidR="00701DA5">
        <w:t xml:space="preserve"> = 16</w:t>
      </w:r>
    </w:p>
    <w:p w14:paraId="0045EAF7" w14:textId="2F4D42CC" w:rsidR="00701DA5" w:rsidRDefault="00701DA5" w:rsidP="00D35F36">
      <w:pPr>
        <w:pStyle w:val="ListParagraph"/>
        <w:numPr>
          <w:ilvl w:val="1"/>
          <w:numId w:val="33"/>
        </w:numPr>
      </w:pPr>
      <w:r>
        <w:t xml:space="preserve">Nt = 128, </w:t>
      </w:r>
      <w:r w:rsidR="00C10131" w:rsidRPr="00E215F0">
        <w:t>N</w:t>
      </w:r>
      <w:r w:rsidR="00C10131" w:rsidRPr="00DC32F9">
        <w:rPr>
          <w:vertAlign w:val="subscript"/>
        </w:rPr>
        <w:t>t</w:t>
      </w:r>
      <w:r w:rsidR="00C10131">
        <w:t>'</w:t>
      </w:r>
      <w:r>
        <w:t xml:space="preserve"> = 16</w:t>
      </w:r>
    </w:p>
    <w:p w14:paraId="78D870CE" w14:textId="576ECD39" w:rsidR="0069672E" w:rsidRDefault="00FD2564" w:rsidP="00D35F36">
      <w:pPr>
        <w:pStyle w:val="ListParagraph"/>
        <w:numPr>
          <w:ilvl w:val="0"/>
          <w:numId w:val="33"/>
        </w:numPr>
      </w:pPr>
      <w:r>
        <w:t>Path</w:t>
      </w:r>
      <w:r w:rsidR="001C0E2E">
        <w:t xml:space="preserve">-based signaling requires </w:t>
      </w:r>
      <w:r>
        <w:t>fewer</w:t>
      </w:r>
      <w:r w:rsidR="001C0E2E">
        <w:t xml:space="preserve"> </w:t>
      </w:r>
      <w:r w:rsidR="006D3E50">
        <w:t xml:space="preserve">signaling </w:t>
      </w:r>
      <w:r w:rsidR="001C0E2E">
        <w:t xml:space="preserve">bits than </w:t>
      </w:r>
      <w:r>
        <w:t>sample</w:t>
      </w:r>
      <w:r w:rsidR="001C0E2E">
        <w:t>-based signaling for the following cases</w:t>
      </w:r>
    </w:p>
    <w:p w14:paraId="356C4BCF" w14:textId="35BD73C0" w:rsidR="008429F8" w:rsidRDefault="00C10131" w:rsidP="00D35F36">
      <w:pPr>
        <w:pStyle w:val="ListParagraph"/>
        <w:numPr>
          <w:ilvl w:val="1"/>
          <w:numId w:val="33"/>
        </w:numPr>
      </w:pPr>
      <w:r w:rsidRPr="00E215F0">
        <w:t>N</w:t>
      </w:r>
      <w:r w:rsidRPr="00DC32F9">
        <w:rPr>
          <w:vertAlign w:val="subscript"/>
        </w:rPr>
        <w:t>t</w:t>
      </w:r>
      <w:r w:rsidR="008429F8">
        <w:t xml:space="preserve"> = </w:t>
      </w:r>
      <w:r w:rsidR="00836CEA">
        <w:t>128</w:t>
      </w:r>
      <w:r w:rsidR="008429F8">
        <w:t xml:space="preserve">, </w:t>
      </w:r>
      <w:r w:rsidRPr="00E215F0">
        <w:t>N</w:t>
      </w:r>
      <w:r w:rsidRPr="00DC32F9">
        <w:rPr>
          <w:vertAlign w:val="subscript"/>
        </w:rPr>
        <w:t>t</w:t>
      </w:r>
      <w:r>
        <w:t>'</w:t>
      </w:r>
      <w:r w:rsidR="008429F8">
        <w:t xml:space="preserve"> = 9</w:t>
      </w:r>
    </w:p>
    <w:p w14:paraId="3DB0365B" w14:textId="60204179" w:rsidR="009440B9" w:rsidRDefault="00C10131" w:rsidP="00D35F36">
      <w:pPr>
        <w:pStyle w:val="ListParagraph"/>
        <w:numPr>
          <w:ilvl w:val="1"/>
          <w:numId w:val="33"/>
        </w:numPr>
      </w:pPr>
      <w:r w:rsidRPr="00E215F0">
        <w:t>N</w:t>
      </w:r>
      <w:r w:rsidRPr="00DC32F9">
        <w:rPr>
          <w:vertAlign w:val="subscript"/>
        </w:rPr>
        <w:t>t</w:t>
      </w:r>
      <w:r w:rsidR="009440B9">
        <w:t xml:space="preserve"> = 256, </w:t>
      </w:r>
      <w:r w:rsidRPr="00E215F0">
        <w:t>N</w:t>
      </w:r>
      <w:r w:rsidRPr="00DC32F9">
        <w:rPr>
          <w:vertAlign w:val="subscript"/>
        </w:rPr>
        <w:t>t</w:t>
      </w:r>
      <w:r>
        <w:t>'</w:t>
      </w:r>
      <w:r w:rsidR="009440B9">
        <w:t xml:space="preserve"> = 9</w:t>
      </w:r>
    </w:p>
    <w:p w14:paraId="16A51B0B" w14:textId="41697516" w:rsidR="008429F8" w:rsidRDefault="00C10131" w:rsidP="00D35F36">
      <w:pPr>
        <w:pStyle w:val="ListParagraph"/>
        <w:numPr>
          <w:ilvl w:val="1"/>
          <w:numId w:val="33"/>
        </w:numPr>
      </w:pPr>
      <w:r w:rsidRPr="00E215F0">
        <w:t>N</w:t>
      </w:r>
      <w:r w:rsidRPr="00DC32F9">
        <w:rPr>
          <w:vertAlign w:val="subscript"/>
        </w:rPr>
        <w:t>t</w:t>
      </w:r>
      <w:r w:rsidR="008429F8">
        <w:t xml:space="preserve"> = </w:t>
      </w:r>
      <w:r w:rsidR="00333AA1">
        <w:t>256</w:t>
      </w:r>
      <w:r w:rsidR="008429F8">
        <w:t xml:space="preserve">, </w:t>
      </w:r>
      <w:r w:rsidRPr="00E215F0">
        <w:t>N</w:t>
      </w:r>
      <w:r w:rsidRPr="00DC32F9">
        <w:rPr>
          <w:vertAlign w:val="subscript"/>
        </w:rPr>
        <w:t>t</w:t>
      </w:r>
      <w:r>
        <w:t>'</w:t>
      </w:r>
      <w:r w:rsidR="008429F8">
        <w:t xml:space="preserve"> = 16</w:t>
      </w:r>
    </w:p>
    <w:p w14:paraId="51F4FBCD" w14:textId="3B1F9B7B" w:rsidR="001C0E2E" w:rsidRDefault="00E1518E" w:rsidP="00D35F36">
      <w:pPr>
        <w:pStyle w:val="ListParagraph"/>
        <w:numPr>
          <w:ilvl w:val="0"/>
          <w:numId w:val="33"/>
        </w:numPr>
      </w:pPr>
      <w:r>
        <w:lastRenderedPageBreak/>
        <w:t xml:space="preserve">The efficiency/performance frontier </w:t>
      </w:r>
      <w:r w:rsidR="00F7101E">
        <w:t>formed by the sample-based signaling using the following combinations offer strictly better</w:t>
      </w:r>
      <w:r w:rsidR="00C6208F">
        <w:t xml:space="preserve"> positioning</w:t>
      </w:r>
      <w:r w:rsidR="00F7101E">
        <w:t xml:space="preserve"> </w:t>
      </w:r>
      <w:r w:rsidR="00C6208F">
        <w:t xml:space="preserve">accuracy </w:t>
      </w:r>
      <w:r w:rsidR="00F7101E">
        <w:t xml:space="preserve">and lower signaling sizes than </w:t>
      </w:r>
      <w:r w:rsidR="00DA37D9">
        <w:t>path-based signaling:</w:t>
      </w:r>
    </w:p>
    <w:p w14:paraId="25B39496" w14:textId="5FCD0523" w:rsidR="00DA37D9" w:rsidRDefault="00DA37D9" w:rsidP="00D35F36">
      <w:pPr>
        <w:pStyle w:val="ListParagraph"/>
        <w:numPr>
          <w:ilvl w:val="1"/>
          <w:numId w:val="33"/>
        </w:numPr>
      </w:pPr>
      <w:r>
        <w:t xml:space="preserve">Sampled based </w:t>
      </w:r>
      <w:r w:rsidR="00C10131" w:rsidRPr="00E215F0">
        <w:t>N</w:t>
      </w:r>
      <w:r w:rsidR="00C10131" w:rsidRPr="00DC32F9">
        <w:rPr>
          <w:vertAlign w:val="subscript"/>
        </w:rPr>
        <w:t>t</w:t>
      </w:r>
      <w:r>
        <w:t xml:space="preserve"> = 64, </w:t>
      </w:r>
      <w:r w:rsidR="00C10131" w:rsidRPr="00E215F0">
        <w:t>N</w:t>
      </w:r>
      <w:r w:rsidR="00C10131" w:rsidRPr="00DC32F9">
        <w:rPr>
          <w:vertAlign w:val="subscript"/>
        </w:rPr>
        <w:t>t</w:t>
      </w:r>
      <w:r w:rsidR="00C10131">
        <w:t>'</w:t>
      </w:r>
      <w:r>
        <w:t xml:space="preserve"> = 9</w:t>
      </w:r>
    </w:p>
    <w:p w14:paraId="7D92A889" w14:textId="5F5A2BD9" w:rsidR="00DA37D9" w:rsidRDefault="00DA37D9" w:rsidP="00D35F36">
      <w:pPr>
        <w:pStyle w:val="ListParagraph"/>
        <w:numPr>
          <w:ilvl w:val="1"/>
          <w:numId w:val="33"/>
        </w:numPr>
      </w:pPr>
      <w:r>
        <w:t xml:space="preserve">Sampled based </w:t>
      </w:r>
      <w:r w:rsidR="00C10131" w:rsidRPr="00E215F0">
        <w:t>N</w:t>
      </w:r>
      <w:r w:rsidR="00C10131" w:rsidRPr="00DC32F9">
        <w:rPr>
          <w:vertAlign w:val="subscript"/>
        </w:rPr>
        <w:t>t</w:t>
      </w:r>
      <w:r>
        <w:t xml:space="preserve"> = 64, </w:t>
      </w:r>
      <w:r w:rsidR="00C10131" w:rsidRPr="00E215F0">
        <w:t>N</w:t>
      </w:r>
      <w:r w:rsidR="00C10131" w:rsidRPr="00DC32F9">
        <w:rPr>
          <w:vertAlign w:val="subscript"/>
        </w:rPr>
        <w:t>t</w:t>
      </w:r>
      <w:r w:rsidR="00C10131">
        <w:t>'</w:t>
      </w:r>
      <w:r>
        <w:t xml:space="preserve"> = 16</w:t>
      </w:r>
    </w:p>
    <w:p w14:paraId="6EAA6C6A" w14:textId="16F266C6" w:rsidR="00DA37D9" w:rsidRDefault="00DA37D9" w:rsidP="00D35F36">
      <w:pPr>
        <w:pStyle w:val="ListParagraph"/>
        <w:numPr>
          <w:ilvl w:val="1"/>
          <w:numId w:val="33"/>
        </w:numPr>
      </w:pPr>
      <w:r>
        <w:t xml:space="preserve">Sampled based </w:t>
      </w:r>
      <w:r w:rsidR="00C10131" w:rsidRPr="00E215F0">
        <w:t>N</w:t>
      </w:r>
      <w:r w:rsidR="00C10131" w:rsidRPr="00DC32F9">
        <w:rPr>
          <w:vertAlign w:val="subscript"/>
        </w:rPr>
        <w:t>t</w:t>
      </w:r>
      <w:r>
        <w:t xml:space="preserve"> = </w:t>
      </w:r>
      <w:r w:rsidR="00332775">
        <w:t>128</w:t>
      </w:r>
      <w:r>
        <w:t xml:space="preserve">, </w:t>
      </w:r>
      <w:r w:rsidR="00C10131" w:rsidRPr="00E215F0">
        <w:t>N</w:t>
      </w:r>
      <w:r w:rsidR="00C10131" w:rsidRPr="00DC32F9">
        <w:rPr>
          <w:vertAlign w:val="subscript"/>
        </w:rPr>
        <w:t>t</w:t>
      </w:r>
      <w:r w:rsidR="00C10131">
        <w:t>'</w:t>
      </w:r>
      <w:r>
        <w:t xml:space="preserve"> = </w:t>
      </w:r>
      <w:r w:rsidR="00332775">
        <w:t>16</w:t>
      </w:r>
    </w:p>
    <w:p w14:paraId="3D30D152" w14:textId="2E31DB0D" w:rsidR="005A189F" w:rsidRPr="005A189F" w:rsidRDefault="005A189F" w:rsidP="00D35F36">
      <w:pPr>
        <w:pStyle w:val="ListParagraph"/>
        <w:numPr>
          <w:ilvl w:val="1"/>
          <w:numId w:val="33"/>
        </w:numPr>
      </w:pPr>
      <w:r w:rsidRPr="005A189F">
        <w:t xml:space="preserve">Sampled based </w:t>
      </w:r>
      <w:r w:rsidR="00C10131" w:rsidRPr="00E215F0">
        <w:t>N</w:t>
      </w:r>
      <w:r w:rsidR="00C10131" w:rsidRPr="00DC32F9">
        <w:rPr>
          <w:vertAlign w:val="subscript"/>
        </w:rPr>
        <w:t>t</w:t>
      </w:r>
      <w:r w:rsidRPr="005A189F">
        <w:t xml:space="preserve"> = 128, </w:t>
      </w:r>
      <w:r w:rsidR="00C10131" w:rsidRPr="00E215F0">
        <w:t>N</w:t>
      </w:r>
      <w:r w:rsidR="00C10131" w:rsidRPr="00DC32F9">
        <w:rPr>
          <w:vertAlign w:val="subscript"/>
        </w:rPr>
        <w:t>t</w:t>
      </w:r>
      <w:r w:rsidR="00C10131">
        <w:t>'</w:t>
      </w:r>
      <w:r w:rsidRPr="005A189F">
        <w:t xml:space="preserve"> = </w:t>
      </w:r>
      <w:r>
        <w:t>24</w:t>
      </w:r>
    </w:p>
    <w:p w14:paraId="0A74FE07" w14:textId="3D8443D1" w:rsidR="00DA37D9" w:rsidRDefault="00DA37D9" w:rsidP="00D35F36">
      <w:pPr>
        <w:pStyle w:val="ListParagraph"/>
        <w:numPr>
          <w:ilvl w:val="1"/>
          <w:numId w:val="33"/>
        </w:numPr>
      </w:pPr>
      <w:r>
        <w:t xml:space="preserve">Sampled based </w:t>
      </w:r>
      <w:r w:rsidR="00C10131" w:rsidRPr="00E215F0">
        <w:t>N</w:t>
      </w:r>
      <w:r w:rsidR="00C10131" w:rsidRPr="00DC32F9">
        <w:rPr>
          <w:vertAlign w:val="subscript"/>
        </w:rPr>
        <w:t>t</w:t>
      </w:r>
      <w:r>
        <w:t xml:space="preserve"> = </w:t>
      </w:r>
      <w:r w:rsidR="00332775">
        <w:t>128</w:t>
      </w:r>
      <w:r>
        <w:t xml:space="preserve">, Nt’ = </w:t>
      </w:r>
      <w:r w:rsidR="00332775">
        <w:t>32</w:t>
      </w:r>
    </w:p>
    <w:p w14:paraId="2A1E659E" w14:textId="77777777" w:rsidR="005272F1" w:rsidRPr="00194B5B" w:rsidRDefault="005272F1" w:rsidP="005272F1"/>
    <w:p w14:paraId="2D43CC35" w14:textId="7734DD03" w:rsidR="00986C22" w:rsidRDefault="002F5444" w:rsidP="00CD59F9">
      <w:pPr>
        <w:jc w:val="center"/>
      </w:pPr>
      <w:r w:rsidRPr="001A4C41">
        <w:rPr>
          <w:noProof/>
        </w:rPr>
        <w:drawing>
          <wp:inline distT="0" distB="0" distL="0" distR="0" wp14:anchorId="14E4141A" wp14:editId="0CE3DA87">
            <wp:extent cx="4572000" cy="3429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C62F87A" w14:textId="3D6EBDED" w:rsidR="00C8086C" w:rsidRDefault="00CE292F" w:rsidP="002210E6">
      <w:pPr>
        <w:pStyle w:val="Caption"/>
      </w:pPr>
      <w:bookmarkStart w:id="851" w:name="_Ref158906188"/>
      <w:r w:rsidRPr="00E215F0">
        <w:t xml:space="preserve">Figure </w:t>
      </w:r>
      <w:r w:rsidR="00500110">
        <w:fldChar w:fldCharType="begin"/>
      </w:r>
      <w:r w:rsidR="00500110">
        <w:instrText xml:space="preserve"> SEQ Figure \* ARABIC </w:instrText>
      </w:r>
      <w:r w:rsidR="00500110">
        <w:fldChar w:fldCharType="separate"/>
      </w:r>
      <w:r w:rsidR="00850DA1">
        <w:rPr>
          <w:noProof/>
        </w:rPr>
        <w:t>17</w:t>
      </w:r>
      <w:r w:rsidR="00500110">
        <w:rPr>
          <w:noProof/>
        </w:rPr>
        <w:fldChar w:fldCharType="end"/>
      </w:r>
      <w:bookmarkEnd w:id="851"/>
      <w:r w:rsidRPr="00E215F0">
        <w:t xml:space="preserve"> </w:t>
      </w:r>
      <w:r>
        <w:t>Scatter plot of</w:t>
      </w:r>
      <w:r w:rsidDel="00E13E40">
        <w:t xml:space="preserve"> </w:t>
      </w:r>
      <w:r w:rsidR="00E13E40">
        <w:t>measurement report</w:t>
      </w:r>
      <w:r>
        <w:t xml:space="preserve"> sizes and the achieved 90%tile 2D UE positioning errors </w:t>
      </w:r>
      <w:r w:rsidR="007D5B17" w:rsidRPr="00E215F0">
        <w:t xml:space="preserve">in the </w:t>
      </w:r>
      <w:r w:rsidR="007D5B17" w:rsidRPr="00E215F0">
        <w:rPr>
          <w:lang w:eastAsia="ja-JP"/>
        </w:rPr>
        <w:t>{60%, 6m, 2m} InF-DH scenario</w:t>
      </w:r>
      <w:r w:rsidR="007D5B17">
        <w:t xml:space="preserve"> </w:t>
      </w:r>
      <w:r>
        <w:t xml:space="preserve">for </w:t>
      </w:r>
      <w:r w:rsidR="005B566E">
        <w:t xml:space="preserve">PDP </w:t>
      </w:r>
      <w:r>
        <w:t>input types with different combinations of lengths</w:t>
      </w:r>
      <w:r w:rsidR="0005174D">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rsidR="0053198A">
        <w:t xml:space="preserve"> </w:t>
      </w:r>
      <w:r w:rsidR="0005174D">
        <w:t>and</w:t>
      </w:r>
      <w:r>
        <w:t xml:space="preserve"> </w:t>
      </w:r>
      <w:r w:rsidR="00937557">
        <w:t>sub-</w:t>
      </w:r>
      <w:r>
        <w:t xml:space="preserve">sampling sizes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using the regular sampling grid signaling approach</w:t>
      </w:r>
      <w:r w:rsidR="0097759F">
        <w:t xml:space="preserve"> or the Rel-17 path reporting approach</w:t>
      </w:r>
      <w:r>
        <w:t>.</w:t>
      </w:r>
      <w:r w:rsidR="00D64679" w:rsidRPr="00D64679">
        <w:t xml:space="preserve"> </w:t>
      </w:r>
      <w:r w:rsidR="0053198A">
        <w:t xml:space="preserve">The points are labelled by </w:t>
      </w:r>
      <w:r w:rsidR="00836ABD">
        <w:t xml:space="preserve">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rsidR="00836ABD">
        <w:t xml:space="preserve"> parameters. </w:t>
      </w:r>
      <w:r w:rsidR="00D64679" w:rsidRPr="00E215F0">
        <w:t xml:space="preserve">The positioning accuracy is for the “small model” for centralized direct positioning trained with 40,000 samples </w:t>
      </w:r>
      <w:r w:rsidR="00D64679" w:rsidRPr="00E215F0">
        <w:fldChar w:fldCharType="begin"/>
      </w:r>
      <w:r w:rsidR="00D64679" w:rsidRPr="00E215F0">
        <w:instrText xml:space="preserve"> REF _Ref158730650 \r \h </w:instrText>
      </w:r>
      <w:r w:rsidR="00D64679" w:rsidRPr="00E215F0">
        <w:fldChar w:fldCharType="separate"/>
      </w:r>
      <w:r w:rsidR="00850DA1">
        <w:t>[6]</w:t>
      </w:r>
      <w:r w:rsidR="00D64679" w:rsidRPr="00E215F0">
        <w:fldChar w:fldCharType="end"/>
      </w:r>
      <w:r w:rsidR="00D64679" w:rsidRPr="00E215F0">
        <w:t>.</w:t>
      </w:r>
      <w:r w:rsidR="00FD5A5E">
        <w:t xml:space="preserve"> The size</w:t>
      </w:r>
      <w:r w:rsidR="00BC69F3">
        <w:t>s</w:t>
      </w:r>
      <w:r w:rsidR="00FD5A5E">
        <w:t xml:space="preserve"> of the signaling for the sample-based feedback </w:t>
      </w:r>
      <w:r w:rsidR="00BC69F3">
        <w:t xml:space="preserve">are based direct </w:t>
      </w:r>
      <w:r w:rsidR="003A0D8E">
        <w:t xml:space="preserve">bitmaps for the timings of the nonzero subsamples described in Section </w:t>
      </w:r>
      <w:r w:rsidR="00D37E30">
        <w:fldChar w:fldCharType="begin"/>
      </w:r>
      <w:r w:rsidR="00D37E30">
        <w:instrText xml:space="preserve"> REF _Ref165982714 \r \h </w:instrText>
      </w:r>
      <w:r w:rsidR="00D37E30">
        <w:fldChar w:fldCharType="separate"/>
      </w:r>
      <w:r w:rsidR="00850DA1">
        <w:t>3.2.4.2</w:t>
      </w:r>
      <w:r w:rsidR="00D37E30">
        <w:fldChar w:fldCharType="end"/>
      </w:r>
      <w:r w:rsidR="003A0D8E">
        <w:t>.</w:t>
      </w:r>
    </w:p>
    <w:p w14:paraId="48CEEA39" w14:textId="77777777" w:rsidR="00397828" w:rsidRDefault="00397828" w:rsidP="00397828">
      <w:pPr>
        <w:rPr>
          <w:lang w:eastAsia="en-GB"/>
        </w:rPr>
      </w:pPr>
    </w:p>
    <w:p w14:paraId="1912F804" w14:textId="5031F956" w:rsidR="00397828" w:rsidRDefault="00AB563D" w:rsidP="00397828">
      <w:pPr>
        <w:rPr>
          <w:lang w:eastAsia="en-GB"/>
        </w:rPr>
      </w:pPr>
      <w:r>
        <w:rPr>
          <w:lang w:eastAsia="en-GB"/>
        </w:rPr>
        <w:t xml:space="preserve">Furthermore, following the unified measurement framework and further compression of path/sampling timing information bits, </w:t>
      </w:r>
      <w:r w:rsidR="00720E8F">
        <w:rPr>
          <w:lang w:eastAsia="en-GB"/>
        </w:rPr>
        <w:t xml:space="preserve">the number of bits needed to report the </w:t>
      </w:r>
      <w:r w:rsidR="003C5E85">
        <w:rPr>
          <w:lang w:eastAsia="en-GB"/>
        </w:rPr>
        <w:t xml:space="preserve">timings of the nonzero subsamples can be </w:t>
      </w:r>
      <w:r w:rsidR="006D7638">
        <w:rPr>
          <w:lang w:eastAsia="en-GB"/>
        </w:rPr>
        <w:t xml:space="preserve">substantially reduced. As an example, we replot the comparison shown in </w:t>
      </w:r>
      <w:r w:rsidR="006D7638">
        <w:rPr>
          <w:lang w:eastAsia="en-GB"/>
        </w:rPr>
        <w:fldChar w:fldCharType="begin"/>
      </w:r>
      <w:r w:rsidR="006D7638">
        <w:rPr>
          <w:lang w:eastAsia="en-GB"/>
        </w:rPr>
        <w:instrText xml:space="preserve"> REF _Ref158906188 \h </w:instrText>
      </w:r>
      <w:r w:rsidR="006D7638">
        <w:rPr>
          <w:lang w:eastAsia="en-GB"/>
        </w:rPr>
      </w:r>
      <w:r w:rsidR="006D7638">
        <w:rPr>
          <w:lang w:eastAsia="en-GB"/>
        </w:rPr>
        <w:fldChar w:fldCharType="separate"/>
      </w:r>
      <w:r w:rsidR="00850DA1" w:rsidRPr="00E215F0">
        <w:t xml:space="preserve">Figure </w:t>
      </w:r>
      <w:r w:rsidR="00850DA1">
        <w:rPr>
          <w:noProof/>
        </w:rPr>
        <w:t>17</w:t>
      </w:r>
      <w:r w:rsidR="006D7638">
        <w:rPr>
          <w:lang w:eastAsia="en-GB"/>
        </w:rPr>
        <w:fldChar w:fldCharType="end"/>
      </w:r>
      <w:r w:rsidR="006D7638">
        <w:rPr>
          <w:lang w:eastAsia="en-GB"/>
        </w:rPr>
        <w:t xml:space="preserve"> with the more efficient representation for the </w:t>
      </w:r>
      <w:r w:rsidR="00EF1FAA">
        <w:rPr>
          <w:lang w:eastAsia="en-GB"/>
        </w:rPr>
        <w:t>sample-based</w:t>
      </w:r>
      <w:r w:rsidR="006D7638">
        <w:rPr>
          <w:lang w:eastAsia="en-GB"/>
        </w:rPr>
        <w:t xml:space="preserve"> feedback in </w:t>
      </w:r>
      <w:r w:rsidR="002F5444">
        <w:rPr>
          <w:lang w:eastAsia="en-GB"/>
        </w:rPr>
        <w:fldChar w:fldCharType="begin"/>
      </w:r>
      <w:r w:rsidR="002F5444">
        <w:rPr>
          <w:lang w:eastAsia="en-GB"/>
        </w:rPr>
        <w:instrText xml:space="preserve"> REF _Ref165982619 \h </w:instrText>
      </w:r>
      <w:r w:rsidR="002F5444">
        <w:rPr>
          <w:lang w:eastAsia="en-GB"/>
        </w:rPr>
      </w:r>
      <w:r w:rsidR="002F5444">
        <w:rPr>
          <w:lang w:eastAsia="en-GB"/>
        </w:rPr>
        <w:fldChar w:fldCharType="separate"/>
      </w:r>
      <w:r w:rsidR="00850DA1" w:rsidRPr="00E215F0">
        <w:t xml:space="preserve">Figure </w:t>
      </w:r>
      <w:r w:rsidR="00850DA1">
        <w:rPr>
          <w:noProof/>
        </w:rPr>
        <w:t>18</w:t>
      </w:r>
      <w:r w:rsidR="002F5444">
        <w:rPr>
          <w:lang w:eastAsia="en-GB"/>
        </w:rPr>
        <w:fldChar w:fldCharType="end"/>
      </w:r>
      <w:r w:rsidR="006D7638">
        <w:rPr>
          <w:lang w:eastAsia="en-GB"/>
        </w:rPr>
        <w:t>.</w:t>
      </w:r>
      <w:r w:rsidR="00CF0F60">
        <w:rPr>
          <w:lang w:eastAsia="en-GB"/>
        </w:rPr>
        <w:t xml:space="preserve"> </w:t>
      </w:r>
    </w:p>
    <w:p w14:paraId="1F6F1BA7" w14:textId="77777777" w:rsidR="005B45C6" w:rsidRDefault="00CF0F60" w:rsidP="00397828">
      <w:pPr>
        <w:rPr>
          <w:lang w:eastAsia="en-GB"/>
        </w:rPr>
      </w:pPr>
      <w:r>
        <w:rPr>
          <w:lang w:eastAsia="en-GB"/>
        </w:rPr>
        <w:t xml:space="preserve">We can observe that the more efficient bitmap representation </w:t>
      </w:r>
      <w:r w:rsidR="00494B56">
        <w:rPr>
          <w:lang w:eastAsia="en-GB"/>
        </w:rPr>
        <w:t xml:space="preserve">enables the sample-based feedback </w:t>
      </w:r>
      <w:r w:rsidR="00271F9D">
        <w:rPr>
          <w:lang w:eastAsia="en-GB"/>
        </w:rPr>
        <w:t xml:space="preserve">to reduce the number of signal bits substantially. </w:t>
      </w:r>
    </w:p>
    <w:p w14:paraId="41D55DDF" w14:textId="7BA370A4" w:rsidR="00CF0F60" w:rsidRDefault="00271F9D" w:rsidP="00D35F36">
      <w:pPr>
        <w:pStyle w:val="ListParagraph"/>
        <w:numPr>
          <w:ilvl w:val="0"/>
          <w:numId w:val="64"/>
        </w:numPr>
        <w:rPr>
          <w:lang w:eastAsia="en-GB"/>
        </w:rPr>
      </w:pPr>
      <w:r>
        <w:rPr>
          <w:lang w:eastAsia="en-GB"/>
        </w:rPr>
        <w:t xml:space="preserve">Furthermore, the sizes of the signaling bits for the sample-based feedback </w:t>
      </w:r>
      <w:r w:rsidR="009A07A0">
        <w:rPr>
          <w:lang w:eastAsia="en-GB"/>
        </w:rPr>
        <w:t xml:space="preserve">scale mainly with the number </w:t>
      </w:r>
      <w:r w:rsidR="009A07A0">
        <w:t xml:space="preserve">the number of nonzero subsamples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7812F7">
        <w:t>, too</w:t>
      </w:r>
      <w:r w:rsidR="009A07A0">
        <w:t>.</w:t>
      </w:r>
    </w:p>
    <w:p w14:paraId="6B1E3AD7" w14:textId="0DBE4250" w:rsidR="00EF1FAA" w:rsidRDefault="006B1C5B" w:rsidP="00D35F36">
      <w:pPr>
        <w:pStyle w:val="ListParagraph"/>
        <w:numPr>
          <w:ilvl w:val="0"/>
          <w:numId w:val="64"/>
        </w:numPr>
        <w:rPr>
          <w:lang w:eastAsia="en-GB"/>
        </w:rPr>
      </w:pPr>
      <w:r>
        <w:t>The efficiency/performance frontier formed by the sample-based signaling offer strictly better positioning accuracy and lower signaling sizes than path-based signaling</w:t>
      </w:r>
      <w:r w:rsidR="00EE4F4C">
        <w:t>.</w:t>
      </w:r>
    </w:p>
    <w:p w14:paraId="227304C8" w14:textId="77777777" w:rsidR="005B45C6" w:rsidRDefault="005B45C6" w:rsidP="00397828">
      <w:pPr>
        <w:rPr>
          <w:lang w:eastAsia="en-GB"/>
        </w:rPr>
      </w:pPr>
    </w:p>
    <w:p w14:paraId="5D737644" w14:textId="5C48A177" w:rsidR="00EF1FAA" w:rsidRPr="00194B5B" w:rsidRDefault="00EF1FAA" w:rsidP="002938DE">
      <w:pPr>
        <w:pStyle w:val="Observation"/>
      </w:pPr>
      <w:bookmarkStart w:id="852" w:name="_Toc178961856"/>
      <w:r>
        <w:t xml:space="preserve">Sample-based signaling can achieve better positioning accuracy and lower signaling sizes than </w:t>
      </w:r>
      <w:r w:rsidR="00AB563D">
        <w:t xml:space="preserve">legacy </w:t>
      </w:r>
      <w:r>
        <w:t>path-based signaling using substantially simpler measurement node processing</w:t>
      </w:r>
      <w:r w:rsidRPr="00194B5B">
        <w:t>.</w:t>
      </w:r>
      <w:bookmarkEnd w:id="852"/>
    </w:p>
    <w:p w14:paraId="53A10654" w14:textId="77777777" w:rsidR="00EF1FAA" w:rsidRDefault="00EF1FAA" w:rsidP="00397828">
      <w:pPr>
        <w:rPr>
          <w:lang w:eastAsia="en-GB"/>
        </w:rPr>
      </w:pPr>
    </w:p>
    <w:p w14:paraId="0B8271DB" w14:textId="77777777" w:rsidR="00EE4F4C" w:rsidRDefault="00EE4F4C" w:rsidP="00397828">
      <w:pPr>
        <w:rPr>
          <w:lang w:eastAsia="en-GB"/>
        </w:rPr>
      </w:pPr>
    </w:p>
    <w:p w14:paraId="3DD44982" w14:textId="4FAAA5CB" w:rsidR="006D7638" w:rsidRDefault="00B96D72" w:rsidP="006D7638">
      <w:pPr>
        <w:jc w:val="center"/>
      </w:pPr>
      <w:r w:rsidRPr="008D57DA">
        <w:rPr>
          <w:noProof/>
        </w:rPr>
        <w:drawing>
          <wp:inline distT="0" distB="0" distL="0" distR="0" wp14:anchorId="60A73ADB" wp14:editId="0A89C2CC">
            <wp:extent cx="4572000" cy="3429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414C2C4" w14:textId="5527475E" w:rsidR="006D7638" w:rsidRDefault="006D7638" w:rsidP="006D7638">
      <w:pPr>
        <w:pStyle w:val="Caption"/>
      </w:pPr>
      <w:bookmarkStart w:id="853" w:name="_Ref165982619"/>
      <w:r w:rsidRPr="00E215F0">
        <w:t xml:space="preserve">Figure </w:t>
      </w:r>
      <w:r w:rsidR="00500110">
        <w:fldChar w:fldCharType="begin"/>
      </w:r>
      <w:r w:rsidR="00500110">
        <w:instrText xml:space="preserve"> SEQ Figure \* ARABIC </w:instrText>
      </w:r>
      <w:r w:rsidR="00500110">
        <w:fldChar w:fldCharType="separate"/>
      </w:r>
      <w:r w:rsidR="00850DA1">
        <w:rPr>
          <w:noProof/>
        </w:rPr>
        <w:t>18</w:t>
      </w:r>
      <w:r w:rsidR="00500110">
        <w:rPr>
          <w:noProof/>
        </w:rPr>
        <w:fldChar w:fldCharType="end"/>
      </w:r>
      <w:bookmarkEnd w:id="853"/>
      <w:r w:rsidRPr="00E215F0">
        <w:t xml:space="preserve"> </w:t>
      </w:r>
      <w:r>
        <w:t>Scatter plot of</w:t>
      </w:r>
      <w:r w:rsidDel="00E13E40">
        <w:t xml:space="preserve"> </w:t>
      </w:r>
      <w:r>
        <w:t xml:space="preserve">measurement report sizes and the achieved 90%tile 2D UE positioning errors </w:t>
      </w:r>
      <w:r w:rsidRPr="00E215F0">
        <w:t xml:space="preserve">in the </w:t>
      </w:r>
      <w:r w:rsidRPr="00E215F0">
        <w:rPr>
          <w:lang w:eastAsia="ja-JP"/>
        </w:rPr>
        <w:t>{60%, 6m, 2m} InF-DH scenario</w:t>
      </w:r>
      <w:r>
        <w:t xml:space="preserve"> for PDP input types with different combinations of lengths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t xml:space="preserve"> and sub-sampling sizes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using the regular sampling grid signaling approach or the Rel-17 path reporting approach.</w:t>
      </w:r>
      <w:r w:rsidRPr="00D64679">
        <w:t xml:space="preserve"> </w:t>
      </w:r>
      <w:r>
        <w:t xml:space="preserve">The points are labelled by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parameters. </w:t>
      </w:r>
      <w:r w:rsidRPr="00E215F0">
        <w:t xml:space="preserve">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850DA1">
        <w:t>[6]</w:t>
      </w:r>
      <w:r w:rsidRPr="00E215F0">
        <w:fldChar w:fldCharType="end"/>
      </w:r>
      <w:r w:rsidRPr="00E215F0">
        <w:t>.</w:t>
      </w:r>
      <w:r w:rsidR="003A0D8E">
        <w:t xml:space="preserve"> The sizes of the signaling for the sample-based feedback are based </w:t>
      </w:r>
      <w:r w:rsidR="00680986">
        <w:t xml:space="preserve">on </w:t>
      </w:r>
      <w:r w:rsidR="00D37E30">
        <w:t xml:space="preserve">more efficient representation of </w:t>
      </w:r>
      <w:r w:rsidR="004336A9">
        <w:t xml:space="preserve">nonzero subsample </w:t>
      </w:r>
      <w:r w:rsidR="00D37E30">
        <w:t>timing</w:t>
      </w:r>
      <w:r w:rsidR="004336A9">
        <w:t xml:space="preserve"> </w:t>
      </w:r>
      <w:r w:rsidR="003A0D8E">
        <w:t>bitmaps</w:t>
      </w:r>
      <w:r w:rsidR="00680986">
        <w:t>.</w:t>
      </w:r>
    </w:p>
    <w:p w14:paraId="7A89D077" w14:textId="77777777" w:rsidR="00397828" w:rsidRPr="009C33E3" w:rsidRDefault="00397828" w:rsidP="00397642"/>
    <w:p w14:paraId="0412C92F" w14:textId="23564EE0" w:rsidR="00300C42" w:rsidRDefault="00300C42" w:rsidP="00300C42">
      <w:pPr>
        <w:pStyle w:val="Heading2"/>
        <w:rPr>
          <w:lang w:val="en-US"/>
        </w:rPr>
      </w:pPr>
      <w:bookmarkStart w:id="854" w:name="_Toc173850913"/>
      <w:bookmarkStart w:id="855" w:name="_Toc173940665"/>
      <w:bookmarkStart w:id="856" w:name="_Toc173850914"/>
      <w:bookmarkStart w:id="857" w:name="_Toc173940666"/>
      <w:bookmarkStart w:id="858" w:name="_Toc173850915"/>
      <w:bookmarkStart w:id="859" w:name="_Toc173940667"/>
      <w:bookmarkStart w:id="860" w:name="_Toc173850916"/>
      <w:bookmarkStart w:id="861" w:name="_Toc173940668"/>
      <w:bookmarkStart w:id="862" w:name="_Toc173850917"/>
      <w:bookmarkStart w:id="863" w:name="_Toc173940669"/>
      <w:bookmarkStart w:id="864" w:name="_Toc173850918"/>
      <w:bookmarkStart w:id="865" w:name="_Toc173940670"/>
      <w:bookmarkStart w:id="866" w:name="_Toc173850919"/>
      <w:bookmarkStart w:id="867" w:name="_Toc173940671"/>
      <w:bookmarkStart w:id="868" w:name="_Toc173850920"/>
      <w:bookmarkStart w:id="869" w:name="_Toc173940672"/>
      <w:bookmarkStart w:id="870" w:name="_Toc165990987"/>
      <w:bookmarkStart w:id="871" w:name="_Toc178961655"/>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r>
        <w:rPr>
          <w:lang w:val="en-US"/>
        </w:rPr>
        <w:t>A</w:t>
      </w:r>
      <w:r w:rsidRPr="00CD59F9">
        <w:rPr>
          <w:lang w:val="en-US"/>
        </w:rPr>
        <w:t>nalysis</w:t>
      </w:r>
      <w:r>
        <w:rPr>
          <w:lang w:val="en-US"/>
        </w:rPr>
        <w:t xml:space="preserve"> of </w:t>
      </w:r>
      <w:r w:rsidR="009E1513">
        <w:rPr>
          <w:lang w:val="en-US"/>
        </w:rPr>
        <w:t>support</w:t>
      </w:r>
      <w:r w:rsidR="00110C55">
        <w:rPr>
          <w:lang w:val="en-US"/>
        </w:rPr>
        <w:t>ing</w:t>
      </w:r>
      <w:r w:rsidR="009E1513">
        <w:rPr>
          <w:lang w:val="en-US"/>
        </w:rPr>
        <w:t xml:space="preserve"> phase information measurement</w:t>
      </w:r>
      <w:bookmarkEnd w:id="870"/>
      <w:bookmarkEnd w:id="871"/>
    </w:p>
    <w:p w14:paraId="6669F1E6" w14:textId="7743E330" w:rsidR="00300C42" w:rsidRDefault="00300C42" w:rsidP="00300C42">
      <w:r>
        <w:t xml:space="preserve">In RAN1#116, the following agreement was made to investigate whether phase information should be supported as a part of model input, for example, as list of phase information as in CIR or one phase value for the first detected path only. </w:t>
      </w:r>
    </w:p>
    <w:tbl>
      <w:tblPr>
        <w:tblStyle w:val="TableGrid"/>
        <w:tblW w:w="0" w:type="auto"/>
        <w:tblLook w:val="04A0" w:firstRow="1" w:lastRow="0" w:firstColumn="1" w:lastColumn="0" w:noHBand="0" w:noVBand="1"/>
      </w:tblPr>
      <w:tblGrid>
        <w:gridCol w:w="9962"/>
      </w:tblGrid>
      <w:tr w:rsidR="006F1ADE" w14:paraId="596460A8" w14:textId="77777777">
        <w:tc>
          <w:tcPr>
            <w:tcW w:w="9962" w:type="dxa"/>
          </w:tcPr>
          <w:p w14:paraId="75A1D542" w14:textId="77777777" w:rsidR="00300C42" w:rsidRPr="00AF48A0" w:rsidRDefault="00300C42" w:rsidP="00566053">
            <w:pPr>
              <w:spacing w:after="0"/>
              <w:rPr>
                <w:rFonts w:ascii="Times" w:eastAsia="DengXian" w:hAnsi="Times"/>
                <w:b/>
                <w:bCs/>
                <w:sz w:val="20"/>
                <w:highlight w:val="green"/>
                <w:lang w:val="en-GB"/>
              </w:rPr>
            </w:pPr>
            <w:r w:rsidRPr="00AF48A0">
              <w:rPr>
                <w:rFonts w:ascii="Times" w:eastAsia="DengXian" w:hAnsi="Times" w:hint="eastAsia"/>
                <w:b/>
                <w:bCs/>
                <w:sz w:val="20"/>
                <w:highlight w:val="green"/>
                <w:lang w:val="en-GB"/>
              </w:rPr>
              <w:t>A</w:t>
            </w:r>
            <w:r w:rsidRPr="00AF48A0">
              <w:rPr>
                <w:rFonts w:ascii="Times" w:eastAsia="DengXian" w:hAnsi="Times"/>
                <w:b/>
                <w:bCs/>
                <w:sz w:val="20"/>
                <w:highlight w:val="green"/>
                <w:lang w:val="en-GB"/>
              </w:rPr>
              <w:t>greement</w:t>
            </w:r>
          </w:p>
          <w:p w14:paraId="5C7F4C39" w14:textId="77777777" w:rsidR="00300C42" w:rsidRPr="00AF48A0" w:rsidRDefault="00300C42" w:rsidP="00566053">
            <w:pPr>
              <w:spacing w:after="0"/>
              <w:rPr>
                <w:rFonts w:ascii="Times" w:eastAsia="Batang" w:hAnsi="Times"/>
                <w:sz w:val="20"/>
                <w:lang w:val="en-GB"/>
              </w:rPr>
            </w:pPr>
            <w:r w:rsidRPr="00AF48A0">
              <w:rPr>
                <w:rFonts w:ascii="Times" w:eastAsia="Batang" w:hAnsi="Times"/>
                <w:sz w:val="20"/>
                <w:lang w:val="en-GB"/>
              </w:rPr>
              <w:t>For AI/ML based positioning for all use cases, RAN1 investigate the necessity and feasibility of using phase information (in addition to timing information and power information) for determining model input. The issues to study include:</w:t>
            </w:r>
          </w:p>
          <w:p w14:paraId="1A9BFB4E" w14:textId="77777777" w:rsidR="00300C42" w:rsidRPr="00AF48A0" w:rsidRDefault="00300C42" w:rsidP="00D35F36">
            <w:pPr>
              <w:widowControl w:val="0"/>
              <w:numPr>
                <w:ilvl w:val="0"/>
                <w:numId w:val="44"/>
              </w:numPr>
              <w:spacing w:after="0"/>
              <w:rPr>
                <w:rFonts w:ascii="Times" w:eastAsia="Batang" w:hAnsi="Times" w:cs="DengXian"/>
                <w:sz w:val="20"/>
                <w:lang w:eastAsia="x-none"/>
              </w:rPr>
            </w:pPr>
            <w:r w:rsidRPr="00AF48A0">
              <w:rPr>
                <w:rFonts w:ascii="Times" w:eastAsia="Batang" w:hAnsi="Times"/>
                <w:sz w:val="20"/>
                <w:lang w:eastAsia="x-none"/>
              </w:rPr>
              <w:t>Tradeoff of positioning accuracy and signaling overhead</w:t>
            </w:r>
          </w:p>
          <w:p w14:paraId="6D049595" w14:textId="77777777" w:rsidR="00300C42" w:rsidRPr="00AF48A0" w:rsidRDefault="00300C42" w:rsidP="00D35F36">
            <w:pPr>
              <w:widowControl w:val="0"/>
              <w:numPr>
                <w:ilvl w:val="0"/>
                <w:numId w:val="44"/>
              </w:numPr>
              <w:spacing w:after="0"/>
              <w:rPr>
                <w:rFonts w:ascii="Times" w:eastAsia="Batang" w:hAnsi="Times" w:cs="DengXian"/>
                <w:sz w:val="20"/>
                <w:lang w:eastAsia="x-none"/>
              </w:rPr>
            </w:pPr>
            <w:r w:rsidRPr="00AF48A0">
              <w:rPr>
                <w:rFonts w:ascii="Times" w:eastAsia="Batang" w:hAnsi="Times"/>
                <w:sz w:val="20"/>
                <w:lang w:eastAsia="x-none"/>
              </w:rPr>
              <w:t>The impact of transmitter and receiver implementation</w:t>
            </w:r>
          </w:p>
          <w:p w14:paraId="63EB6273" w14:textId="77777777" w:rsidR="00300C42" w:rsidRPr="00AF48A0" w:rsidRDefault="00300C42" w:rsidP="00D35F36">
            <w:pPr>
              <w:widowControl w:val="0"/>
              <w:numPr>
                <w:ilvl w:val="0"/>
                <w:numId w:val="44"/>
              </w:numPr>
              <w:spacing w:after="0"/>
              <w:rPr>
                <w:rFonts w:ascii="Times" w:eastAsia="Batang" w:hAnsi="Times" w:cs="DengXian"/>
                <w:sz w:val="20"/>
                <w:lang w:val="en-GB" w:eastAsia="x-none"/>
              </w:rPr>
            </w:pPr>
            <w:r w:rsidRPr="00AF48A0">
              <w:rPr>
                <w:rFonts w:ascii="Times" w:eastAsia="Batang" w:hAnsi="Times"/>
                <w:sz w:val="20"/>
                <w:lang w:eastAsia="x-none"/>
              </w:rPr>
              <w:t>S</w:t>
            </w:r>
            <w:r w:rsidRPr="00AF48A0">
              <w:rPr>
                <w:rFonts w:ascii="Times" w:eastAsia="Batang" w:hAnsi="Times"/>
                <w:sz w:val="20"/>
                <w:lang w:val="en-GB" w:eastAsia="x-none"/>
              </w:rPr>
              <w:t>pecification impact</w:t>
            </w:r>
          </w:p>
          <w:p w14:paraId="582CB037" w14:textId="77777777" w:rsidR="00300C42" w:rsidRPr="00AF48A0" w:rsidRDefault="00300C42" w:rsidP="00D35F36">
            <w:pPr>
              <w:widowControl w:val="0"/>
              <w:numPr>
                <w:ilvl w:val="0"/>
                <w:numId w:val="44"/>
              </w:numPr>
              <w:spacing w:after="0"/>
              <w:rPr>
                <w:rFonts w:ascii="Times" w:eastAsia="Batang" w:hAnsi="Times" w:cs="DengXian"/>
                <w:sz w:val="20"/>
                <w:lang w:val="en-GB" w:eastAsia="x-none"/>
              </w:rPr>
            </w:pPr>
            <w:r w:rsidRPr="00AF48A0">
              <w:rPr>
                <w:rFonts w:ascii="Times" w:eastAsia="SimSun" w:hAnsi="Times" w:hint="eastAsia"/>
                <w:sz w:val="20"/>
                <w:lang w:eastAsia="x-none"/>
              </w:rPr>
              <w:t>Other aspects are not precluded</w:t>
            </w:r>
          </w:p>
          <w:p w14:paraId="45711109" w14:textId="77777777" w:rsidR="00300C42" w:rsidRPr="00DF2B5B" w:rsidRDefault="00300C42" w:rsidP="00566053">
            <w:pPr>
              <w:spacing w:after="0"/>
              <w:rPr>
                <w:rFonts w:ascii="Times" w:eastAsia="Batang" w:hAnsi="Times" w:cs="DengXian"/>
                <w:sz w:val="20"/>
                <w:lang w:val="en-GB"/>
              </w:rPr>
            </w:pPr>
            <w:r w:rsidRPr="00AF48A0">
              <w:rPr>
                <w:rFonts w:ascii="Times" w:eastAsia="Batang" w:hAnsi="Times" w:cs="DengXian"/>
                <w:sz w:val="20"/>
                <w:lang w:val="en-GB"/>
              </w:rPr>
              <w:t>Note: the phase information may be used in different ways, e.g., one phase value for the first path or first sample only; triplet of {timing information, power information, phase information} for CIR, etc.</w:t>
            </w:r>
          </w:p>
        </w:tc>
      </w:tr>
    </w:tbl>
    <w:p w14:paraId="4C91E0B4" w14:textId="77777777" w:rsidR="00300C42" w:rsidRPr="007B46F3" w:rsidRDefault="00300C42"/>
    <w:p w14:paraId="474FBB9D" w14:textId="3DF1E66D" w:rsidR="007416E4" w:rsidRDefault="007416E4">
      <w:r>
        <w:t>In the sub-sections below, analysis is provided for the following aspects:</w:t>
      </w:r>
    </w:p>
    <w:p w14:paraId="7B2AD901" w14:textId="44F069AD" w:rsidR="00995DE3" w:rsidRPr="00995DE3" w:rsidRDefault="00995DE3" w:rsidP="00D35F36">
      <w:pPr>
        <w:pStyle w:val="ListParagraph"/>
        <w:numPr>
          <w:ilvl w:val="0"/>
          <w:numId w:val="44"/>
        </w:numPr>
      </w:pPr>
      <w:r>
        <w:t>Inapplicability of Rel-18 carrier phase positioning;</w:t>
      </w:r>
    </w:p>
    <w:p w14:paraId="02359349" w14:textId="44CCAD8D" w:rsidR="007416E4" w:rsidRPr="004157FD" w:rsidRDefault="000A291B" w:rsidP="00D35F36">
      <w:pPr>
        <w:pStyle w:val="ListParagraph"/>
        <w:numPr>
          <w:ilvl w:val="0"/>
          <w:numId w:val="44"/>
        </w:numPr>
      </w:pPr>
      <w:r>
        <w:t>I</w:t>
      </w:r>
      <w:r w:rsidR="007416E4">
        <w:t>ssues with non-</w:t>
      </w:r>
      <w:r w:rsidR="007416E4" w:rsidRPr="00194B5B">
        <w:t>spatial</w:t>
      </w:r>
      <w:r w:rsidR="00BA6B63">
        <w:t>-</w:t>
      </w:r>
      <w:r w:rsidR="007416E4">
        <w:t>dependent initial phases;</w:t>
      </w:r>
    </w:p>
    <w:p w14:paraId="6BF77E78" w14:textId="178C97A9" w:rsidR="007416E4" w:rsidRPr="004157FD" w:rsidRDefault="007416E4" w:rsidP="00D35F36">
      <w:pPr>
        <w:pStyle w:val="ListParagraph"/>
        <w:numPr>
          <w:ilvl w:val="0"/>
          <w:numId w:val="44"/>
        </w:numPr>
      </w:pPr>
      <w:r>
        <w:lastRenderedPageBreak/>
        <w:t>Difficulty to align phase measurements between model training and model inference;</w:t>
      </w:r>
    </w:p>
    <w:p w14:paraId="7143D9B5" w14:textId="15EE1EFE" w:rsidR="00B84F30" w:rsidRDefault="007416E4" w:rsidP="00D35F36">
      <w:pPr>
        <w:pStyle w:val="ListParagraph"/>
        <w:numPr>
          <w:ilvl w:val="0"/>
          <w:numId w:val="44"/>
        </w:numPr>
        <w:rPr>
          <w:lang w:val="sv-SE"/>
        </w:rPr>
      </w:pPr>
      <w:r>
        <w:t>Signaling overhead</w:t>
      </w:r>
    </w:p>
    <w:p w14:paraId="4C178F5A" w14:textId="0A488A87" w:rsidR="008851B9" w:rsidRPr="00941799" w:rsidRDefault="008851B9">
      <w:r>
        <w:t xml:space="preserve">Considering all the pros and cons of phase measurement as model input, we conclude that it is not feasible nor necessary to support phase information for determining model input, including CIR and single phase value for first path. </w:t>
      </w:r>
    </w:p>
    <w:p w14:paraId="014135B7" w14:textId="71935726" w:rsidR="008851B9" w:rsidRPr="00941799" w:rsidRDefault="008851B9" w:rsidP="00E8119F">
      <w:pPr>
        <w:pStyle w:val="Proposal"/>
      </w:pPr>
      <w:bookmarkStart w:id="872" w:name="_Toc178961894"/>
      <w:r>
        <w:t>Do not support phase information for determining model input, including CIR and single phase value for first path</w:t>
      </w:r>
      <w:r w:rsidR="00A8022A">
        <w:t>/sample</w:t>
      </w:r>
      <w:r>
        <w:t>.</w:t>
      </w:r>
      <w:bookmarkEnd w:id="872"/>
    </w:p>
    <w:p w14:paraId="3A4D1AF0" w14:textId="07C99028" w:rsidR="00904575" w:rsidRPr="007854D0" w:rsidRDefault="007854D0" w:rsidP="007854D0">
      <w:pPr>
        <w:pStyle w:val="Heading3"/>
        <w:rPr>
          <w:lang w:val="en-US"/>
        </w:rPr>
      </w:pPr>
      <w:bookmarkStart w:id="873" w:name="_Toc178961656"/>
      <w:r>
        <w:rPr>
          <w:lang w:val="en-US"/>
        </w:rPr>
        <w:t>Inapplicability</w:t>
      </w:r>
      <w:r w:rsidR="00904575">
        <w:rPr>
          <w:lang w:val="en-US"/>
        </w:rPr>
        <w:t xml:space="preserve"> of </w:t>
      </w:r>
      <w:r w:rsidR="00BB1E41">
        <w:rPr>
          <w:lang w:val="en-US"/>
        </w:rPr>
        <w:t>Rel</w:t>
      </w:r>
      <w:r w:rsidR="00904575">
        <w:rPr>
          <w:lang w:val="en-US"/>
        </w:rPr>
        <w:t xml:space="preserve">-18 </w:t>
      </w:r>
      <w:r w:rsidR="00563CF8">
        <w:rPr>
          <w:lang w:val="en-US"/>
        </w:rPr>
        <w:t>carrier phase positioning</w:t>
      </w:r>
      <w:bookmarkEnd w:id="873"/>
    </w:p>
    <w:p w14:paraId="5B724DB0" w14:textId="5DE7267B" w:rsidR="00B84F30" w:rsidRPr="00941799" w:rsidRDefault="007370D2">
      <w:r w:rsidRPr="00941799">
        <w:t>During RAN1#116b</w:t>
      </w:r>
      <w:r w:rsidR="007854D0" w:rsidRPr="00941799">
        <w:t>is</w:t>
      </w:r>
      <w:r w:rsidRPr="00941799">
        <w:t xml:space="preserve">, </w:t>
      </w:r>
      <w:r w:rsidR="000B337B" w:rsidRPr="00941799">
        <w:t xml:space="preserve">there was a discussion on supporting </w:t>
      </w:r>
      <w:r w:rsidR="007854D0" w:rsidRPr="00941799">
        <w:t>R</w:t>
      </w:r>
      <w:r w:rsidR="000B337B" w:rsidRPr="00941799">
        <w:t xml:space="preserve">el18 CPP measurements </w:t>
      </w:r>
      <w:r w:rsidR="00842264" w:rsidRPr="00941799">
        <w:t xml:space="preserve">(DL RSCPD, DL RSCP, UL RSCP) </w:t>
      </w:r>
      <w:r w:rsidR="000B337B" w:rsidRPr="00941799">
        <w:t>for AI/ML positioning</w:t>
      </w:r>
      <w:r w:rsidR="000E796B" w:rsidRPr="00941799">
        <w:t xml:space="preserve"> as model input.</w:t>
      </w:r>
      <w:r w:rsidR="00DA5CD9" w:rsidRPr="00941799">
        <w:t xml:space="preserve"> Since release 18 positioning was specified in parallel to the AI/ML study item phase, </w:t>
      </w:r>
      <w:r w:rsidR="007854D0" w:rsidRPr="00941799">
        <w:t>CPP</w:t>
      </w:r>
      <w:r w:rsidR="00DA5CD9" w:rsidRPr="00941799">
        <w:t xml:space="preserve"> was not evaluated during the </w:t>
      </w:r>
      <w:r w:rsidR="007854D0" w:rsidRPr="00941799">
        <w:t xml:space="preserve">Rel-18 AI/ML </w:t>
      </w:r>
      <w:r w:rsidR="00DA5CD9" w:rsidRPr="00941799">
        <w:t xml:space="preserve">study. Moreover, CPP was specified for environement with very high line of sight probability. </w:t>
      </w:r>
      <w:r w:rsidR="008866F8" w:rsidRPr="00941799">
        <w:t xml:space="preserve">During </w:t>
      </w:r>
      <w:r w:rsidR="007854D0" w:rsidRPr="00941799">
        <w:t>R</w:t>
      </w:r>
      <w:r w:rsidR="008866F8" w:rsidRPr="00941799">
        <w:t>el18</w:t>
      </w:r>
      <w:r w:rsidR="00E32292" w:rsidRPr="00941799">
        <w:t xml:space="preserve"> CPP specification</w:t>
      </w:r>
      <w:r w:rsidR="008866F8" w:rsidRPr="00941799">
        <w:t xml:space="preserve">, </w:t>
      </w:r>
      <w:r w:rsidR="00E32292" w:rsidRPr="00941799">
        <w:t xml:space="preserve">it was concluded </w:t>
      </w:r>
      <w:r w:rsidR="008866F8" w:rsidRPr="00941799">
        <w:t xml:space="preserve"> </w:t>
      </w:r>
      <w:r w:rsidR="00E32292" w:rsidRPr="00941799">
        <w:t xml:space="preserve">that LOS was critical to proper operation of CPP. </w:t>
      </w:r>
      <w:r w:rsidR="00A52AAE" w:rsidRPr="00941799">
        <w:t xml:space="preserve"> </w:t>
      </w:r>
      <w:r w:rsidR="00927480" w:rsidRPr="00941799">
        <w:t xml:space="preserve">Additionally, </w:t>
      </w:r>
      <w:r w:rsidR="00A52AAE" w:rsidRPr="00941799">
        <w:t>In AI/ML cases, the TRP/UE links are generally NLOS</w:t>
      </w:r>
      <w:r w:rsidR="000D5D82" w:rsidRPr="00941799">
        <w:t xml:space="preserve">, and the phase information of the first path/sample does not carry much information of the UE position. </w:t>
      </w:r>
      <w:r w:rsidR="00505A5B" w:rsidRPr="00941799">
        <w:t xml:space="preserve"> Additionally, NLOS phase information is very sensitive to even minimal environement changes, such as changes in the nature of the material reflecting the path.</w:t>
      </w:r>
      <w:r w:rsidR="00AA06AD" w:rsidRPr="00941799">
        <w:t xml:space="preserve"> </w:t>
      </w:r>
      <w:r w:rsidR="000F5D94" w:rsidRPr="00941799">
        <w:t xml:space="preserve"> </w:t>
      </w:r>
      <w:r w:rsidR="00927480" w:rsidRPr="00941799">
        <w:t xml:space="preserve">Finally, CPP requires PRU to be operating </w:t>
      </w:r>
      <w:r w:rsidR="008851B9" w:rsidRPr="00941799">
        <w:t xml:space="preserve">next to the UE </w:t>
      </w:r>
      <w:r w:rsidR="00927480" w:rsidRPr="00941799">
        <w:t xml:space="preserve">during both training and inference, which adds to deployment cost and </w:t>
      </w:r>
      <w:r w:rsidR="007854D0" w:rsidRPr="00941799">
        <w:t xml:space="preserve">signalling </w:t>
      </w:r>
      <w:r w:rsidR="00927480" w:rsidRPr="00941799">
        <w:t xml:space="preserve">overhead. </w:t>
      </w:r>
      <w:r w:rsidR="000F5D94" w:rsidRPr="00941799">
        <w:t xml:space="preserve"> </w:t>
      </w:r>
    </w:p>
    <w:p w14:paraId="3BB4A925" w14:textId="77777777" w:rsidR="007854D0" w:rsidRDefault="007854D0"/>
    <w:p w14:paraId="41D262AC" w14:textId="272AA274" w:rsidR="007854D0" w:rsidRPr="00AA67A4" w:rsidRDefault="007854D0" w:rsidP="002938DE">
      <w:pPr>
        <w:pStyle w:val="Observation"/>
      </w:pPr>
      <w:bookmarkStart w:id="874" w:name="_Toc178961857"/>
      <w:r>
        <w:t xml:space="preserve">Rel-18 </w:t>
      </w:r>
      <w:r w:rsidRPr="00941799">
        <w:t xml:space="preserve">CPP measurements (DL RSCPD, DL RSCP, UL RSCP) assumes LoS environment, which is </w:t>
      </w:r>
      <w:r w:rsidR="008D58F0" w:rsidRPr="00941799">
        <w:t>contradictory</w:t>
      </w:r>
      <w:r w:rsidRPr="00941799">
        <w:t xml:space="preserve"> with the target use case of Rel-19 AI/ML based positioning.</w:t>
      </w:r>
      <w:bookmarkEnd w:id="874"/>
    </w:p>
    <w:p w14:paraId="3E3DE211" w14:textId="176CC267" w:rsidR="00AA67A4" w:rsidRDefault="00AA67A4" w:rsidP="002938DE">
      <w:pPr>
        <w:pStyle w:val="Observation"/>
      </w:pPr>
      <w:bookmarkStart w:id="875" w:name="_Toc178961858"/>
      <w:r>
        <w:t xml:space="preserve">Single phase value for first path/sample </w:t>
      </w:r>
      <w:r w:rsidRPr="00941799">
        <w:t>(e.g., DL RSCPD, DL RSCP, UL RSCP) brings no observable performance benefits</w:t>
      </w:r>
      <w:r w:rsidR="00EE13D1" w:rsidRPr="00941799">
        <w:t xml:space="preserve"> to PDP</w:t>
      </w:r>
      <w:r w:rsidRPr="00941799">
        <w:t>, but incurs substantially high deployment cost and signalling overhead.</w:t>
      </w:r>
      <w:bookmarkEnd w:id="875"/>
    </w:p>
    <w:p w14:paraId="5FBCB5D6" w14:textId="0C1505B3" w:rsidR="00300C42" w:rsidRPr="00E215F0" w:rsidRDefault="00300C42" w:rsidP="00300C42">
      <w:pPr>
        <w:pStyle w:val="Heading3"/>
        <w:rPr>
          <w:lang w:val="en-US"/>
        </w:rPr>
      </w:pPr>
      <w:bookmarkStart w:id="876" w:name="_Ref163131777"/>
      <w:bookmarkStart w:id="877" w:name="_Toc165990988"/>
      <w:bookmarkStart w:id="878" w:name="_Toc178961657"/>
      <w:r>
        <w:rPr>
          <w:lang w:val="en-US"/>
        </w:rPr>
        <w:t xml:space="preserve">Issues with </w:t>
      </w:r>
      <w:r w:rsidR="00996211">
        <w:rPr>
          <w:lang w:val="en-US"/>
        </w:rPr>
        <w:t>random</w:t>
      </w:r>
      <w:r>
        <w:rPr>
          <w:lang w:val="en-US"/>
        </w:rPr>
        <w:t xml:space="preserve"> initial phase</w:t>
      </w:r>
      <w:bookmarkEnd w:id="876"/>
      <w:bookmarkEnd w:id="877"/>
      <w:bookmarkEnd w:id="878"/>
    </w:p>
    <w:p w14:paraId="6598C18F" w14:textId="5823796D" w:rsidR="00300C42" w:rsidRDefault="00300C42" w:rsidP="00300C42">
      <w:r>
        <w:t xml:space="preserve">The clock and/or frequency generation circuits are essential components in modern digital wireless communications systems. The circuits are used to drive reference waveform to demodulate signals received over the air. Due to the random states of clock/frequency generation circuits in the measurement radio node, the phase of the ML measurement data such as the time domain channel impulse responses may contain random and unhelpful information to AI/ML models. For the AI/ML positioning application, this means for UE revisiting the exact same location, the TD CIR sample sequences may still differ because the state of the clock/frequency generation circuits may be at different state. A TD CIR sample </w:t>
      </w:r>
      <m:oMath>
        <m:sSubSup>
          <m:sSubSupPr>
            <m:ctrlPr>
              <w:rPr>
                <w:rFonts w:ascii="Cambria Math" w:hAnsi="Cambria Math"/>
                <w:i/>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hAnsi="Cambria Math"/>
              </w:rPr>
              <m:t>(1)</m:t>
            </m:r>
          </m:sup>
        </m:sSubSup>
        <m:r>
          <w:rPr>
            <w:rFonts w:ascii="Cambria Math" w:hAnsi="Cambria Math"/>
          </w:rPr>
          <m:t>[d]</m:t>
        </m:r>
      </m:oMath>
      <w:r>
        <w:t xml:space="preserve"> measured </w:t>
      </w:r>
      <w:r>
        <w:rPr>
          <w:iCs/>
        </w:rPr>
        <w:t xml:space="preserve">at a first visit and </w:t>
      </w:r>
      <m:oMath>
        <m:sSubSup>
          <m:sSubSupPr>
            <m:ctrlPr>
              <w:rPr>
                <w:rFonts w:ascii="Cambria Math" w:hAnsi="Cambria Math"/>
                <w:i/>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hAnsi="Cambria Math"/>
              </w:rPr>
              <m:t>(2)</m:t>
            </m:r>
          </m:sup>
        </m:sSubSup>
        <m:d>
          <m:dPr>
            <m:begChr m:val="["/>
            <m:endChr m:val="]"/>
            <m:ctrlPr>
              <w:rPr>
                <w:rFonts w:ascii="Cambria Math" w:hAnsi="Cambria Math"/>
                <w:i/>
              </w:rPr>
            </m:ctrlPr>
          </m:dPr>
          <m:e>
            <m:r>
              <w:rPr>
                <w:rFonts w:ascii="Cambria Math" w:hAnsi="Cambria Math"/>
              </w:rPr>
              <m:t>d</m:t>
            </m:r>
          </m:e>
        </m:d>
      </m:oMath>
      <w:r>
        <w:rPr>
          <w:iCs/>
        </w:rPr>
        <w:t xml:space="preserve"> measured at a second visit may be different because of the different </w:t>
      </w:r>
      <w:r>
        <w:t xml:space="preserve">states of clock/frequency generation circuits. </w:t>
      </w:r>
    </w:p>
    <w:p w14:paraId="30467D97" w14:textId="77777777" w:rsidR="00300C42" w:rsidRDefault="00300C42" w:rsidP="00300C42">
      <w:r>
        <w:t xml:space="preserve">More specifically, let the sequence of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complex-valued TD CIR samples measured on receive antenna port </w:t>
      </w:r>
      <m:oMath>
        <m:r>
          <w:rPr>
            <w:rFonts w:ascii="Cambria Math" w:hAnsi="Cambria Math"/>
          </w:rPr>
          <m:t>a</m:t>
        </m:r>
      </m:oMath>
      <w:r>
        <w:t xml:space="preserve"> be </w:t>
      </w:r>
    </w:p>
    <w:p w14:paraId="1B4CE040" w14:textId="77777777" w:rsidR="00300C42" w:rsidRDefault="009C13C0" w:rsidP="00300C42">
      <m:oMathPara>
        <m:oMath>
          <m:d>
            <m:dPr>
              <m:begChr m:val="{"/>
              <m:endChr m:val="}"/>
              <m:ctrlPr>
                <w:rPr>
                  <w:rFonts w:ascii="Cambria Math" w:hAnsi="Cambria Math"/>
                  <w:i/>
                </w:rPr>
              </m:ctrlPr>
            </m:dPr>
            <m:e>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r>
                <w:rPr>
                  <w:rFonts w:ascii="Cambria Math" w:hAnsi="Cambria Math"/>
                </w:rPr>
                <m:t>]</m:t>
              </m:r>
            </m:e>
          </m:d>
        </m:oMath>
      </m:oMathPara>
    </w:p>
    <w:p w14:paraId="6F43BB48" w14:textId="77777777" w:rsidR="00300C42" w:rsidRDefault="00300C42" w:rsidP="00300C42">
      <w:r>
        <w:t xml:space="preserve">where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t xml:space="preserve"> are the sampling time locations of the TD CIR samples. The sampling time locations may be on a regular sampling grid with integer values or off the regular grid with non-integer values as discussed in the last section. The complex CIR samples can be equivalently represented by the </w:t>
      </w:r>
      <w:r w:rsidRPr="00194B5B">
        <w:t>power</w:t>
      </w:r>
      <w:r>
        <w:t xml:space="preserve"> and phase parts:</w:t>
      </w:r>
    </w:p>
    <w:p w14:paraId="1474B6AA" w14:textId="77777777" w:rsidR="00300C42" w:rsidRPr="00402A39" w:rsidRDefault="009C13C0"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r>
                <w:rPr>
                  <w:rFonts w:ascii="Cambria Math" w:hAnsi="Cambria Math"/>
                </w:rPr>
                <m:t>]</m:t>
              </m:r>
            </m:e>
          </m:d>
        </m:oMath>
      </m:oMathPara>
    </w:p>
    <w:p w14:paraId="5C9054D3" w14:textId="77777777" w:rsidR="00300C42" w:rsidRPr="00402A39" w:rsidRDefault="009C13C0"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r>
                <w:rPr>
                  <w:rFonts w:ascii="Cambria Math" w:hAnsi="Cambria Math"/>
                </w:rPr>
                <m:t>]</m:t>
              </m:r>
            </m:e>
          </m:d>
        </m:oMath>
      </m:oMathPara>
    </w:p>
    <w:p w14:paraId="2812FDEB" w14:textId="77777777" w:rsidR="00300C42" w:rsidRDefault="00300C42" w:rsidP="00300C42">
      <w:r>
        <w:t xml:space="preserve">where </w:t>
      </w:r>
      <m:oMath>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p</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ra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func>
      </m:oMath>
      <w:r>
        <w:t xml:space="preserve">, for </w:t>
      </w:r>
      <m:oMath>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t>.</w:t>
      </w:r>
    </w:p>
    <w:p w14:paraId="7BA3DCFC" w14:textId="77777777" w:rsidR="00300C42" w:rsidRDefault="00300C42" w:rsidP="00300C42">
      <w:r>
        <w:t xml:space="preserve">The above discussion indicates that the initial phase value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t xml:space="preserve"> may in fact be random and contains no useful </w:t>
      </w:r>
      <w:r w:rsidRPr="00194B5B">
        <w:t>spatial</w:t>
      </w:r>
      <w:r>
        <w:t xml:space="preserve"> dependent information. An AI/ML model trained with samples containing such spurious values will nonetheless learn to associate the target positions with these random initial phases in the training dataset. When fed with new measurements with new random phases during inference, the model will be confused and generates inaccurate position estimates.</w:t>
      </w:r>
    </w:p>
    <w:p w14:paraId="5861ADBA" w14:textId="0F1FB728" w:rsidR="00300C42" w:rsidRPr="00194B5B" w:rsidRDefault="00300C42" w:rsidP="00300C42">
      <w:r>
        <w:lastRenderedPageBreak/>
        <w:t xml:space="preserve">For instance, we trained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=256</m:t>
        </m:r>
      </m:oMath>
      <w:r w:rsidRPr="000D1784">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=128</m:t>
        </m:r>
      </m:oMath>
      <w:r>
        <w:t xml:space="preserve"> CIR model using a training dataset of 40,000 samples with the measured phases (i.e., containing the random initial phases). In </w:t>
      </w:r>
      <w:r w:rsidR="00500110">
        <w:fldChar w:fldCharType="begin"/>
      </w:r>
      <w:r w:rsidR="00500110">
        <w:instrText xml:space="preserve"> REF _Ref163127728 </w:instrText>
      </w:r>
      <w:r w:rsidR="00500110">
        <w:fldChar w:fldCharType="separate"/>
      </w:r>
      <w:r w:rsidR="00850DA1" w:rsidRPr="00E215F0">
        <w:t xml:space="preserve">Table </w:t>
      </w:r>
      <w:r w:rsidR="00850DA1">
        <w:rPr>
          <w:noProof/>
        </w:rPr>
        <w:t>16</w:t>
      </w:r>
      <w:r w:rsidR="00500110">
        <w:rPr>
          <w:noProof/>
        </w:rPr>
        <w:fldChar w:fldCharType="end"/>
      </w:r>
      <w:r w:rsidRPr="00194B5B">
        <w:t>, we tested the trained model under two different conditions:</w:t>
      </w:r>
    </w:p>
    <w:p w14:paraId="36528DEA" w14:textId="77777777" w:rsidR="00300C42" w:rsidRPr="00194B5B" w:rsidRDefault="00300C42" w:rsidP="00D35F36">
      <w:pPr>
        <w:pStyle w:val="ListParagraph"/>
        <w:numPr>
          <w:ilvl w:val="0"/>
          <w:numId w:val="40"/>
        </w:numPr>
      </w:pPr>
      <w:r w:rsidRPr="00194B5B">
        <w:t>When the trained model is tested with consistent initial phase (that is, the initial phase values for different UE positions reflects only the spatial differences), the model achieves a 90%tile 2D UE positioning error of 0.38 m.</w:t>
      </w:r>
    </w:p>
    <w:p w14:paraId="181B1F94" w14:textId="77777777" w:rsidR="00300C42" w:rsidRPr="00194B5B" w:rsidRDefault="00300C42" w:rsidP="00D35F36">
      <w:pPr>
        <w:pStyle w:val="ListParagraph"/>
        <w:numPr>
          <w:ilvl w:val="0"/>
          <w:numId w:val="40"/>
        </w:numPr>
      </w:pPr>
      <w:r w:rsidRPr="00194B5B">
        <w:t>When the trained model is tested with random initial phase (that is, the initial phase values for different UE positions reflects the spatial differences and random phases), the 90%tile 2D UE positioning error increases by 20% to 0.46 m.</w:t>
      </w:r>
    </w:p>
    <w:p w14:paraId="639734E0" w14:textId="6A4A1CE1" w:rsidR="00300C42" w:rsidRDefault="00300C42" w:rsidP="00300C42">
      <w:pPr>
        <w:pStyle w:val="Caption"/>
      </w:pPr>
      <w:bookmarkStart w:id="879" w:name="_Ref163127728"/>
      <w:r w:rsidRPr="00E215F0">
        <w:t xml:space="preserve">Table </w:t>
      </w:r>
      <w:r w:rsidR="00500110">
        <w:fldChar w:fldCharType="begin"/>
      </w:r>
      <w:r w:rsidR="00500110">
        <w:instrText xml:space="preserve"> SEQ Table \* ARABIC </w:instrText>
      </w:r>
      <w:r w:rsidR="00500110">
        <w:fldChar w:fldCharType="separate"/>
      </w:r>
      <w:r w:rsidR="00850DA1">
        <w:rPr>
          <w:noProof/>
        </w:rPr>
        <w:t>16</w:t>
      </w:r>
      <w:r w:rsidR="00500110">
        <w:rPr>
          <w:noProof/>
        </w:rPr>
        <w:fldChar w:fldCharType="end"/>
      </w:r>
      <w:bookmarkEnd w:id="879"/>
      <w:r w:rsidRPr="00E215F0">
        <w:t xml:space="preserve"> Comparison of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E215F0">
        <w:t xml:space="preserve"> (in meters) for </w:t>
      </w:r>
      <w:r>
        <w:t xml:space="preserve">a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=256</m:t>
        </m:r>
      </m:oMath>
      <w:r>
        <w:t xml:space="preserve">,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=128</m:t>
        </m:r>
      </m:oMath>
      <w:r>
        <w:t xml:space="preserve"> model trained without random initial phase and (1) tested without random initial phases or (2) tested with random initial phases</w:t>
      </w:r>
      <w:r w:rsidRPr="00E215F0">
        <w:t xml:space="preserve"> in the </w:t>
      </w:r>
      <w:r w:rsidRPr="00E215F0">
        <w:rPr>
          <w:lang w:eastAsia="ja-JP"/>
        </w:rPr>
        <w:t>{60%, 6m, 2m} InF-DH scenario</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850DA1">
        <w:t>[6]</w:t>
      </w:r>
      <w:r w:rsidRPr="00E215F0">
        <w:fldChar w:fldCharType="end"/>
      </w:r>
      <w:r w:rsidRPr="00E215F0">
        <w:t>.</w:t>
      </w:r>
    </w:p>
    <w:tbl>
      <w:tblPr>
        <w:tblStyle w:val="TableGrid"/>
        <w:tblW w:w="0" w:type="auto"/>
        <w:jc w:val="center"/>
        <w:tblLook w:val="04A0" w:firstRow="1" w:lastRow="0" w:firstColumn="1" w:lastColumn="0" w:noHBand="0" w:noVBand="1"/>
      </w:tblPr>
      <w:tblGrid>
        <w:gridCol w:w="1676"/>
        <w:gridCol w:w="3119"/>
        <w:gridCol w:w="3120"/>
      </w:tblGrid>
      <w:tr w:rsidR="00300C42" w:rsidRPr="00194B5B" w14:paraId="74889B61" w14:textId="77777777">
        <w:trPr>
          <w:jc w:val="center"/>
        </w:trPr>
        <w:tc>
          <w:tcPr>
            <w:tcW w:w="1676" w:type="dxa"/>
            <w:vMerge w:val="restart"/>
            <w:vAlign w:val="center"/>
          </w:tcPr>
          <w:p w14:paraId="3AD4537C" w14:textId="77777777" w:rsidR="00300C42" w:rsidRPr="00853C2C" w:rsidRDefault="00300C42">
            <w:pPr>
              <w:spacing w:before="60" w:after="60"/>
              <w:jc w:val="center"/>
              <w:rPr>
                <w:sz w:val="20"/>
                <w:szCs w:val="20"/>
              </w:rPr>
            </w:pPr>
            <w:r w:rsidRPr="00853C2C">
              <w:rPr>
                <w:sz w:val="20"/>
                <w:szCs w:val="20"/>
              </w:rPr>
              <w:t>CDF Percentile</w:t>
            </w:r>
          </w:p>
        </w:tc>
        <w:tc>
          <w:tcPr>
            <w:tcW w:w="6239" w:type="dxa"/>
            <w:gridSpan w:val="2"/>
            <w:tcBorders>
              <w:bottom w:val="single" w:sz="4" w:space="0" w:color="auto"/>
            </w:tcBorders>
            <w:vAlign w:val="center"/>
          </w:tcPr>
          <w:p w14:paraId="7E939B47" w14:textId="77777777" w:rsidR="00300C42" w:rsidRDefault="00300C42">
            <w:pPr>
              <w:spacing w:before="60" w:after="60"/>
              <w:jc w:val="center"/>
              <w:rPr>
                <w:sz w:val="20"/>
                <w:szCs w:val="20"/>
              </w:rPr>
            </w:pPr>
            <w:r w:rsidRPr="00853C2C">
              <w:rPr>
                <w:sz w:val="20"/>
                <w:szCs w:val="20"/>
              </w:rPr>
              <w:t>UE 2D positioning errors [m]</w:t>
            </w:r>
            <w:r>
              <w:rPr>
                <w:sz w:val="20"/>
                <w:szCs w:val="20"/>
              </w:rPr>
              <w:t xml:space="preserve"> in </w:t>
            </w:r>
            <w:r w:rsidRPr="00853C2C">
              <w:rPr>
                <w:sz w:val="20"/>
                <w:szCs w:val="20"/>
              </w:rPr>
              <w:t>{60%, 6m, 2m}</w:t>
            </w:r>
          </w:p>
          <w:p w14:paraId="7FB8EDD2" w14:textId="77777777" w:rsidR="00300C42" w:rsidRPr="00853C2C" w:rsidRDefault="00300C42">
            <w:pPr>
              <w:spacing w:before="60" w:after="60"/>
              <w:jc w:val="center"/>
              <w:rPr>
                <w:sz w:val="20"/>
                <w:szCs w:val="20"/>
              </w:rPr>
            </w:pPr>
            <w:r w:rsidRPr="00853C2C">
              <w:rPr>
                <w:sz w:val="20"/>
                <w:szCs w:val="20"/>
              </w:rPr>
              <w:t xml:space="preserve">Model I trained with 40,000 </w:t>
            </w:r>
            <w:r w:rsidRPr="00194B5B">
              <w:rPr>
                <w:sz w:val="20"/>
                <w:szCs w:val="20"/>
              </w:rPr>
              <w:t xml:space="preserve">CIR </w:t>
            </w:r>
            <w:r w:rsidRPr="00853C2C">
              <w:rPr>
                <w:sz w:val="20"/>
                <w:szCs w:val="20"/>
              </w:rPr>
              <w:t xml:space="preserve">samples </w:t>
            </w:r>
            <w:r>
              <w:rPr>
                <w:sz w:val="20"/>
                <w:szCs w:val="20"/>
              </w:rPr>
              <w:t xml:space="preserve">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rPr>
                <w:sz w:val="20"/>
                <w:szCs w:val="20"/>
              </w:rPr>
              <w:t xml:space="preserve"> </w:t>
            </w:r>
          </w:p>
        </w:tc>
      </w:tr>
      <w:tr w:rsidR="00300C42" w:rsidRPr="00194B5B" w14:paraId="519E8F5D" w14:textId="77777777">
        <w:trPr>
          <w:jc w:val="center"/>
        </w:trPr>
        <w:tc>
          <w:tcPr>
            <w:tcW w:w="1676" w:type="dxa"/>
            <w:vMerge/>
            <w:tcBorders>
              <w:bottom w:val="double" w:sz="4" w:space="0" w:color="auto"/>
            </w:tcBorders>
            <w:vAlign w:val="center"/>
          </w:tcPr>
          <w:p w14:paraId="37BDCF73" w14:textId="77777777" w:rsidR="00300C42" w:rsidRPr="00853C2C" w:rsidRDefault="00300C42">
            <w:pPr>
              <w:spacing w:before="60" w:after="60"/>
              <w:jc w:val="center"/>
              <w:rPr>
                <w:sz w:val="20"/>
                <w:szCs w:val="20"/>
              </w:rPr>
            </w:pPr>
          </w:p>
        </w:tc>
        <w:tc>
          <w:tcPr>
            <w:tcW w:w="3119" w:type="dxa"/>
            <w:tcBorders>
              <w:top w:val="single" w:sz="4" w:space="0" w:color="auto"/>
              <w:bottom w:val="double" w:sz="4" w:space="0" w:color="auto"/>
            </w:tcBorders>
            <w:vAlign w:val="center"/>
          </w:tcPr>
          <w:p w14:paraId="07CC4852" w14:textId="77777777" w:rsidR="00300C42" w:rsidRPr="00853C2C" w:rsidRDefault="00300C42">
            <w:pPr>
              <w:spacing w:before="60" w:after="60"/>
              <w:jc w:val="center"/>
              <w:rPr>
                <w:sz w:val="20"/>
                <w:szCs w:val="20"/>
              </w:rPr>
            </w:pPr>
            <w:r>
              <w:rPr>
                <w:sz w:val="20"/>
                <w:szCs w:val="20"/>
              </w:rPr>
              <w:t xml:space="preserve">Tested 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c>
          <w:tcPr>
            <w:tcW w:w="3120" w:type="dxa"/>
            <w:tcBorders>
              <w:top w:val="single" w:sz="4" w:space="0" w:color="auto"/>
              <w:bottom w:val="double" w:sz="4" w:space="0" w:color="auto"/>
            </w:tcBorders>
            <w:vAlign w:val="center"/>
          </w:tcPr>
          <w:p w14:paraId="42FF2796" w14:textId="77777777" w:rsidR="00300C42" w:rsidRPr="00853C2C" w:rsidRDefault="00300C42">
            <w:pPr>
              <w:spacing w:before="60" w:after="60"/>
              <w:jc w:val="center"/>
              <w:rPr>
                <w:sz w:val="20"/>
                <w:szCs w:val="20"/>
              </w:rPr>
            </w:pPr>
            <w:r>
              <w:rPr>
                <w:sz w:val="20"/>
                <w:szCs w:val="20"/>
              </w:rPr>
              <w:t xml:space="preserve">Tested with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r>
      <w:tr w:rsidR="00300C42" w:rsidRPr="00194B5B" w14:paraId="1F897F0F" w14:textId="77777777">
        <w:trPr>
          <w:jc w:val="center"/>
        </w:trPr>
        <w:tc>
          <w:tcPr>
            <w:tcW w:w="1676" w:type="dxa"/>
            <w:vAlign w:val="center"/>
          </w:tcPr>
          <w:p w14:paraId="4AEED5E0" w14:textId="77777777" w:rsidR="00300C42" w:rsidRPr="00853C2C" w:rsidRDefault="00300C42">
            <w:pPr>
              <w:spacing w:before="60" w:after="60"/>
              <w:jc w:val="center"/>
              <w:rPr>
                <w:sz w:val="20"/>
                <w:szCs w:val="20"/>
              </w:rPr>
            </w:pPr>
            <w:r w:rsidRPr="00853C2C">
              <w:rPr>
                <w:sz w:val="20"/>
                <w:szCs w:val="20"/>
              </w:rPr>
              <w:t>50</w:t>
            </w:r>
          </w:p>
        </w:tc>
        <w:tc>
          <w:tcPr>
            <w:tcW w:w="3119" w:type="dxa"/>
            <w:vAlign w:val="center"/>
          </w:tcPr>
          <w:p w14:paraId="478FCC37" w14:textId="77777777" w:rsidR="00300C42" w:rsidRPr="00853C2C" w:rsidRDefault="00300C42">
            <w:pPr>
              <w:spacing w:before="60" w:after="60"/>
              <w:jc w:val="center"/>
              <w:rPr>
                <w:sz w:val="20"/>
                <w:szCs w:val="20"/>
              </w:rPr>
            </w:pPr>
            <w:r w:rsidRPr="00853C2C">
              <w:rPr>
                <w:sz w:val="20"/>
                <w:szCs w:val="20"/>
              </w:rPr>
              <w:t>0.</w:t>
            </w:r>
            <w:r w:rsidRPr="00194B5B">
              <w:rPr>
                <w:sz w:val="20"/>
                <w:szCs w:val="20"/>
              </w:rPr>
              <w:t>1</w:t>
            </w:r>
            <w:r>
              <w:rPr>
                <w:sz w:val="20"/>
                <w:szCs w:val="20"/>
              </w:rPr>
              <w:t>9</w:t>
            </w:r>
          </w:p>
        </w:tc>
        <w:tc>
          <w:tcPr>
            <w:tcW w:w="3120" w:type="dxa"/>
            <w:vAlign w:val="center"/>
          </w:tcPr>
          <w:p w14:paraId="729A2BA6" w14:textId="77777777" w:rsidR="00300C42" w:rsidRPr="00853C2C" w:rsidRDefault="00300C42">
            <w:pPr>
              <w:spacing w:before="60" w:after="60"/>
              <w:jc w:val="center"/>
              <w:rPr>
                <w:sz w:val="20"/>
                <w:szCs w:val="20"/>
              </w:rPr>
            </w:pPr>
            <w:r>
              <w:rPr>
                <w:sz w:val="20"/>
                <w:szCs w:val="20"/>
              </w:rPr>
              <w:t>0.</w:t>
            </w:r>
            <w:r w:rsidRPr="00194B5B">
              <w:rPr>
                <w:sz w:val="20"/>
                <w:szCs w:val="20"/>
              </w:rPr>
              <w:t>23</w:t>
            </w:r>
          </w:p>
        </w:tc>
      </w:tr>
      <w:tr w:rsidR="00300C42" w:rsidRPr="00194B5B" w14:paraId="6EA9F9D1" w14:textId="77777777">
        <w:trPr>
          <w:jc w:val="center"/>
        </w:trPr>
        <w:tc>
          <w:tcPr>
            <w:tcW w:w="1676" w:type="dxa"/>
            <w:vAlign w:val="center"/>
          </w:tcPr>
          <w:p w14:paraId="78DC30BF" w14:textId="77777777" w:rsidR="00300C42" w:rsidRPr="00853C2C" w:rsidRDefault="00300C42">
            <w:pPr>
              <w:spacing w:before="60" w:after="60"/>
              <w:jc w:val="center"/>
              <w:rPr>
                <w:sz w:val="20"/>
                <w:szCs w:val="20"/>
              </w:rPr>
            </w:pPr>
            <w:r w:rsidRPr="00853C2C">
              <w:rPr>
                <w:sz w:val="20"/>
                <w:szCs w:val="20"/>
              </w:rPr>
              <w:t>67</w:t>
            </w:r>
          </w:p>
        </w:tc>
        <w:tc>
          <w:tcPr>
            <w:tcW w:w="3119" w:type="dxa"/>
            <w:vAlign w:val="center"/>
          </w:tcPr>
          <w:p w14:paraId="32470879" w14:textId="77777777" w:rsidR="00300C42" w:rsidRPr="00853C2C" w:rsidRDefault="00300C42">
            <w:pPr>
              <w:spacing w:before="60" w:after="60"/>
              <w:jc w:val="center"/>
              <w:rPr>
                <w:sz w:val="20"/>
                <w:szCs w:val="20"/>
              </w:rPr>
            </w:pPr>
            <w:r w:rsidRPr="00853C2C">
              <w:rPr>
                <w:sz w:val="20"/>
                <w:szCs w:val="20"/>
              </w:rPr>
              <w:t>0.</w:t>
            </w:r>
            <w:r w:rsidRPr="00194B5B">
              <w:rPr>
                <w:sz w:val="20"/>
                <w:szCs w:val="20"/>
              </w:rPr>
              <w:t>2</w:t>
            </w:r>
            <w:r>
              <w:rPr>
                <w:sz w:val="20"/>
                <w:szCs w:val="20"/>
              </w:rPr>
              <w:t>5</w:t>
            </w:r>
          </w:p>
        </w:tc>
        <w:tc>
          <w:tcPr>
            <w:tcW w:w="3120" w:type="dxa"/>
            <w:vAlign w:val="center"/>
          </w:tcPr>
          <w:p w14:paraId="6A1CD1D0" w14:textId="77777777" w:rsidR="00300C42" w:rsidRPr="00853C2C" w:rsidRDefault="00300C42">
            <w:pPr>
              <w:spacing w:before="60" w:after="60"/>
              <w:jc w:val="center"/>
              <w:rPr>
                <w:sz w:val="20"/>
                <w:szCs w:val="20"/>
              </w:rPr>
            </w:pPr>
            <w:r>
              <w:rPr>
                <w:sz w:val="20"/>
                <w:szCs w:val="20"/>
              </w:rPr>
              <w:t>0.</w:t>
            </w:r>
            <w:r w:rsidRPr="00194B5B">
              <w:rPr>
                <w:sz w:val="20"/>
                <w:szCs w:val="20"/>
              </w:rPr>
              <w:t>30</w:t>
            </w:r>
          </w:p>
        </w:tc>
      </w:tr>
      <w:tr w:rsidR="00300C42" w:rsidRPr="00194B5B" w14:paraId="00745937" w14:textId="77777777">
        <w:trPr>
          <w:jc w:val="center"/>
        </w:trPr>
        <w:tc>
          <w:tcPr>
            <w:tcW w:w="1676" w:type="dxa"/>
            <w:vAlign w:val="center"/>
          </w:tcPr>
          <w:p w14:paraId="09E1BE4A" w14:textId="77777777" w:rsidR="00300C42" w:rsidRPr="00853C2C" w:rsidRDefault="00300C42">
            <w:pPr>
              <w:spacing w:before="60" w:after="60"/>
              <w:jc w:val="center"/>
              <w:rPr>
                <w:sz w:val="20"/>
                <w:szCs w:val="20"/>
              </w:rPr>
            </w:pPr>
            <w:r w:rsidRPr="00853C2C">
              <w:rPr>
                <w:sz w:val="20"/>
                <w:szCs w:val="20"/>
              </w:rPr>
              <w:t>80</w:t>
            </w:r>
          </w:p>
        </w:tc>
        <w:tc>
          <w:tcPr>
            <w:tcW w:w="3119" w:type="dxa"/>
            <w:vAlign w:val="center"/>
          </w:tcPr>
          <w:p w14:paraId="344DDDFF" w14:textId="77777777" w:rsidR="00300C42" w:rsidRPr="00853C2C" w:rsidRDefault="00300C42">
            <w:pPr>
              <w:spacing w:before="60" w:after="60"/>
              <w:jc w:val="center"/>
              <w:rPr>
                <w:sz w:val="20"/>
                <w:szCs w:val="20"/>
              </w:rPr>
            </w:pPr>
            <w:r w:rsidRPr="00853C2C">
              <w:rPr>
                <w:sz w:val="20"/>
                <w:szCs w:val="20"/>
              </w:rPr>
              <w:t>0.</w:t>
            </w:r>
            <w:r w:rsidRPr="00194B5B">
              <w:rPr>
                <w:sz w:val="20"/>
                <w:szCs w:val="20"/>
              </w:rPr>
              <w:t>3</w:t>
            </w:r>
            <w:r>
              <w:rPr>
                <w:sz w:val="20"/>
                <w:szCs w:val="20"/>
              </w:rPr>
              <w:t>1</w:t>
            </w:r>
          </w:p>
        </w:tc>
        <w:tc>
          <w:tcPr>
            <w:tcW w:w="3120" w:type="dxa"/>
            <w:vAlign w:val="center"/>
          </w:tcPr>
          <w:p w14:paraId="2A4A538F" w14:textId="77777777" w:rsidR="00300C42" w:rsidRPr="00853C2C" w:rsidRDefault="00300C42">
            <w:pPr>
              <w:spacing w:before="60" w:after="60"/>
              <w:jc w:val="center"/>
              <w:rPr>
                <w:sz w:val="20"/>
                <w:szCs w:val="20"/>
              </w:rPr>
            </w:pPr>
            <w:r>
              <w:rPr>
                <w:sz w:val="20"/>
                <w:szCs w:val="20"/>
              </w:rPr>
              <w:t>0.</w:t>
            </w:r>
            <w:r w:rsidRPr="00194B5B">
              <w:rPr>
                <w:sz w:val="20"/>
                <w:szCs w:val="20"/>
              </w:rPr>
              <w:t>3</w:t>
            </w:r>
            <w:r>
              <w:rPr>
                <w:sz w:val="20"/>
                <w:szCs w:val="20"/>
              </w:rPr>
              <w:t>8</w:t>
            </w:r>
          </w:p>
        </w:tc>
      </w:tr>
      <w:tr w:rsidR="00300C42" w:rsidRPr="00194B5B" w14:paraId="12FCF97E" w14:textId="77777777">
        <w:trPr>
          <w:jc w:val="center"/>
        </w:trPr>
        <w:tc>
          <w:tcPr>
            <w:tcW w:w="1676" w:type="dxa"/>
            <w:vAlign w:val="center"/>
          </w:tcPr>
          <w:p w14:paraId="0A8F324E" w14:textId="77777777" w:rsidR="00300C42" w:rsidRPr="00853C2C" w:rsidRDefault="00300C42">
            <w:pPr>
              <w:spacing w:before="60" w:after="60"/>
              <w:jc w:val="center"/>
              <w:rPr>
                <w:sz w:val="20"/>
                <w:szCs w:val="20"/>
              </w:rPr>
            </w:pPr>
            <w:r w:rsidRPr="00853C2C">
              <w:rPr>
                <w:sz w:val="20"/>
                <w:szCs w:val="20"/>
              </w:rPr>
              <w:t>90</w:t>
            </w:r>
          </w:p>
        </w:tc>
        <w:tc>
          <w:tcPr>
            <w:tcW w:w="3119" w:type="dxa"/>
            <w:vAlign w:val="center"/>
          </w:tcPr>
          <w:p w14:paraId="32898AF7" w14:textId="77777777" w:rsidR="00300C42" w:rsidRPr="00853C2C" w:rsidRDefault="00300C42">
            <w:pPr>
              <w:spacing w:before="60" w:after="60"/>
              <w:jc w:val="center"/>
              <w:rPr>
                <w:sz w:val="20"/>
                <w:szCs w:val="20"/>
              </w:rPr>
            </w:pPr>
            <w:r w:rsidRPr="00853C2C">
              <w:rPr>
                <w:sz w:val="20"/>
                <w:szCs w:val="20"/>
              </w:rPr>
              <w:t>0.</w:t>
            </w:r>
            <w:r w:rsidRPr="00194B5B">
              <w:rPr>
                <w:sz w:val="20"/>
                <w:szCs w:val="20"/>
              </w:rPr>
              <w:t>38</w:t>
            </w:r>
          </w:p>
        </w:tc>
        <w:tc>
          <w:tcPr>
            <w:tcW w:w="3120" w:type="dxa"/>
            <w:vAlign w:val="center"/>
          </w:tcPr>
          <w:p w14:paraId="61A506A6" w14:textId="77777777" w:rsidR="00300C42" w:rsidRPr="00853C2C" w:rsidRDefault="00300C42">
            <w:pPr>
              <w:spacing w:before="60" w:after="60"/>
              <w:jc w:val="center"/>
              <w:rPr>
                <w:sz w:val="20"/>
                <w:szCs w:val="20"/>
              </w:rPr>
            </w:pPr>
            <w:r>
              <w:rPr>
                <w:sz w:val="20"/>
                <w:szCs w:val="20"/>
              </w:rPr>
              <w:t>0.</w:t>
            </w:r>
            <w:r w:rsidRPr="00194B5B">
              <w:rPr>
                <w:sz w:val="20"/>
                <w:szCs w:val="20"/>
              </w:rPr>
              <w:t>46</w:t>
            </w:r>
          </w:p>
        </w:tc>
      </w:tr>
    </w:tbl>
    <w:p w14:paraId="0DFC1737" w14:textId="77777777" w:rsidR="00300C42" w:rsidRDefault="00300C42" w:rsidP="00300C42"/>
    <w:p w14:paraId="1B13548D" w14:textId="28E4813E" w:rsidR="00300C42" w:rsidRPr="00194B5B" w:rsidRDefault="00300C42" w:rsidP="002938DE">
      <w:pPr>
        <w:pStyle w:val="Observation"/>
      </w:pPr>
      <w:bookmarkStart w:id="880" w:name="_Toc178961859"/>
      <w:r w:rsidRPr="00194B5B">
        <w:t xml:space="preserve">The initial phase values of measured CIR samples may be random and contains no useful spatial dependent information for an AI/ML model to learn the association between measured CIR samples and the target positions. Without addressing such </w:t>
      </w:r>
      <w:r>
        <w:t>spurious</w:t>
      </w:r>
      <w:r w:rsidRPr="00194B5B">
        <w:t xml:space="preserve"> information during training and inference, fingerprinting ML models using the CIR inputs can produce inaccurate position estimates.</w:t>
      </w:r>
      <w:bookmarkEnd w:id="880"/>
    </w:p>
    <w:p w14:paraId="4F9F6835" w14:textId="77777777" w:rsidR="00300C42" w:rsidRPr="00194B5B" w:rsidRDefault="00300C42" w:rsidP="002938DE">
      <w:pPr>
        <w:pStyle w:val="Proposal"/>
      </w:pPr>
      <w:bookmarkStart w:id="881" w:name="_Toc178961895"/>
      <w:r w:rsidRPr="00194B5B">
        <w:t>Before CIR can be adopted as model input, RAN1 need to investigate whether fingerprinting ML models can handle CIR phase measurements, which vary not only with the radio channel environment but also with the transmitter/receiver circuits.</w:t>
      </w:r>
      <w:bookmarkEnd w:id="881"/>
    </w:p>
    <w:p w14:paraId="316DA1EE" w14:textId="77777777" w:rsidR="00300C42" w:rsidRPr="00194B5B" w:rsidRDefault="00300C42" w:rsidP="00300C42"/>
    <w:p w14:paraId="55E9F7C8" w14:textId="77777777" w:rsidR="00300C42" w:rsidRPr="00194B5B" w:rsidRDefault="00300C42" w:rsidP="00300C42">
      <w:r w:rsidRPr="00194B5B">
        <w:t xml:space="preserve">While the initial phase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t xml:space="preserve"> may be random and contains no useful channel dependent information, the relative phases of the samples </w:t>
      </w:r>
    </w:p>
    <w:p w14:paraId="0BD3A913" w14:textId="77777777" w:rsidR="00300C42" w:rsidRPr="00194B5B" w:rsidRDefault="009C13C0" w:rsidP="00300C42">
      <m:oMathPara>
        <m:oMath>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r>
            <m:rPr>
              <m:nor/>
            </m:rPr>
            <w:rPr>
              <w:rFonts w:ascii="Cambria Math" w:hAnsi="Cambria Math"/>
            </w:rPr>
            <m:t>for</m:t>
          </m:r>
          <m:r>
            <w:rPr>
              <w:rFonts w:ascii="Cambria Math" w:hAnsi="Cambria Math"/>
            </w:rPr>
            <m:t xml:space="preserve"> d=</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oMath>
      </m:oMathPara>
    </w:p>
    <w:p w14:paraId="5209E337" w14:textId="77777777" w:rsidR="00300C42" w:rsidRDefault="00300C42" w:rsidP="00300C42">
      <w:r w:rsidRPr="00194B5B">
        <w:t xml:space="preserve">still contain useful information relating the channel and the sampling time. Hence, one way to circumvent the impact of the random initial phases is to scrub it from the model input. That is, instead of recording/signaling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powers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phases, only </w:t>
      </w:r>
      <m:oMath>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oMath>
      <w:r w:rsidRPr="00194B5B">
        <w:t xml:space="preserve"> values are signaled/recorded:</w:t>
      </w:r>
    </w:p>
    <w:p w14:paraId="605EA05A" w14:textId="77777777" w:rsidR="00300C42" w:rsidRPr="00194B5B" w:rsidRDefault="009C13C0"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r>
                <w:rPr>
                  <w:rFonts w:ascii="Cambria Math" w:hAnsi="Cambria Math"/>
                </w:rPr>
                <m:t>]</m:t>
              </m:r>
            </m:e>
          </m:d>
        </m:oMath>
      </m:oMathPara>
    </w:p>
    <w:p w14:paraId="293A81B3" w14:textId="77777777" w:rsidR="00300C42" w:rsidRPr="00194B5B" w:rsidRDefault="009C13C0"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2</m:t>
                      </m:r>
                    </m:sub>
                  </m:sSub>
                </m:e>
              </m:d>
              <m:r>
                <w:rPr>
                  <w:rFonts w:ascii="Cambria Math" w:hAnsi="Cambria Math"/>
                </w:rPr>
                <m:t>, …, ∆</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r>
                <w:rPr>
                  <w:rFonts w:ascii="Cambria Math" w:hAnsi="Cambria Math"/>
                </w:rPr>
                <m:t>]</m:t>
              </m:r>
            </m:e>
          </m:d>
        </m:oMath>
      </m:oMathPara>
    </w:p>
    <w:p w14:paraId="448E842C" w14:textId="4D6A9BEB" w:rsidR="00300C42" w:rsidRPr="00194B5B" w:rsidRDefault="00300C42" w:rsidP="00300C42">
      <w:pPr>
        <w:rPr>
          <w:iCs/>
        </w:rPr>
      </w:pPr>
      <w:r w:rsidRPr="00194B5B">
        <w:t xml:space="preserve">The phase of the initial sample </w:t>
      </w:r>
      <m:oMath>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rPr>
          <w:iCs/>
        </w:rPr>
        <w:t xml:space="preserve"> is taken as zero</w:t>
      </w:r>
      <w:r w:rsidR="0007691C">
        <w:rPr>
          <w:iCs/>
        </w:rPr>
        <w:t xml:space="preserve"> and not signaled</w:t>
      </w:r>
      <w:r w:rsidRPr="00194B5B">
        <w:rPr>
          <w:iCs/>
        </w:rPr>
        <w:t>. Equivalently, this is just applying a common phase de-rotation to the complex-valued CIR samples to set the initial phase to zero:</w:t>
      </w:r>
    </w:p>
    <w:p w14:paraId="2A716527" w14:textId="77777777" w:rsidR="00300C42" w:rsidRPr="00194B5B" w:rsidRDefault="009C13C0" w:rsidP="00300C42">
      <m:oMathPara>
        <m:oMath>
          <m:d>
            <m:dPr>
              <m:begChr m:val="{"/>
              <m:endChr m:val="}"/>
              <m:ctrlPr>
                <w:rPr>
                  <w:rFonts w:ascii="Cambria Math" w:hAnsi="Cambria Math"/>
                  <w:i/>
                </w:rPr>
              </m:ctrlPr>
            </m:dPr>
            <m:e>
              <m:rad>
                <m:radPr>
                  <m:degHide m:val="1"/>
                  <m:ctrlPr>
                    <w:rPr>
                      <w:rFonts w:ascii="Cambria Math" w:hAnsi="Cambria Math"/>
                      <w:i/>
                      <w:iCs/>
                    </w:rPr>
                  </m:ctrlPr>
                </m:radPr>
                <m:deg/>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rad>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r>
                <w:rPr>
                  <w:rFonts w:ascii="Cambria Math" w:hAnsi="Cambria Math"/>
                </w:rPr>
                <m:t>]</m:t>
              </m:r>
            </m:e>
          </m:d>
        </m:oMath>
      </m:oMathPara>
    </w:p>
    <w:p w14:paraId="5B42427D" w14:textId="20C7DC50" w:rsidR="00300C42" w:rsidRPr="00194B5B" w:rsidRDefault="00300C42" w:rsidP="00300C42">
      <w:r w:rsidRPr="00194B5B">
        <w:t xml:space="preserve">In </w:t>
      </w:r>
      <w:r w:rsidR="00500110">
        <w:fldChar w:fldCharType="begin"/>
      </w:r>
      <w:r w:rsidR="00500110">
        <w:instrText xml:space="preserve"> REF _Ref163128462 </w:instrText>
      </w:r>
      <w:r w:rsidR="00500110">
        <w:fldChar w:fldCharType="separate"/>
      </w:r>
      <w:r w:rsidR="00850DA1" w:rsidRPr="00194B5B">
        <w:t xml:space="preserve">Table </w:t>
      </w:r>
      <w:r w:rsidR="00850DA1">
        <w:rPr>
          <w:noProof/>
        </w:rPr>
        <w:t>17</w:t>
      </w:r>
      <w:r w:rsidR="00500110">
        <w:rPr>
          <w:noProof/>
        </w:rPr>
        <w:fldChar w:fldCharType="end"/>
      </w:r>
      <w:r w:rsidRPr="00194B5B">
        <w:t xml:space="preserve">, we compared the 90%tile 2D UE positioning errors </w:t>
      </w:r>
      <m:oMath>
        <m:sSub>
          <m:sSubPr>
            <m:ctrlPr>
              <w:rPr>
                <w:rFonts w:ascii="Cambria Math" w:eastAsia="Calibri"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w:r w:rsidRPr="00194B5B">
        <w:t xml:space="preserve"> (in meters) for two sets of models:</w:t>
      </w:r>
    </w:p>
    <w:p w14:paraId="17FD8D87" w14:textId="6D3D0845" w:rsidR="00300C42" w:rsidRPr="00194B5B" w:rsidRDefault="00300C42" w:rsidP="00D35F36">
      <w:pPr>
        <w:pStyle w:val="ListParagraph"/>
        <w:numPr>
          <w:ilvl w:val="0"/>
          <w:numId w:val="41"/>
        </w:numPr>
      </w:pPr>
      <w:r w:rsidRPr="00194B5B">
        <w:lastRenderedPageBreak/>
        <w:t xml:space="preserve">The first set of models are trained and tested </w:t>
      </w:r>
      <w:r w:rsidR="007841F6">
        <w:t xml:space="preserve">with </w:t>
      </w:r>
      <w:r w:rsidRPr="00194B5B">
        <w:t>CIR samples containing no random initial phases. Note that it’s not possible to collect such type of CIR samples in reality because of the random states of the clock and/or frequency generation circuits discussed in the above.</w:t>
      </w:r>
    </w:p>
    <w:p w14:paraId="752B3EE5" w14:textId="77777777" w:rsidR="00300C42" w:rsidRPr="00194B5B" w:rsidRDefault="00300C42" w:rsidP="00D35F36">
      <w:pPr>
        <w:pStyle w:val="ListParagraph"/>
        <w:numPr>
          <w:ilvl w:val="0"/>
          <w:numId w:val="41"/>
        </w:numPr>
      </w:pPr>
      <w:r w:rsidRPr="00194B5B">
        <w:t>The second set of models are trained and tested CIR samples containing relative phases as just described.</w:t>
      </w:r>
    </w:p>
    <w:p w14:paraId="1718C2A4" w14:textId="77777777" w:rsidR="00300C42" w:rsidRPr="00194B5B" w:rsidRDefault="00300C42" w:rsidP="00300C42">
      <w:r w:rsidRPr="00194B5B">
        <w:t>It can be observed that the models trained and tested CIR relative phase samples achieve essentially identical positioning accuracy (up to simulation noises) as the models trained and tested with idealized (but not physically feasible) CIR samples.</w:t>
      </w:r>
    </w:p>
    <w:p w14:paraId="2BEFD357" w14:textId="77777777" w:rsidR="00300C42" w:rsidRPr="00194B5B" w:rsidRDefault="00300C42" w:rsidP="00300C42"/>
    <w:p w14:paraId="2A8B6834" w14:textId="77777777" w:rsidR="00300C42" w:rsidRPr="00194B5B" w:rsidRDefault="00300C42" w:rsidP="002938DE">
      <w:pPr>
        <w:pStyle w:val="Observation"/>
      </w:pPr>
      <w:bookmarkStart w:id="882" w:name="_Toc178961860"/>
      <w:r w:rsidRPr="00194B5B">
        <w:t>CIR samples containing relative phases can be used as inputs to AI/ML models to circumvent the impact of random initial phase values of measured CIR samples.</w:t>
      </w:r>
      <w:bookmarkEnd w:id="882"/>
    </w:p>
    <w:p w14:paraId="41296430" w14:textId="77777777" w:rsidR="00300C42" w:rsidRPr="00194B5B" w:rsidRDefault="00300C42" w:rsidP="00300C42"/>
    <w:p w14:paraId="6BF56259" w14:textId="24A03D25" w:rsidR="00300C42" w:rsidRPr="00194B5B" w:rsidRDefault="00300C42" w:rsidP="00300C42">
      <w:pPr>
        <w:pStyle w:val="Caption"/>
      </w:pPr>
      <w:bookmarkStart w:id="883" w:name="_Ref163128462"/>
      <w:r w:rsidRPr="00194B5B">
        <w:t xml:space="preserve">Table </w:t>
      </w:r>
      <w:r w:rsidR="00500110">
        <w:fldChar w:fldCharType="begin"/>
      </w:r>
      <w:r w:rsidR="00500110">
        <w:instrText xml:space="preserve"> SEQ Table \* ARABIC </w:instrText>
      </w:r>
      <w:r w:rsidR="00500110">
        <w:fldChar w:fldCharType="separate"/>
      </w:r>
      <w:r w:rsidR="00850DA1">
        <w:rPr>
          <w:noProof/>
        </w:rPr>
        <w:t>17</w:t>
      </w:r>
      <w:r w:rsidR="00500110">
        <w:rPr>
          <w:noProof/>
        </w:rPr>
        <w:fldChar w:fldCharType="end"/>
      </w:r>
      <w:bookmarkEnd w:id="883"/>
      <w:r w:rsidRPr="00194B5B">
        <w:t xml:space="preserve"> Comparison of 90%tile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(1) models trained and tested with CIR samples containing no random initial phases and (2) models trained and tested with CIR samples containing relative phases in the </w:t>
      </w:r>
      <w:r w:rsidRPr="00194B5B">
        <w:rPr>
          <w:lang w:eastAsia="ja-JP"/>
        </w:rPr>
        <w:t>{60%, 6m, 2m} InF-DH scenario</w:t>
      </w:r>
      <w:r w:rsidRPr="00194B5B">
        <w:t xml:space="preserve">. The positioning accuracy is for the “small model” for centralized direct positioning trained with 40,000 samples </w:t>
      </w:r>
      <w:r w:rsidRPr="00194B5B">
        <w:fldChar w:fldCharType="begin"/>
      </w:r>
      <w:r w:rsidRPr="00194B5B">
        <w:instrText xml:space="preserve"> REF _Ref158730650 \r \h </w:instrText>
      </w:r>
      <w:r w:rsidRPr="00194B5B">
        <w:fldChar w:fldCharType="separate"/>
      </w:r>
      <w:r w:rsidR="00850DA1">
        <w:t>[6]</w:t>
      </w:r>
      <w:r w:rsidRPr="00194B5B">
        <w:fldChar w:fldCharType="end"/>
      </w:r>
      <w:r w:rsidRPr="00194B5B">
        <w:t>.</w:t>
      </w:r>
    </w:p>
    <w:tbl>
      <w:tblPr>
        <w:tblStyle w:val="TableGrid"/>
        <w:tblW w:w="8995" w:type="dxa"/>
        <w:tblInd w:w="355" w:type="dxa"/>
        <w:tblLook w:val="04A0" w:firstRow="1" w:lastRow="0" w:firstColumn="1" w:lastColumn="0" w:noHBand="0" w:noVBand="1"/>
      </w:tblPr>
      <w:tblGrid>
        <w:gridCol w:w="1423"/>
        <w:gridCol w:w="1423"/>
        <w:gridCol w:w="3074"/>
        <w:gridCol w:w="3075"/>
      </w:tblGrid>
      <w:tr w:rsidR="00300C42" w:rsidRPr="00194B5B" w14:paraId="2F6590AF" w14:textId="77777777">
        <w:tc>
          <w:tcPr>
            <w:tcW w:w="1423" w:type="dxa"/>
            <w:vMerge w:val="restart"/>
            <w:vAlign w:val="center"/>
          </w:tcPr>
          <w:p w14:paraId="3FCAD32A" w14:textId="77777777" w:rsidR="00300C42" w:rsidRPr="00194B5B" w:rsidRDefault="009C13C0">
            <w:pPr>
              <w:spacing w:before="40" w:after="40"/>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1423" w:type="dxa"/>
            <w:vMerge w:val="restart"/>
            <w:vAlign w:val="center"/>
          </w:tcPr>
          <w:p w14:paraId="6313BC36" w14:textId="77777777" w:rsidR="00300C42" w:rsidRPr="00194B5B" w:rsidRDefault="009C13C0">
            <w:pPr>
              <w:spacing w:before="40" w:after="40"/>
              <w:jc w:val="center"/>
              <w:rPr>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49" w:type="dxa"/>
            <w:gridSpan w:val="2"/>
            <w:vAlign w:val="center"/>
          </w:tcPr>
          <w:p w14:paraId="0728482D" w14:textId="77777777" w:rsidR="00300C42" w:rsidRPr="00194B5B" w:rsidRDefault="00300C42">
            <w:pPr>
              <w:spacing w:before="40" w:after="40"/>
              <w:jc w:val="center"/>
              <w:rPr>
                <w:sz w:val="20"/>
                <w:szCs w:val="20"/>
              </w:rPr>
            </w:pPr>
            <w:r w:rsidRPr="00194B5B">
              <w:rPr>
                <w:sz w:val="20"/>
                <w:szCs w:val="20"/>
              </w:rPr>
              <w:t>90%tile 2D positioning error [m] in {60%, 6m, 2m} InF-DH</w:t>
            </w:r>
            <w:r w:rsidRPr="00194B5B">
              <w:rPr>
                <w:sz w:val="20"/>
                <w:szCs w:val="20"/>
              </w:rPr>
              <w:br/>
              <w:t>Model I trained with 40,000 CIR samples</w:t>
            </w:r>
          </w:p>
        </w:tc>
      </w:tr>
      <w:tr w:rsidR="00300C42" w:rsidRPr="00194B5B" w14:paraId="7B106EC1" w14:textId="77777777">
        <w:tc>
          <w:tcPr>
            <w:tcW w:w="1423" w:type="dxa"/>
            <w:vMerge/>
            <w:vAlign w:val="center"/>
          </w:tcPr>
          <w:p w14:paraId="666C551A" w14:textId="77777777" w:rsidR="00300C42" w:rsidRPr="00194B5B" w:rsidRDefault="00300C42">
            <w:pPr>
              <w:spacing w:before="40" w:after="40"/>
              <w:jc w:val="center"/>
              <w:rPr>
                <w:sz w:val="20"/>
                <w:szCs w:val="20"/>
              </w:rPr>
            </w:pPr>
          </w:p>
        </w:tc>
        <w:tc>
          <w:tcPr>
            <w:tcW w:w="1423" w:type="dxa"/>
            <w:vMerge/>
            <w:vAlign w:val="center"/>
          </w:tcPr>
          <w:p w14:paraId="6509A3E1" w14:textId="77777777" w:rsidR="00300C42" w:rsidRPr="00194B5B" w:rsidRDefault="00300C42">
            <w:pPr>
              <w:spacing w:before="40" w:after="40"/>
              <w:jc w:val="center"/>
              <w:rPr>
                <w:sz w:val="20"/>
                <w:szCs w:val="20"/>
              </w:rPr>
            </w:pPr>
          </w:p>
        </w:tc>
        <w:tc>
          <w:tcPr>
            <w:tcW w:w="3074" w:type="dxa"/>
            <w:vAlign w:val="center"/>
          </w:tcPr>
          <w:p w14:paraId="3DE0DBFC" w14:textId="77777777" w:rsidR="00300C42" w:rsidRPr="00194B5B" w:rsidRDefault="00300C42">
            <w:pPr>
              <w:spacing w:before="40" w:after="40"/>
              <w:jc w:val="center"/>
              <w:rPr>
                <w:sz w:val="20"/>
                <w:szCs w:val="20"/>
              </w:rPr>
            </w:pPr>
            <w:r w:rsidRPr="00194B5B">
              <w:rPr>
                <w:sz w:val="20"/>
                <w:szCs w:val="20"/>
              </w:rPr>
              <w:t xml:space="preserve">Trained and tested </w:t>
            </w:r>
            <w:r w:rsidRPr="00194B5B">
              <w:rPr>
                <w:sz w:val="20"/>
                <w:szCs w:val="20"/>
              </w:rPr>
              <w:br/>
              <w:t>without random initial phases</w:t>
            </w:r>
          </w:p>
        </w:tc>
        <w:tc>
          <w:tcPr>
            <w:tcW w:w="3075" w:type="dxa"/>
          </w:tcPr>
          <w:p w14:paraId="766425F0" w14:textId="77777777" w:rsidR="00300C42" w:rsidRPr="00194B5B" w:rsidRDefault="00300C42">
            <w:pPr>
              <w:spacing w:before="40" w:after="40"/>
              <w:jc w:val="center"/>
              <w:rPr>
                <w:sz w:val="20"/>
                <w:szCs w:val="20"/>
              </w:rPr>
            </w:pPr>
            <w:r w:rsidRPr="00194B5B">
              <w:rPr>
                <w:sz w:val="20"/>
                <w:szCs w:val="20"/>
              </w:rPr>
              <w:t xml:space="preserve">Trained and tested </w:t>
            </w:r>
            <w:r w:rsidRPr="00194B5B">
              <w:rPr>
                <w:sz w:val="20"/>
                <w:szCs w:val="20"/>
              </w:rPr>
              <w:br/>
              <w:t>with relative phases</w:t>
            </w:r>
          </w:p>
        </w:tc>
      </w:tr>
      <w:tr w:rsidR="00300C42" w:rsidRPr="00194B5B" w14:paraId="3D6E90D5" w14:textId="77777777">
        <w:tc>
          <w:tcPr>
            <w:tcW w:w="1423" w:type="dxa"/>
            <w:vAlign w:val="center"/>
          </w:tcPr>
          <w:p w14:paraId="4075EB0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06C5802D" w14:textId="77777777" w:rsidR="00300C42" w:rsidRPr="00194B5B" w:rsidRDefault="00300C42">
            <w:pPr>
              <w:spacing w:before="40" w:after="40"/>
              <w:jc w:val="center"/>
              <w:rPr>
                <w:sz w:val="20"/>
                <w:szCs w:val="20"/>
              </w:rPr>
            </w:pPr>
            <w:r w:rsidRPr="00194B5B">
              <w:rPr>
                <w:sz w:val="20"/>
                <w:szCs w:val="20"/>
              </w:rPr>
              <w:t>128</w:t>
            </w:r>
          </w:p>
        </w:tc>
        <w:tc>
          <w:tcPr>
            <w:tcW w:w="3074" w:type="dxa"/>
          </w:tcPr>
          <w:p w14:paraId="61D2E6A8" w14:textId="77777777" w:rsidR="00300C42" w:rsidRPr="0032606A" w:rsidRDefault="00300C42">
            <w:pPr>
              <w:spacing w:before="40" w:after="40"/>
              <w:jc w:val="center"/>
              <w:rPr>
                <w:sz w:val="20"/>
                <w:szCs w:val="20"/>
              </w:rPr>
            </w:pPr>
            <w:r w:rsidRPr="00194B5B">
              <w:rPr>
                <w:sz w:val="20"/>
                <w:szCs w:val="20"/>
              </w:rPr>
              <w:t>0.</w:t>
            </w:r>
            <w:r w:rsidRPr="0032606A">
              <w:rPr>
                <w:sz w:val="20"/>
                <w:szCs w:val="20"/>
              </w:rPr>
              <w:t>38</w:t>
            </w:r>
          </w:p>
        </w:tc>
        <w:tc>
          <w:tcPr>
            <w:tcW w:w="3075" w:type="dxa"/>
          </w:tcPr>
          <w:p w14:paraId="72E7B097" w14:textId="77777777" w:rsidR="00300C42" w:rsidRPr="0032606A" w:rsidRDefault="00300C42">
            <w:pPr>
              <w:spacing w:before="40" w:after="40"/>
              <w:jc w:val="center"/>
              <w:rPr>
                <w:sz w:val="20"/>
                <w:szCs w:val="20"/>
              </w:rPr>
            </w:pPr>
            <w:r w:rsidRPr="00194B5B">
              <w:rPr>
                <w:sz w:val="20"/>
                <w:szCs w:val="20"/>
              </w:rPr>
              <w:t>0.</w:t>
            </w:r>
            <w:r w:rsidRPr="0032606A">
              <w:rPr>
                <w:sz w:val="20"/>
                <w:szCs w:val="20"/>
              </w:rPr>
              <w:t>39</w:t>
            </w:r>
          </w:p>
        </w:tc>
      </w:tr>
      <w:tr w:rsidR="00300C42" w:rsidRPr="00194B5B" w14:paraId="7D415B0A" w14:textId="77777777">
        <w:tc>
          <w:tcPr>
            <w:tcW w:w="1423" w:type="dxa"/>
            <w:vAlign w:val="center"/>
          </w:tcPr>
          <w:p w14:paraId="55B71E8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6D1A46FA" w14:textId="77777777" w:rsidR="00300C42" w:rsidRPr="00194B5B" w:rsidRDefault="00300C42">
            <w:pPr>
              <w:spacing w:before="40" w:after="40"/>
              <w:jc w:val="center"/>
              <w:rPr>
                <w:sz w:val="20"/>
                <w:szCs w:val="20"/>
              </w:rPr>
            </w:pPr>
            <w:r w:rsidRPr="00194B5B">
              <w:rPr>
                <w:sz w:val="20"/>
                <w:szCs w:val="20"/>
              </w:rPr>
              <w:t>64</w:t>
            </w:r>
          </w:p>
        </w:tc>
        <w:tc>
          <w:tcPr>
            <w:tcW w:w="3074" w:type="dxa"/>
          </w:tcPr>
          <w:p w14:paraId="2421D849"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43</w:t>
            </w:r>
          </w:p>
        </w:tc>
        <w:tc>
          <w:tcPr>
            <w:tcW w:w="3075" w:type="dxa"/>
          </w:tcPr>
          <w:p w14:paraId="41733EE9"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44</w:t>
            </w:r>
          </w:p>
        </w:tc>
      </w:tr>
      <w:tr w:rsidR="00300C42" w:rsidRPr="00194B5B" w14:paraId="655D0C53" w14:textId="77777777">
        <w:tc>
          <w:tcPr>
            <w:tcW w:w="1423" w:type="dxa"/>
            <w:vAlign w:val="center"/>
          </w:tcPr>
          <w:p w14:paraId="4F4E8C23"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362FE26" w14:textId="77777777" w:rsidR="00300C42" w:rsidRPr="00194B5B" w:rsidRDefault="00300C42">
            <w:pPr>
              <w:spacing w:before="40" w:after="40"/>
              <w:jc w:val="center"/>
              <w:rPr>
                <w:sz w:val="20"/>
                <w:szCs w:val="20"/>
              </w:rPr>
            </w:pPr>
            <w:r w:rsidRPr="00194B5B">
              <w:rPr>
                <w:sz w:val="20"/>
                <w:szCs w:val="20"/>
              </w:rPr>
              <w:t>64</w:t>
            </w:r>
          </w:p>
        </w:tc>
        <w:tc>
          <w:tcPr>
            <w:tcW w:w="3074" w:type="dxa"/>
          </w:tcPr>
          <w:p w14:paraId="57BCACB4"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48</w:t>
            </w:r>
          </w:p>
        </w:tc>
        <w:tc>
          <w:tcPr>
            <w:tcW w:w="3075" w:type="dxa"/>
          </w:tcPr>
          <w:p w14:paraId="7C3A585E"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46</w:t>
            </w:r>
          </w:p>
        </w:tc>
      </w:tr>
      <w:tr w:rsidR="00300C42" w:rsidRPr="00194B5B" w14:paraId="037227BA" w14:textId="77777777">
        <w:tc>
          <w:tcPr>
            <w:tcW w:w="1423" w:type="dxa"/>
            <w:vAlign w:val="center"/>
          </w:tcPr>
          <w:p w14:paraId="3DAEC7D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536187D" w14:textId="77777777" w:rsidR="00300C42" w:rsidRPr="00194B5B" w:rsidRDefault="00300C42">
            <w:pPr>
              <w:spacing w:before="40" w:after="40"/>
              <w:jc w:val="center"/>
              <w:rPr>
                <w:sz w:val="20"/>
                <w:szCs w:val="20"/>
              </w:rPr>
            </w:pPr>
            <w:r w:rsidRPr="00194B5B">
              <w:rPr>
                <w:sz w:val="20"/>
                <w:szCs w:val="20"/>
              </w:rPr>
              <w:t>32</w:t>
            </w:r>
          </w:p>
        </w:tc>
        <w:tc>
          <w:tcPr>
            <w:tcW w:w="3074" w:type="dxa"/>
          </w:tcPr>
          <w:p w14:paraId="37565DE2"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54</w:t>
            </w:r>
          </w:p>
        </w:tc>
        <w:tc>
          <w:tcPr>
            <w:tcW w:w="3075" w:type="dxa"/>
          </w:tcPr>
          <w:p w14:paraId="075C854A"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55</w:t>
            </w:r>
          </w:p>
        </w:tc>
      </w:tr>
      <w:tr w:rsidR="00300C42" w:rsidRPr="00194B5B" w14:paraId="7887F8BC" w14:textId="77777777">
        <w:tc>
          <w:tcPr>
            <w:tcW w:w="1423" w:type="dxa"/>
            <w:vAlign w:val="center"/>
          </w:tcPr>
          <w:p w14:paraId="4D6AB4C1"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1A53412" w14:textId="77777777" w:rsidR="00300C42" w:rsidRPr="00194B5B" w:rsidRDefault="00300C42">
            <w:pPr>
              <w:spacing w:before="40" w:after="40"/>
              <w:jc w:val="center"/>
              <w:rPr>
                <w:sz w:val="20"/>
                <w:szCs w:val="20"/>
              </w:rPr>
            </w:pPr>
            <w:r w:rsidRPr="00194B5B">
              <w:rPr>
                <w:sz w:val="20"/>
                <w:szCs w:val="20"/>
              </w:rPr>
              <w:t>32</w:t>
            </w:r>
          </w:p>
        </w:tc>
        <w:tc>
          <w:tcPr>
            <w:tcW w:w="3074" w:type="dxa"/>
          </w:tcPr>
          <w:p w14:paraId="09CB55DB"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53</w:t>
            </w:r>
          </w:p>
        </w:tc>
        <w:tc>
          <w:tcPr>
            <w:tcW w:w="3075" w:type="dxa"/>
          </w:tcPr>
          <w:p w14:paraId="58A978B1"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55</w:t>
            </w:r>
          </w:p>
        </w:tc>
      </w:tr>
      <w:tr w:rsidR="00300C42" w:rsidRPr="00194B5B" w14:paraId="63B9D5FD" w14:textId="77777777">
        <w:tc>
          <w:tcPr>
            <w:tcW w:w="1423" w:type="dxa"/>
            <w:vAlign w:val="center"/>
          </w:tcPr>
          <w:p w14:paraId="135E4DB8"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23D8446B" w14:textId="77777777" w:rsidR="00300C42" w:rsidRPr="00194B5B" w:rsidRDefault="00300C42">
            <w:pPr>
              <w:spacing w:before="40" w:after="40"/>
              <w:jc w:val="center"/>
              <w:rPr>
                <w:sz w:val="20"/>
                <w:szCs w:val="20"/>
              </w:rPr>
            </w:pPr>
            <w:r w:rsidRPr="00194B5B">
              <w:rPr>
                <w:sz w:val="20"/>
                <w:szCs w:val="20"/>
              </w:rPr>
              <w:t>32</w:t>
            </w:r>
          </w:p>
        </w:tc>
        <w:tc>
          <w:tcPr>
            <w:tcW w:w="3074" w:type="dxa"/>
          </w:tcPr>
          <w:p w14:paraId="3AC575AB"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67</w:t>
            </w:r>
          </w:p>
        </w:tc>
        <w:tc>
          <w:tcPr>
            <w:tcW w:w="3075" w:type="dxa"/>
          </w:tcPr>
          <w:p w14:paraId="443FEED2"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66</w:t>
            </w:r>
          </w:p>
        </w:tc>
      </w:tr>
      <w:tr w:rsidR="00300C42" w:rsidRPr="00194B5B" w14:paraId="353684E6" w14:textId="77777777">
        <w:tc>
          <w:tcPr>
            <w:tcW w:w="1423" w:type="dxa"/>
            <w:vAlign w:val="center"/>
          </w:tcPr>
          <w:p w14:paraId="6B5333B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1F4918E" w14:textId="77777777" w:rsidR="00300C42" w:rsidRPr="00194B5B" w:rsidRDefault="00300C42">
            <w:pPr>
              <w:spacing w:before="40" w:after="40"/>
              <w:jc w:val="center"/>
              <w:rPr>
                <w:sz w:val="20"/>
                <w:szCs w:val="20"/>
              </w:rPr>
            </w:pPr>
            <w:r w:rsidRPr="00194B5B">
              <w:rPr>
                <w:sz w:val="20"/>
                <w:szCs w:val="20"/>
              </w:rPr>
              <w:t>16</w:t>
            </w:r>
          </w:p>
        </w:tc>
        <w:tc>
          <w:tcPr>
            <w:tcW w:w="3074" w:type="dxa"/>
          </w:tcPr>
          <w:p w14:paraId="4E80E1E8"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68</w:t>
            </w:r>
          </w:p>
        </w:tc>
        <w:tc>
          <w:tcPr>
            <w:tcW w:w="3075" w:type="dxa"/>
          </w:tcPr>
          <w:p w14:paraId="41675BB8"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69</w:t>
            </w:r>
          </w:p>
        </w:tc>
      </w:tr>
      <w:tr w:rsidR="00300C42" w:rsidRPr="00194B5B" w14:paraId="6CB51F82" w14:textId="77777777">
        <w:tc>
          <w:tcPr>
            <w:tcW w:w="1423" w:type="dxa"/>
            <w:vAlign w:val="center"/>
          </w:tcPr>
          <w:p w14:paraId="07954A58"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0551BCD5" w14:textId="77777777" w:rsidR="00300C42" w:rsidRPr="00194B5B" w:rsidRDefault="00300C42">
            <w:pPr>
              <w:spacing w:before="40" w:after="40"/>
              <w:jc w:val="center"/>
              <w:rPr>
                <w:sz w:val="20"/>
                <w:szCs w:val="20"/>
              </w:rPr>
            </w:pPr>
            <w:r w:rsidRPr="00194B5B">
              <w:rPr>
                <w:sz w:val="20"/>
                <w:szCs w:val="20"/>
              </w:rPr>
              <w:t>16</w:t>
            </w:r>
          </w:p>
        </w:tc>
        <w:tc>
          <w:tcPr>
            <w:tcW w:w="3074" w:type="dxa"/>
          </w:tcPr>
          <w:p w14:paraId="2BC5E6F6"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64</w:t>
            </w:r>
          </w:p>
        </w:tc>
        <w:tc>
          <w:tcPr>
            <w:tcW w:w="3075" w:type="dxa"/>
          </w:tcPr>
          <w:p w14:paraId="623A2BF4"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65</w:t>
            </w:r>
          </w:p>
        </w:tc>
      </w:tr>
      <w:tr w:rsidR="00300C42" w:rsidRPr="00194B5B" w14:paraId="34403022" w14:textId="77777777">
        <w:tc>
          <w:tcPr>
            <w:tcW w:w="1423" w:type="dxa"/>
            <w:vAlign w:val="center"/>
          </w:tcPr>
          <w:p w14:paraId="7B869F55"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769B694D" w14:textId="77777777" w:rsidR="00300C42" w:rsidRPr="00194B5B" w:rsidRDefault="00300C42">
            <w:pPr>
              <w:spacing w:before="40" w:after="40"/>
              <w:jc w:val="center"/>
              <w:rPr>
                <w:sz w:val="20"/>
                <w:szCs w:val="20"/>
              </w:rPr>
            </w:pPr>
            <w:r w:rsidRPr="00194B5B">
              <w:rPr>
                <w:sz w:val="20"/>
                <w:szCs w:val="20"/>
              </w:rPr>
              <w:t>16</w:t>
            </w:r>
          </w:p>
        </w:tc>
        <w:tc>
          <w:tcPr>
            <w:tcW w:w="3074" w:type="dxa"/>
          </w:tcPr>
          <w:p w14:paraId="43239EB1" w14:textId="77777777" w:rsidR="00300C42" w:rsidRPr="0032606A" w:rsidRDefault="00300C42">
            <w:pPr>
              <w:spacing w:before="40" w:after="40"/>
              <w:jc w:val="center"/>
              <w:rPr>
                <w:sz w:val="20"/>
                <w:szCs w:val="20"/>
              </w:rPr>
            </w:pPr>
            <w:r w:rsidRPr="00194B5B">
              <w:rPr>
                <w:sz w:val="20"/>
                <w:szCs w:val="20"/>
              </w:rPr>
              <w:t>0.</w:t>
            </w:r>
            <w:r w:rsidRPr="0032606A">
              <w:rPr>
                <w:sz w:val="20"/>
                <w:szCs w:val="20"/>
              </w:rPr>
              <w:t>70</w:t>
            </w:r>
          </w:p>
        </w:tc>
        <w:tc>
          <w:tcPr>
            <w:tcW w:w="3075" w:type="dxa"/>
          </w:tcPr>
          <w:p w14:paraId="488BBF8C" w14:textId="77777777" w:rsidR="00300C42" w:rsidRPr="0032606A" w:rsidRDefault="00300C42">
            <w:pPr>
              <w:spacing w:before="40" w:after="40"/>
              <w:jc w:val="center"/>
              <w:rPr>
                <w:sz w:val="20"/>
                <w:szCs w:val="20"/>
              </w:rPr>
            </w:pPr>
            <w:r w:rsidRPr="00194B5B">
              <w:rPr>
                <w:sz w:val="20"/>
                <w:szCs w:val="20"/>
              </w:rPr>
              <w:t>0.</w:t>
            </w:r>
            <w:r w:rsidRPr="0032606A">
              <w:rPr>
                <w:sz w:val="20"/>
                <w:szCs w:val="20"/>
              </w:rPr>
              <w:t>71</w:t>
            </w:r>
          </w:p>
        </w:tc>
      </w:tr>
      <w:tr w:rsidR="00300C42" w:rsidRPr="00194B5B" w14:paraId="2408942C" w14:textId="77777777">
        <w:tc>
          <w:tcPr>
            <w:tcW w:w="1423" w:type="dxa"/>
            <w:vAlign w:val="center"/>
          </w:tcPr>
          <w:p w14:paraId="1D834CC3"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5124A876" w14:textId="77777777" w:rsidR="00300C42" w:rsidRPr="00194B5B" w:rsidRDefault="00300C42">
            <w:pPr>
              <w:spacing w:before="40" w:after="40"/>
              <w:jc w:val="center"/>
              <w:rPr>
                <w:sz w:val="20"/>
                <w:szCs w:val="20"/>
              </w:rPr>
            </w:pPr>
            <w:r w:rsidRPr="00194B5B">
              <w:rPr>
                <w:sz w:val="20"/>
                <w:szCs w:val="20"/>
              </w:rPr>
              <w:t>9</w:t>
            </w:r>
          </w:p>
        </w:tc>
        <w:tc>
          <w:tcPr>
            <w:tcW w:w="3074" w:type="dxa"/>
          </w:tcPr>
          <w:p w14:paraId="065F859F"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82</w:t>
            </w:r>
          </w:p>
        </w:tc>
        <w:tc>
          <w:tcPr>
            <w:tcW w:w="3075" w:type="dxa"/>
          </w:tcPr>
          <w:p w14:paraId="1995D492"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84</w:t>
            </w:r>
          </w:p>
        </w:tc>
      </w:tr>
      <w:tr w:rsidR="00300C42" w:rsidRPr="00194B5B" w14:paraId="3E255886" w14:textId="77777777">
        <w:tc>
          <w:tcPr>
            <w:tcW w:w="1423" w:type="dxa"/>
            <w:vAlign w:val="center"/>
          </w:tcPr>
          <w:p w14:paraId="7829191F"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5BB5C2DB" w14:textId="77777777" w:rsidR="00300C42" w:rsidRPr="00194B5B" w:rsidRDefault="00300C42">
            <w:pPr>
              <w:spacing w:before="40" w:after="40"/>
              <w:jc w:val="center"/>
              <w:rPr>
                <w:sz w:val="20"/>
                <w:szCs w:val="20"/>
              </w:rPr>
            </w:pPr>
            <w:r w:rsidRPr="00194B5B">
              <w:rPr>
                <w:sz w:val="20"/>
                <w:szCs w:val="20"/>
              </w:rPr>
              <w:t>9</w:t>
            </w:r>
          </w:p>
        </w:tc>
        <w:tc>
          <w:tcPr>
            <w:tcW w:w="3074" w:type="dxa"/>
          </w:tcPr>
          <w:p w14:paraId="67012A7E"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82</w:t>
            </w:r>
          </w:p>
        </w:tc>
        <w:tc>
          <w:tcPr>
            <w:tcW w:w="3075" w:type="dxa"/>
          </w:tcPr>
          <w:p w14:paraId="32C802EF"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81</w:t>
            </w:r>
          </w:p>
        </w:tc>
      </w:tr>
      <w:tr w:rsidR="00300C42" w:rsidRPr="00194B5B" w14:paraId="20BCA78C" w14:textId="77777777">
        <w:tc>
          <w:tcPr>
            <w:tcW w:w="1423" w:type="dxa"/>
            <w:vAlign w:val="center"/>
          </w:tcPr>
          <w:p w14:paraId="39C1F462"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60C91610" w14:textId="77777777" w:rsidR="00300C42" w:rsidRPr="00194B5B" w:rsidRDefault="00300C42">
            <w:pPr>
              <w:spacing w:before="40" w:after="40"/>
              <w:jc w:val="center"/>
              <w:rPr>
                <w:sz w:val="20"/>
                <w:szCs w:val="20"/>
              </w:rPr>
            </w:pPr>
            <w:r w:rsidRPr="00194B5B">
              <w:rPr>
                <w:sz w:val="20"/>
                <w:szCs w:val="20"/>
              </w:rPr>
              <w:t>9</w:t>
            </w:r>
          </w:p>
        </w:tc>
        <w:tc>
          <w:tcPr>
            <w:tcW w:w="3074" w:type="dxa"/>
          </w:tcPr>
          <w:p w14:paraId="1D604213"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80</w:t>
            </w:r>
          </w:p>
        </w:tc>
        <w:tc>
          <w:tcPr>
            <w:tcW w:w="3075" w:type="dxa"/>
          </w:tcPr>
          <w:p w14:paraId="10D399B6"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80</w:t>
            </w:r>
          </w:p>
        </w:tc>
      </w:tr>
    </w:tbl>
    <w:p w14:paraId="007463D4" w14:textId="77777777" w:rsidR="00300C42" w:rsidRPr="00194B5B" w:rsidRDefault="00300C42" w:rsidP="00300C42"/>
    <w:p w14:paraId="1D5A94C9" w14:textId="4E8546C0" w:rsidR="00750BE5" w:rsidRDefault="00AD513E" w:rsidP="00300C42">
      <w:r>
        <w:t>I</w:t>
      </w:r>
      <w:r w:rsidR="00750BE5">
        <w:t>f the relative phase described above is to be supported, then new measurement type</w:t>
      </w:r>
      <w:r>
        <w:t>s</w:t>
      </w:r>
      <w:r w:rsidR="00750BE5">
        <w:t xml:space="preserve"> needs to be introduced</w:t>
      </w:r>
      <w:r w:rsidR="003802FC">
        <w:t xml:space="preserve"> in 38.215.</w:t>
      </w:r>
      <w:r w:rsidR="004110B6">
        <w:t xml:space="preserve"> An example is shown below and called UL RSRCP</w:t>
      </w:r>
      <w:r>
        <w:t>, which is for UL measurements based on SRS</w:t>
      </w:r>
      <w:r w:rsidR="004110B6">
        <w:t>.</w:t>
      </w:r>
      <w:r>
        <w:t xml:space="preserve"> Similar new measurement type is needed for DL PRS as well.</w:t>
      </w:r>
    </w:p>
    <w:tbl>
      <w:tblPr>
        <w:tblStyle w:val="TableGrid"/>
        <w:tblW w:w="0" w:type="auto"/>
        <w:tblLook w:val="04A0" w:firstRow="1" w:lastRow="0" w:firstColumn="1" w:lastColumn="0" w:noHBand="0" w:noVBand="1"/>
      </w:tblPr>
      <w:tblGrid>
        <w:gridCol w:w="9962"/>
      </w:tblGrid>
      <w:tr w:rsidR="003802FC" w14:paraId="0DE56CE6" w14:textId="77777777" w:rsidTr="003802FC">
        <w:tc>
          <w:tcPr>
            <w:tcW w:w="9962" w:type="dxa"/>
          </w:tcPr>
          <w:p w14:paraId="752E57A6" w14:textId="188B4277" w:rsidR="003802FC" w:rsidRPr="004157FD" w:rsidRDefault="003802FC" w:rsidP="004157FD">
            <w:pPr>
              <w:keepNext/>
              <w:keepLines/>
              <w:rPr>
                <w:sz w:val="18"/>
                <w:lang w:val="en-CA"/>
              </w:rPr>
            </w:pPr>
            <w:r>
              <w:rPr>
                <w:iCs/>
                <w:sz w:val="18"/>
                <w:lang w:val="en-CA"/>
              </w:rPr>
              <w:t>U</w:t>
            </w:r>
            <w:r w:rsidRPr="00B36F20">
              <w:rPr>
                <w:iCs/>
                <w:sz w:val="18"/>
                <w:lang w:val="en-CA"/>
              </w:rPr>
              <w:t>L reference signal</w:t>
            </w:r>
            <w:r>
              <w:rPr>
                <w:iCs/>
                <w:sz w:val="18"/>
                <w:lang w:val="en-CA"/>
              </w:rPr>
              <w:t xml:space="preserve"> relative</w:t>
            </w:r>
            <w:r w:rsidRPr="00B36F20">
              <w:rPr>
                <w:iCs/>
                <w:sz w:val="18"/>
                <w:lang w:val="en-CA"/>
              </w:rPr>
              <w:t xml:space="preserve"> carrier phase (RS</w:t>
            </w:r>
            <w:r>
              <w:rPr>
                <w:iCs/>
                <w:sz w:val="18"/>
                <w:lang w:val="en-CA"/>
              </w:rPr>
              <w:t>R</w:t>
            </w:r>
            <w:r w:rsidRPr="00B36F20">
              <w:rPr>
                <w:iCs/>
                <w:sz w:val="18"/>
                <w:lang w:val="en-CA"/>
              </w:rPr>
              <w:t xml:space="preserve">CP) is defined as </w:t>
            </w:r>
            <w:r>
              <w:rPr>
                <w:iCs/>
                <w:sz w:val="18"/>
                <w:lang w:val="en-CA"/>
              </w:rPr>
              <w:t xml:space="preserve">a sequence of relative phase values </w:t>
            </w:r>
            <w:r w:rsidRPr="00B175D3">
              <w:rPr>
                <w:rFonts w:eastAsia="MS Mincho" w:cs="Arial"/>
                <w:sz w:val="18"/>
                <w:lang w:val="x-none" w:eastAsia="x-none"/>
              </w:rPr>
              <w:t>of the channel response</w:t>
            </w:r>
            <w:r>
              <w:rPr>
                <w:rFonts w:eastAsia="MS Mincho" w:cs="Arial"/>
                <w:sz w:val="18"/>
                <w:lang w:eastAsia="x-none"/>
              </w:rPr>
              <w:t xml:space="preserve"> </w:t>
            </w:r>
            <w:r w:rsidRPr="003A77C4">
              <w:rPr>
                <w:rFonts w:eastAsia="MS Mincho" w:cs="Arial"/>
                <w:sz w:val="18"/>
                <w:lang w:eastAsia="x-none"/>
              </w:rPr>
              <w:t>derived from the resource elements carrying sounding reference signals (SRS) configured for the measurement</w:t>
            </w:r>
            <w:r>
              <w:rPr>
                <w:iCs/>
                <w:sz w:val="18"/>
                <w:lang w:val="en-CA"/>
              </w:rPr>
              <w:t xml:space="preserve">. For the j-th path, the relative phase is the difference between the phase of the j-th path and the phase of the first path. </w:t>
            </w:r>
          </w:p>
        </w:tc>
      </w:tr>
    </w:tbl>
    <w:p w14:paraId="7B32C2E9" w14:textId="77777777" w:rsidR="003802FC" w:rsidRDefault="003802FC" w:rsidP="00300C42"/>
    <w:p w14:paraId="6D533511" w14:textId="6999C705" w:rsidR="00750BE5" w:rsidRDefault="003802FC" w:rsidP="00300C42">
      <w:pPr>
        <w:rPr>
          <w:rFonts w:cs="Arial"/>
          <w:lang w:eastAsia="x-none"/>
        </w:rPr>
      </w:pPr>
      <w:r w:rsidRPr="003802FC">
        <w:t xml:space="preserve">It is noted that the UL RSRCP illustrated above needs to be added in addition to the existing </w:t>
      </w:r>
      <w:r w:rsidRPr="004157FD">
        <w:rPr>
          <w:rFonts w:cs="Arial"/>
          <w:lang w:val="x-none" w:eastAsia="x-none"/>
        </w:rPr>
        <w:t>UL reference signal carrier phase (RSCP)</w:t>
      </w:r>
      <w:r w:rsidRPr="004157FD">
        <w:rPr>
          <w:rFonts w:cs="Arial"/>
          <w:lang w:eastAsia="x-none"/>
        </w:rPr>
        <w:t xml:space="preserve"> introduced in Rel-18, which is </w:t>
      </w:r>
      <w:r>
        <w:rPr>
          <w:rFonts w:cs="Arial"/>
          <w:lang w:eastAsia="x-none"/>
        </w:rPr>
        <w:t xml:space="preserve">only </w:t>
      </w:r>
      <w:r w:rsidRPr="004157FD">
        <w:rPr>
          <w:rFonts w:cs="Arial"/>
          <w:lang w:eastAsia="x-none"/>
        </w:rPr>
        <w:t>for the phase of the first detected path delay. Related to the new measurement type UL RSRCP</w:t>
      </w:r>
      <w:r>
        <w:rPr>
          <w:rFonts w:cs="Arial"/>
          <w:lang w:eastAsia="x-none"/>
        </w:rPr>
        <w:t xml:space="preserve">, standardization effort is also needed in </w:t>
      </w:r>
      <w:r w:rsidR="00225B30">
        <w:rPr>
          <w:rFonts w:cs="Arial"/>
          <w:lang w:eastAsia="x-none"/>
        </w:rPr>
        <w:t>RAN1/</w:t>
      </w:r>
      <w:r>
        <w:rPr>
          <w:rFonts w:cs="Arial"/>
          <w:lang w:eastAsia="x-none"/>
        </w:rPr>
        <w:t>RAN2</w:t>
      </w:r>
      <w:r w:rsidR="00225B30">
        <w:rPr>
          <w:rFonts w:cs="Arial"/>
          <w:lang w:eastAsia="x-none"/>
        </w:rPr>
        <w:t>/</w:t>
      </w:r>
      <w:r>
        <w:rPr>
          <w:rFonts w:cs="Arial"/>
          <w:lang w:eastAsia="x-none"/>
        </w:rPr>
        <w:t>RAN3 for signaling support</w:t>
      </w:r>
      <w:r w:rsidR="00225B30">
        <w:rPr>
          <w:rFonts w:cs="Arial"/>
          <w:lang w:eastAsia="x-none"/>
        </w:rPr>
        <w:t xml:space="preserve"> for training data collection and model inference</w:t>
      </w:r>
      <w:r>
        <w:rPr>
          <w:rFonts w:cs="Arial"/>
          <w:lang w:eastAsia="x-none"/>
        </w:rPr>
        <w:t xml:space="preserve">, and </w:t>
      </w:r>
      <w:r w:rsidR="00225B30">
        <w:rPr>
          <w:rFonts w:cs="Arial"/>
          <w:lang w:eastAsia="x-none"/>
        </w:rPr>
        <w:t xml:space="preserve">potentially </w:t>
      </w:r>
      <w:r>
        <w:rPr>
          <w:rFonts w:cs="Arial"/>
          <w:lang w:eastAsia="x-none"/>
        </w:rPr>
        <w:t>in RAN4 for requirements.</w:t>
      </w:r>
      <w:r w:rsidR="00AD513E">
        <w:rPr>
          <w:rFonts w:cs="Arial"/>
          <w:lang w:eastAsia="x-none"/>
        </w:rPr>
        <w:t xml:space="preserve"> </w:t>
      </w:r>
      <w:r w:rsidR="00AD513E">
        <w:t>Similar standardization effort is needed for the corresponding DL PRS measurement as well.</w:t>
      </w:r>
      <w:r>
        <w:rPr>
          <w:rFonts w:cs="Arial"/>
          <w:lang w:eastAsia="x-none"/>
        </w:rPr>
        <w:t xml:space="preserve"> RAN1 needs to take these into account in determining whether to support CIR in Rel-19.</w:t>
      </w:r>
    </w:p>
    <w:p w14:paraId="1B995465" w14:textId="38F167A1" w:rsidR="003802FC" w:rsidRDefault="00F22BBA" w:rsidP="00300C42">
      <w:r>
        <w:lastRenderedPageBreak/>
        <w:t xml:space="preserve">Furthermore, the analysis above does not consider inter-path phase difference caused by the TRP’s and the UEs antenna patterns. As discussed in section </w:t>
      </w:r>
      <w:r w:rsidR="00500110">
        <w:fldChar w:fldCharType="begin"/>
      </w:r>
      <w:r w:rsidR="00500110">
        <w:instrText xml:space="preserve"> REF _Ref163131948 \r </w:instrText>
      </w:r>
      <w:r w:rsidR="00500110">
        <w:fldChar w:fldCharType="separate"/>
      </w:r>
      <w:r w:rsidR="00850DA1">
        <w:t>3.2.3</w:t>
      </w:r>
      <w:r w:rsidR="00500110">
        <w:fldChar w:fldCharType="end"/>
      </w:r>
      <w:r>
        <w:t>, it is unclear how to remove such inter-path phase difference</w:t>
      </w:r>
      <w:r w:rsidR="00875C6F">
        <w:t xml:space="preserve"> between model training and model inference</w:t>
      </w:r>
      <w:r>
        <w:t>, especially the phase offset caused by UE Tx or Rx antenna</w:t>
      </w:r>
      <w:r w:rsidR="00875C6F">
        <w:t>.</w:t>
      </w:r>
    </w:p>
    <w:p w14:paraId="0F369AF1" w14:textId="77777777" w:rsidR="00F22BBA" w:rsidRPr="003802FC" w:rsidRDefault="00F22BBA" w:rsidP="00300C42"/>
    <w:p w14:paraId="470DD67B" w14:textId="77777777" w:rsidR="00875C6F" w:rsidRDefault="00875C6F" w:rsidP="002938DE">
      <w:pPr>
        <w:pStyle w:val="Proposal"/>
      </w:pPr>
      <w:bookmarkStart w:id="884" w:name="_Toc178961896"/>
      <w:r>
        <w:t>To decide whether to support phase information to enable CIR as model input, RAN1 should weigh the small positioning accuracy improvement against the standardization effort, the signaling overhead, and the difficulty to align phase information between training and inference.</w:t>
      </w:r>
      <w:bookmarkEnd w:id="884"/>
    </w:p>
    <w:p w14:paraId="35DC122B" w14:textId="691C16F3" w:rsidR="00300C42" w:rsidRDefault="003802FC" w:rsidP="002938DE">
      <w:pPr>
        <w:pStyle w:val="Proposal"/>
      </w:pPr>
      <w:bookmarkStart w:id="885" w:name="_Toc178961897"/>
      <w:r>
        <w:t>If phase information is supported to enable CIR as model input, the phase values are reported in the format of relative phase.</w:t>
      </w:r>
      <w:bookmarkEnd w:id="885"/>
    </w:p>
    <w:p w14:paraId="56B1DBAE" w14:textId="5A3170D1" w:rsidR="00300C42" w:rsidRPr="00AC7632" w:rsidRDefault="00F22BBA" w:rsidP="004157FD">
      <w:pPr>
        <w:pStyle w:val="Heading3"/>
      </w:pPr>
      <w:bookmarkStart w:id="886" w:name="_Ref163131948"/>
      <w:bookmarkStart w:id="887" w:name="_Toc165990989"/>
      <w:bookmarkStart w:id="888" w:name="_Toc178961658"/>
      <w:r>
        <w:t>Difficulty to align</w:t>
      </w:r>
      <w:r w:rsidR="00300C42">
        <w:t xml:space="preserve"> phase measurements</w:t>
      </w:r>
      <w:bookmarkEnd w:id="886"/>
      <w:r w:rsidR="007416E4">
        <w:t xml:space="preserve"> between model training and model inference</w:t>
      </w:r>
      <w:bookmarkEnd w:id="887"/>
      <w:bookmarkEnd w:id="888"/>
    </w:p>
    <w:p w14:paraId="004576CF" w14:textId="1AB0F8EC" w:rsidR="00300C42" w:rsidRDefault="00300C42" w:rsidP="00300C42">
      <w:r>
        <w:t>Assuming a magnitude-phase measurement is used as model input, e.g.</w:t>
      </w:r>
      <w:r w:rsidR="00A23F4F">
        <w:t>,</w:t>
      </w:r>
      <w:r>
        <w:t xml:space="preserve"> a complex CIR or even a single path, some ambiguity will need to be resolved. In the downlink, the phase component of a received path consists of the following:</w:t>
      </w:r>
    </w:p>
    <w:p w14:paraId="03EB9974" w14:textId="77777777" w:rsidR="00300C42" w:rsidRPr="00AC7EB8" w:rsidRDefault="009C13C0" w:rsidP="00300C42">
      <m:oMathPara>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ue</m:t>
              </m:r>
            </m:sub>
          </m:sSub>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TRP</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m:oMathPara>
    </w:p>
    <w:p w14:paraId="006A97BD" w14:textId="77777777" w:rsidR="00300C42" w:rsidRDefault="00300C42" w:rsidP="00300C42">
      <w:r>
        <w:t>In this equation, we can see that the receive phase is made of:</w:t>
      </w:r>
    </w:p>
    <w:p w14:paraId="144BF009" w14:textId="77777777" w:rsidR="00300C42" w:rsidRDefault="00300C42" w:rsidP="00D35F36">
      <w:pPr>
        <w:pStyle w:val="ListParagraph"/>
        <w:numPr>
          <w:ilvl w:val="0"/>
          <w:numId w:val="20"/>
        </w:numPr>
      </w:pPr>
      <w:r>
        <w:t xml:space="preserve">The channel path phase </w:t>
      </w:r>
      <m:oMath>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oMath>
      <w:r>
        <w:t>, which is a function of the distance between the TRP and the UE.</w:t>
      </w:r>
    </w:p>
    <w:p w14:paraId="404449AD" w14:textId="77777777" w:rsidR="00300C42" w:rsidRDefault="00300C42" w:rsidP="00D35F36">
      <w:pPr>
        <w:pStyle w:val="ListParagraph"/>
        <w:numPr>
          <w:ilvl w:val="0"/>
          <w:numId w:val="20"/>
        </w:numPr>
      </w:pPr>
      <w:r w:rsidRPr="35DAF9E0">
        <w:t xml:space="preserve">The TRP phase at the time of transmission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m:t>
                </m:r>
              </m:sub>
            </m:sSub>
          </m:e>
        </m:d>
      </m:oMath>
      <w:r w:rsidRPr="35DAF9E0">
        <w:t xml:space="preserve">, which includes a random phase rotation caused by the free-running oscillator, and a deterministic rotation caused by the beamforming weights and the Tx antenna pattern. Thus the initial phase depends on the direction of departure of the path. </w:t>
      </w:r>
    </w:p>
    <w:p w14:paraId="16CB503E" w14:textId="77777777" w:rsidR="00300C42" w:rsidRDefault="00300C42" w:rsidP="00D35F36">
      <w:pPr>
        <w:pStyle w:val="ListParagraph"/>
        <w:numPr>
          <w:ilvl w:val="0"/>
          <w:numId w:val="20"/>
        </w:numPr>
      </w:pPr>
      <w:r w:rsidRPr="35DAF9E0">
        <w:t xml:space="preserve">The UE phase at the time of reception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w:r w:rsidRPr="35DAF9E0">
        <w:t xml:space="preserve">, which includes a random phase rotation caused by the free-running oscillator, and a deterministic rotation caused by the beamforming weights and the Rx antenna pattern. Thus the initial phase depends on the direction of arrival of the path. </w:t>
      </w:r>
    </w:p>
    <w:p w14:paraId="10D210C6" w14:textId="77777777" w:rsidR="00300C42" w:rsidRDefault="00300C42" w:rsidP="00300C42"/>
    <w:p w14:paraId="65DA42E3" w14:textId="1637EDDC" w:rsidR="00300C42" w:rsidRDefault="00300C42" w:rsidP="00300C42">
      <w:r>
        <w:t>Let’s assume that the model input is the RSCP/RSCPD measurement defined in release 18, i.e.</w:t>
      </w:r>
      <w:r w:rsidR="00875094">
        <w:t>,</w:t>
      </w:r>
      <w:r>
        <w:t xml:space="preserve"> the (complex) phase/ phase difference for the first path. Carrier phase positioning specified in release 18 measures the phase difference between two DL PRSs received from two TRPs:</w:t>
      </w:r>
    </w:p>
    <w:p w14:paraId="0144D8D5" w14:textId="77777777" w:rsidR="00300C42" w:rsidRPr="00AC7EB8" w:rsidRDefault="009C13C0"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e>
          </m:d>
        </m:oMath>
      </m:oMathPara>
    </w:p>
    <w:p w14:paraId="493F191A" w14:textId="77777777" w:rsidR="00300C42" w:rsidRDefault="00300C42" w:rsidP="00300C42">
      <w:r>
        <w:t xml:space="preserve">Doing so cancels out the UE’s own random phase error contribution to the phase error. We can assume there is no UE phase error contribution left </w:t>
      </w:r>
      <w:r w:rsidRPr="004157FD">
        <w:rPr>
          <w:i/>
        </w:rPr>
        <w:t>if the UE knows its antenna pattern’s phase offset and can remove it</w:t>
      </w:r>
      <w:r>
        <w:t>. The remaining phase difference becomes:</w:t>
      </w:r>
    </w:p>
    <w:p w14:paraId="14B2DD5B" w14:textId="77777777" w:rsidR="00300C42" w:rsidRPr="00AC7EB8" w:rsidRDefault="009C13C0"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2CE2A202" w14:textId="77777777" w:rsidR="00300C42" w:rsidRDefault="00300C42" w:rsidP="00300C42">
      <w:r>
        <w:t>To cancel out the TRPs contribution to the phase error, a PRU is used to collect a measurement from each TRP and form its own phase difference:</w:t>
      </w:r>
    </w:p>
    <w:p w14:paraId="0D6DF82D" w14:textId="77777777" w:rsidR="00300C42" w:rsidRPr="00AC7EB8" w:rsidRDefault="009C13C0"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4ED69AD5" w14:textId="77777777" w:rsidR="00300C42" w:rsidRDefault="00300C42" w:rsidP="00300C42">
      <w:r>
        <w:t>The assumption is that the PRU allows the estimator to perfectly know the distance between the TRP and the PRU, so that the differential phase errors between the TRPs can be estimated as:</w:t>
      </w:r>
    </w:p>
    <w:p w14:paraId="19FEB7F8" w14:textId="77777777" w:rsidR="00300C42" w:rsidRPr="00AC7EB8" w:rsidRDefault="009C13C0"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m:oMathPara>
    </w:p>
    <w:p w14:paraId="659EE2BF" w14:textId="335D76D4" w:rsidR="00300C42" w:rsidRDefault="00300C42" w:rsidP="00300C42">
      <w:r>
        <w:t xml:space="preserve">The final phase difference then </w:t>
      </w:r>
      <w:r w:rsidR="0077387E">
        <w:t xml:space="preserve">can be expressed as following and can be used to find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oMath>
      <w:r>
        <w:t>:</w:t>
      </w:r>
      <w:r w:rsidR="007C4A11">
        <w:t xml:space="preserve"> </w:t>
      </w:r>
    </w:p>
    <w:p w14:paraId="3277E7AE" w14:textId="1594C37A" w:rsidR="00DB315D" w:rsidRDefault="009C13C0" w:rsidP="00DB315D">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oMath>
      </m:oMathPara>
    </w:p>
    <w:p w14:paraId="1B6DB1B9" w14:textId="7EAAAD7D" w:rsidR="00300C42" w:rsidRDefault="00D62EB8" w:rsidP="00300C42">
      <w:r>
        <w:t xml:space="preserve">In the above, it is assumed that </w:t>
      </w:r>
      <m:oMath>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w:r>
        <w:t xml:space="preserve">. </w:t>
      </w:r>
      <w:r w:rsidR="00300C42">
        <w:t xml:space="preserve">If the PRU and the UE are collocated well enough, and the measurements are taken very close in time, the PRU-estimate of the differential phase error between TRPs corresponds to the TRP phase error experienced by the UE. for this reason, release 18 specified a </w:t>
      </w:r>
      <w:r w:rsidR="00300C42">
        <w:lastRenderedPageBreak/>
        <w:t xml:space="preserve">measurement time window for RSCP/RSCPD measurements. </w:t>
      </w:r>
      <w:r>
        <w:t>H</w:t>
      </w:r>
      <w:r w:rsidR="00300C42">
        <w:t xml:space="preserve">ence, if the Rel-18 measurement is used for measurement input, PRUs need to assist the measuring UE during inference, since the phase errors from TRPs are time-dependent. </w:t>
      </w:r>
    </w:p>
    <w:p w14:paraId="5A47D51B" w14:textId="636BC07D" w:rsidR="00300C42" w:rsidRDefault="00300C42" w:rsidP="002938DE">
      <w:pPr>
        <w:pStyle w:val="Observation"/>
      </w:pPr>
      <w:bookmarkStart w:id="889" w:name="_Toc178961861"/>
      <w:r>
        <w:t xml:space="preserve">For the RSCPD measurement PRU assisted phase error compensation requires PRUs to be used during training and inference, further increasing the </w:t>
      </w:r>
      <w:r w:rsidR="009E1513">
        <w:t xml:space="preserve">deployment cost and signaling </w:t>
      </w:r>
      <w:r>
        <w:t>overhead.</w:t>
      </w:r>
      <w:bookmarkEnd w:id="889"/>
      <w:r>
        <w:t xml:space="preserve"> </w:t>
      </w:r>
    </w:p>
    <w:p w14:paraId="10C750EA" w14:textId="77777777" w:rsidR="00300C42" w:rsidRDefault="00300C42" w:rsidP="00300C42"/>
    <w:p w14:paraId="4977EE42" w14:textId="3A5BEEA8" w:rsidR="00300C42" w:rsidRDefault="00300C42" w:rsidP="00300C42">
      <w:r>
        <w:t xml:space="preserve">During RAN1#116, </w:t>
      </w:r>
      <w:r w:rsidR="00F22BBA">
        <w:t>i</w:t>
      </w:r>
      <w:r>
        <w:t>t was also discussed to use inter-path phase information to resolve the issue of random phase at transmitter and receiver</w:t>
      </w:r>
      <w:r w:rsidR="00F22BBA">
        <w:t xml:space="preserve">, see also analysis in section </w:t>
      </w:r>
      <w:r w:rsidR="00500110">
        <w:fldChar w:fldCharType="begin"/>
      </w:r>
      <w:r w:rsidR="00500110">
        <w:instrText xml:space="preserve"> REF _Ref163131777 \r </w:instrText>
      </w:r>
      <w:r w:rsidR="00500110">
        <w:fldChar w:fldCharType="separate"/>
      </w:r>
      <w:r w:rsidR="00850DA1">
        <w:t>3.2.2</w:t>
      </w:r>
      <w:r w:rsidR="00500110">
        <w:fldChar w:fldCharType="end"/>
      </w:r>
      <w:r w:rsidR="00F22BBA">
        <w:t>.</w:t>
      </w:r>
      <w:r w:rsidDel="00D92E7C">
        <w:t xml:space="preserve"> </w:t>
      </w:r>
      <w:r>
        <w:t xml:space="preserve">Inter-path phase information will indeed remove the random phase error caused by the transmitter and receiver oscillators. What remains is the inter-path phase difference caused by the TRP’s and the UEs antenna patterns. </w:t>
      </w:r>
      <w:r w:rsidR="008D37FA">
        <w:t xml:space="preserve"> </w:t>
      </w:r>
      <w:r w:rsidR="00EB3340">
        <w:t xml:space="preserve">Phase errors due to the </w:t>
      </w:r>
      <w:r w:rsidR="008D37FA">
        <w:t xml:space="preserve">TRP </w:t>
      </w:r>
      <w:r w:rsidR="00EB3340">
        <w:t>antenna will be the same during training and inference and thus can be</w:t>
      </w:r>
      <w:r w:rsidR="00EE731F">
        <w:t xml:space="preserve"> resolved, but the</w:t>
      </w:r>
      <w:r>
        <w:t xml:space="preserve"> UE antenna pattern </w:t>
      </w:r>
      <w:r w:rsidR="00673786">
        <w:t>will be difficult to keep consistent between inference and training, since the UE’s antenna pattern as well as its relative orientation toward the TRP may be different between training and inference.</w:t>
      </w:r>
      <w:r w:rsidDel="00FD5878">
        <w:t xml:space="preserve"> </w:t>
      </w:r>
      <w:r>
        <w:t xml:space="preserve">One other alternative would be to </w:t>
      </w:r>
      <w:r w:rsidRPr="004157FD">
        <w:rPr>
          <w:i/>
        </w:rPr>
        <w:t>remove the phase difference between path caused by the antenna</w:t>
      </w:r>
      <w:r>
        <w:t xml:space="preserve">, which means the </w:t>
      </w:r>
      <w:r w:rsidR="00673786">
        <w:t xml:space="preserve">UE phase error caused by the Rx </w:t>
      </w:r>
      <w:r w:rsidR="007718F5">
        <w:t xml:space="preserve">(Tx) </w:t>
      </w:r>
      <w:r>
        <w:t xml:space="preserve">antenna must be known to the model, </w:t>
      </w:r>
      <w:r w:rsidR="00673786">
        <w:t>for each</w:t>
      </w:r>
      <w:r>
        <w:t xml:space="preserve"> direction of arrival</w:t>
      </w:r>
      <w:r w:rsidR="007718F5">
        <w:t xml:space="preserve"> (departure)</w:t>
      </w:r>
      <w:r>
        <w:t xml:space="preserve">. </w:t>
      </w:r>
    </w:p>
    <w:p w14:paraId="18FC3E3C" w14:textId="6927A603" w:rsidR="00300C42" w:rsidRDefault="00300C42" w:rsidP="002938DE">
      <w:pPr>
        <w:pStyle w:val="Observation"/>
      </w:pPr>
      <w:bookmarkStart w:id="890" w:name="_Toc178961862"/>
      <w:r>
        <w:t xml:space="preserve">For inter-path phase measurements, the model input at training and inference must know the </w:t>
      </w:r>
      <w:r w:rsidR="005C31F2">
        <w:t xml:space="preserve">UE </w:t>
      </w:r>
      <w:r>
        <w:t xml:space="preserve">TX </w:t>
      </w:r>
      <w:r w:rsidR="005C31F2">
        <w:t>or</w:t>
      </w:r>
      <w:r>
        <w:t xml:space="preserve"> RX antenna phase contribution, either by reporting the antenna phase contribution to the model, removing it, or assuming the same antenna pattern is used during inference and training.</w:t>
      </w:r>
      <w:bookmarkEnd w:id="890"/>
      <w:r>
        <w:t xml:space="preserve"> </w:t>
      </w:r>
    </w:p>
    <w:p w14:paraId="444507C6" w14:textId="49BD82CC" w:rsidR="00300C42" w:rsidRDefault="00300C42" w:rsidP="002938DE">
      <w:pPr>
        <w:pStyle w:val="Observation"/>
      </w:pPr>
      <w:bookmarkStart w:id="891" w:name="_Toc178961863"/>
      <w:r>
        <w:t xml:space="preserve">It is unclear how a mobile UE would know the direction of departure </w:t>
      </w:r>
      <w:r w:rsidR="005C31F2">
        <w:t xml:space="preserve">/ </w:t>
      </w:r>
      <w:r w:rsidR="00B60C1F">
        <w:t>arrival</w:t>
      </w:r>
      <w:r>
        <w:t xml:space="preserve"> and associated phase offset for each path toward a given TRP</w:t>
      </w:r>
      <w:r w:rsidR="009E1513">
        <w:t>.</w:t>
      </w:r>
      <w:bookmarkEnd w:id="891"/>
    </w:p>
    <w:p w14:paraId="4F8C5174" w14:textId="77777777" w:rsidR="00300C42" w:rsidRPr="00E215F0" w:rsidRDefault="00300C42" w:rsidP="00300C42">
      <w:pPr>
        <w:pStyle w:val="Heading3"/>
        <w:rPr>
          <w:lang w:val="en-US"/>
        </w:rPr>
      </w:pPr>
      <w:bookmarkStart w:id="892" w:name="_Toc165990990"/>
      <w:bookmarkStart w:id="893" w:name="_Toc178961659"/>
      <w:r w:rsidRPr="00194B5B">
        <w:rPr>
          <w:lang w:val="en-US"/>
        </w:rPr>
        <w:t>Signaling size vs positioning accuracy tradeoff analysis</w:t>
      </w:r>
      <w:bookmarkEnd w:id="892"/>
      <w:bookmarkEnd w:id="893"/>
    </w:p>
    <w:p w14:paraId="551DBF62" w14:textId="6012FD8F" w:rsidR="00300C42" w:rsidRPr="00194B5B" w:rsidRDefault="00300C42" w:rsidP="00300C42">
      <w:r w:rsidRPr="00194B5B">
        <w:t xml:space="preserve">The complex-valued multi-port CIR samples have been found in the Rel-18 SI to achieve high positioning accuracy. However, these CIR samples require significantly larger signaling sizes than the </w:t>
      </w:r>
      <w:r w:rsidR="001D5D2E">
        <w:t>total-power</w:t>
      </w:r>
      <w:r w:rsidRPr="00194B5B">
        <w:t xml:space="preserve"> PDP. To reduce signaling sizes, many different down-sampling techniques such as truncation and sub-sampling have been investigated during the SI phase. It is therefore necessary to investigate the trade-off between signaling size requirements and achievable positioning accuracy of various combinations of sample lengths, sub-sample sizes and with CIR or PDP.</w:t>
      </w:r>
    </w:p>
    <w:p w14:paraId="7143F02F" w14:textId="77777777" w:rsidR="00300C42" w:rsidRPr="00E215F0" w:rsidRDefault="00300C42" w:rsidP="00300C42"/>
    <w:p w14:paraId="56623641" w14:textId="77777777" w:rsidR="00300C42" w:rsidRDefault="00300C42" w:rsidP="00300C42">
      <w:r w:rsidRPr="00E215F0">
        <w:t>In the following, we present two sig</w:t>
      </w:r>
      <w:r>
        <w:t>n</w:t>
      </w:r>
      <w:r w:rsidRPr="00E215F0">
        <w:t>aling</w:t>
      </w:r>
      <w:r>
        <w:t xml:space="preserve"> size vs </w:t>
      </w:r>
      <w:r w:rsidRPr="00A67F60">
        <w:t>positioning accuracy</w:t>
      </w:r>
      <w:r>
        <w:t xml:space="preserve"> trade-off comparison.</w:t>
      </w:r>
    </w:p>
    <w:p w14:paraId="10C84D22" w14:textId="5EBDD494" w:rsidR="00300C42" w:rsidRPr="00194B5B" w:rsidRDefault="00300C42" w:rsidP="00D35F36">
      <w:pPr>
        <w:pStyle w:val="ListParagraph"/>
        <w:numPr>
          <w:ilvl w:val="0"/>
          <w:numId w:val="31"/>
        </w:numPr>
      </w:pPr>
      <w:r>
        <w:t xml:space="preserve">In Section </w:t>
      </w:r>
      <w:r w:rsidR="00500110">
        <w:fldChar w:fldCharType="begin"/>
      </w:r>
      <w:r w:rsidR="00500110">
        <w:instrText xml:space="preserve"> REF _Ref163133118 \r </w:instrText>
      </w:r>
      <w:r w:rsidR="00500110">
        <w:fldChar w:fldCharType="separate"/>
      </w:r>
      <w:r w:rsidR="00850DA1">
        <w:t>3.2.4.1</w:t>
      </w:r>
      <w:r w:rsidR="00500110">
        <w:fldChar w:fldCharType="end"/>
      </w:r>
      <w:r>
        <w:t xml:space="preserve">, we use the </w:t>
      </w:r>
      <w:r w:rsidRPr="00E215F0">
        <w:t xml:space="preserve">number of real numbers to </w:t>
      </w:r>
      <w:r>
        <w:t xml:space="preserve">be </w:t>
      </w:r>
      <w:r w:rsidRPr="00E215F0">
        <w:t>signal</w:t>
      </w:r>
      <w:r>
        <w:t>ed as a proxy of the signaling size.</w:t>
      </w:r>
    </w:p>
    <w:p w14:paraId="6F43CBF1" w14:textId="637ED10A" w:rsidR="00300C42" w:rsidRPr="00194B5B" w:rsidRDefault="00300C42" w:rsidP="00D35F36">
      <w:pPr>
        <w:pStyle w:val="ListParagraph"/>
        <w:numPr>
          <w:ilvl w:val="0"/>
          <w:numId w:val="31"/>
        </w:numPr>
      </w:pPr>
      <w:r>
        <w:t xml:space="preserve">In Section </w:t>
      </w:r>
      <w:r w:rsidR="00500110">
        <w:fldChar w:fldCharType="begin"/>
      </w:r>
      <w:r w:rsidR="00500110">
        <w:instrText xml:space="preserve"> REF _Ref163048709 \r </w:instrText>
      </w:r>
      <w:r w:rsidR="00500110">
        <w:fldChar w:fldCharType="separate"/>
      </w:r>
      <w:r w:rsidR="00850DA1">
        <w:t>3.2.4.2</w:t>
      </w:r>
      <w:r w:rsidR="00500110">
        <w:fldChar w:fldCharType="end"/>
      </w:r>
      <w:r>
        <w:t>, we construct a more detailed signaling size estimation based on specific feedback formats.</w:t>
      </w:r>
    </w:p>
    <w:p w14:paraId="16F3DE68" w14:textId="77777777" w:rsidR="00300C42" w:rsidRDefault="00300C42" w:rsidP="00300C42">
      <w:r>
        <w:t>From both s</w:t>
      </w:r>
      <w:r w:rsidRPr="00A67F60">
        <w:t>ignaling sizes vs positioning accuracy trade-off analysis</w:t>
      </w:r>
      <w:r>
        <w:t xml:space="preserve"> exercises, we arrive at the following observation.</w:t>
      </w:r>
    </w:p>
    <w:p w14:paraId="24A7E704" w14:textId="77777777" w:rsidR="00300C42" w:rsidRDefault="00300C42" w:rsidP="00300C42"/>
    <w:p w14:paraId="585656E0" w14:textId="77777777" w:rsidR="00300C42" w:rsidRDefault="00300C42" w:rsidP="002938DE">
      <w:pPr>
        <w:pStyle w:val="Observation"/>
      </w:pPr>
      <w:bookmarkStart w:id="894" w:name="_Toc178961864"/>
      <w:r w:rsidRPr="00E215F0">
        <w:t xml:space="preserve">For small or moderate signaling sizes, PDP </w:t>
      </w:r>
      <w:r>
        <w:t xml:space="preserve">and DP </w:t>
      </w:r>
      <w:r w:rsidRPr="00E215F0">
        <w:t>samples can achieve better positioning accuracy than CIR samples at the same or smaller signaling size. Multi-port CIR samples can achieve higher positioning accuracy only with very large signaling requirements.</w:t>
      </w:r>
      <w:bookmarkEnd w:id="894"/>
    </w:p>
    <w:p w14:paraId="034FA1BA" w14:textId="77777777" w:rsidR="00300C42" w:rsidRPr="00E215F0" w:rsidRDefault="00300C42" w:rsidP="002938DE">
      <w:pPr>
        <w:pStyle w:val="Observation"/>
      </w:pPr>
      <w:bookmarkStart w:id="895" w:name="_Toc178961865"/>
      <w:r w:rsidRPr="00E215F0">
        <w:t xml:space="preserve">For small or moderate signaling sizes, PDP </w:t>
      </w:r>
      <w:r>
        <w:t xml:space="preserve">and DP </w:t>
      </w:r>
      <w:r w:rsidRPr="00E215F0">
        <w:t>samples can achieve better positioning accuracy than CIR samples at the same or smaller signaling size</w:t>
      </w:r>
      <w:r>
        <w:t xml:space="preserve"> as well as with substantially lower AI/ML model complexity</w:t>
      </w:r>
      <w:r w:rsidRPr="00E215F0">
        <w:t>.</w:t>
      </w:r>
      <w:bookmarkEnd w:id="895"/>
    </w:p>
    <w:p w14:paraId="20FC0196" w14:textId="77777777" w:rsidR="00300C42" w:rsidRPr="00E215F0" w:rsidRDefault="00300C42" w:rsidP="002938DE">
      <w:pPr>
        <w:pStyle w:val="Observation"/>
      </w:pPr>
      <w:bookmarkStart w:id="896" w:name="_Toc178961866"/>
      <w:r>
        <w:t>For most given 90%tile 2D UE positioning error requirements, the DP samples requires the smallest signaling sizes</w:t>
      </w:r>
      <w:r w:rsidRPr="00E215F0">
        <w:t>.</w:t>
      </w:r>
      <w:bookmarkEnd w:id="896"/>
    </w:p>
    <w:p w14:paraId="7ED5A6FD" w14:textId="77777777" w:rsidR="00300C42" w:rsidRPr="00E215F0" w:rsidRDefault="00300C42" w:rsidP="00300C42"/>
    <w:p w14:paraId="65744466" w14:textId="77777777" w:rsidR="00300C42" w:rsidRPr="00E215F0" w:rsidRDefault="00300C42" w:rsidP="00300C42">
      <w:r w:rsidRPr="00E215F0">
        <w:t>Furthermore, the assumption of two receive antenna ports for the UE was a simplifying assumption made for Rel-17 Positioning WI. For the Rel-19 AI for PHY, it may be necessary to consider four receive antenna ports for the typical NR UEs. This would double the required numbers of real values to represent the multi-port CIR again for Case 2b (2nd priority).</w:t>
      </w:r>
    </w:p>
    <w:p w14:paraId="3870ED13" w14:textId="77777777" w:rsidR="00300C42" w:rsidRPr="00E215F0" w:rsidRDefault="00300C42" w:rsidP="00300C42">
      <w:r w:rsidRPr="00E215F0">
        <w:t>For Case 3b (1st priority), a typical gNB/TRP may be equipped with dozens of receive antenna ports. Forwarding such large multi-port CIR samples to LMF will have significantly negative impact on radio and core networks.</w:t>
      </w:r>
    </w:p>
    <w:p w14:paraId="5F43BA95" w14:textId="77777777" w:rsidR="00300C42" w:rsidRPr="00E215F0" w:rsidRDefault="00300C42" w:rsidP="00300C42"/>
    <w:p w14:paraId="4459C750" w14:textId="77777777" w:rsidR="00300C42" w:rsidRDefault="00300C42" w:rsidP="002938DE">
      <w:pPr>
        <w:pStyle w:val="Observation"/>
      </w:pPr>
      <w:bookmarkStart w:id="897" w:name="_Toc178961867"/>
      <w:r w:rsidRPr="00E215F0">
        <w:t xml:space="preserve">Multi-port complex-valued CIR samples for both </w:t>
      </w:r>
      <w:r w:rsidRPr="00E215F0" w:rsidDel="005717C3">
        <w:t>Case 3b (1st priority) and Case 2b (2nd priority)</w:t>
      </w:r>
      <w:r w:rsidRPr="00E215F0">
        <w:t xml:space="preserve"> require very large signaling sizes, which can cause significantly negative impacts on the radio and core networks.</w:t>
      </w:r>
      <w:bookmarkEnd w:id="897"/>
      <w:r w:rsidRPr="00E215F0">
        <w:t xml:space="preserve"> </w:t>
      </w:r>
    </w:p>
    <w:p w14:paraId="66866F50" w14:textId="4247607A" w:rsidR="00300C42" w:rsidRPr="00E215F0" w:rsidRDefault="00300C42" w:rsidP="00300C42">
      <w:r>
        <w:t>Based on the extensive evaluation and analysis presented in this section, we propose</w:t>
      </w:r>
    </w:p>
    <w:p w14:paraId="37226A6E" w14:textId="3015654C" w:rsidR="00300C42" w:rsidRPr="00E215F0" w:rsidRDefault="00300C42" w:rsidP="00300C42">
      <w:pPr>
        <w:pStyle w:val="Proposal"/>
      </w:pPr>
      <w:bookmarkStart w:id="898" w:name="_Toc178961898"/>
      <w:r w:rsidRPr="00E215F0">
        <w:t xml:space="preserve">RAN1 to </w:t>
      </w:r>
      <w:r>
        <w:t>down-</w:t>
      </w:r>
      <w:r w:rsidRPr="00E215F0">
        <w:t xml:space="preserve">prioritize the </w:t>
      </w:r>
      <w:r w:rsidRPr="00E215F0" w:rsidDel="005717C3">
        <w:t xml:space="preserve">signaling approach(es) and/or measurement definitions to support </w:t>
      </w:r>
      <w:r>
        <w:t xml:space="preserve">CIR </w:t>
      </w:r>
      <w:r w:rsidRPr="00E215F0" w:rsidDel="005717C3">
        <w:t>model input types for Case 3b (1</w:t>
      </w:r>
      <w:r w:rsidRPr="003D44CB" w:rsidDel="005717C3">
        <w:rPr>
          <w:vertAlign w:val="superscript"/>
        </w:rPr>
        <w:t>st</w:t>
      </w:r>
      <w:r w:rsidRPr="00E215F0" w:rsidDel="005717C3">
        <w:t xml:space="preserve"> priority) and Case 2b (2</w:t>
      </w:r>
      <w:r w:rsidRPr="003D44CB" w:rsidDel="005717C3">
        <w:rPr>
          <w:vertAlign w:val="superscript"/>
        </w:rPr>
        <w:t>nd</w:t>
      </w:r>
      <w:r w:rsidRPr="00E215F0" w:rsidDel="005717C3">
        <w:t xml:space="preserve"> priority).</w:t>
      </w:r>
      <w:bookmarkEnd w:id="898"/>
    </w:p>
    <w:p w14:paraId="3E59D69A" w14:textId="77777777" w:rsidR="00300C42" w:rsidRPr="00E215F0" w:rsidRDefault="00300C42" w:rsidP="00300C42">
      <w:pPr>
        <w:pStyle w:val="Heading4"/>
        <w:rPr>
          <w:lang w:val="en-US"/>
        </w:rPr>
      </w:pPr>
      <w:bookmarkStart w:id="899" w:name="_Ref163133118"/>
      <w:bookmarkStart w:id="900" w:name="_Toc165990991"/>
      <w:bookmarkStart w:id="901" w:name="_Toc178961660"/>
      <w:r w:rsidRPr="00E215F0">
        <w:rPr>
          <w:lang w:val="en-US"/>
        </w:rPr>
        <w:t>Simple signaling size comparison based on the number of real numbers to signal</w:t>
      </w:r>
      <w:bookmarkEnd w:id="899"/>
      <w:bookmarkEnd w:id="900"/>
      <w:bookmarkEnd w:id="901"/>
    </w:p>
    <w:p w14:paraId="178AA737" w14:textId="77777777" w:rsidR="00300C42" w:rsidRDefault="00300C42" w:rsidP="00300C42">
      <w:r w:rsidRPr="00E215F0">
        <w:t>In this section, we make a first quick comparison of feedback sizes and achievable positioning accuracy based on the number of real numbers needed in the signaling</w:t>
      </w:r>
      <w:r>
        <w:t>. An NR radio node is normally equipped with multiple RX antenna ports. AI/ML models with multi-port CIR inputs have been evaluated by several companies during the SI phase. As shown below, multi-port CIR can enable AI/ML models to achieve high positioning accuracy but will also require large signaling overhead. In the following, we investigate whether this accuracy vs overhead tradeoff can be improved by reducing the dimensions of the multi-port CIR inputs.</w:t>
      </w:r>
    </w:p>
    <w:p w14:paraId="3D3DB795" w14:textId="62AF22AE" w:rsidR="00300C42" w:rsidRDefault="00300C42" w:rsidP="00300C42">
      <w:r>
        <w:t>We consider two dimension</w:t>
      </w:r>
      <w:r w:rsidR="00BA6B63">
        <w:t>-</w:t>
      </w:r>
      <w:r>
        <w:t>reduction approaches to reduce multi-port CIR inputs to a single vector:</w:t>
      </w:r>
    </w:p>
    <w:p w14:paraId="03B8975D" w14:textId="77777777" w:rsidR="00300C42" w:rsidRPr="00A551FB" w:rsidRDefault="00300C42" w:rsidP="00D35F36">
      <w:pPr>
        <w:pStyle w:val="ListParagraph"/>
        <w:numPr>
          <w:ilvl w:val="0"/>
          <w:numId w:val="42"/>
        </w:numPr>
      </w:pPr>
      <w:r>
        <w:t>Strongest port CIR</w:t>
      </w:r>
    </w:p>
    <w:p w14:paraId="5B938228" w14:textId="77777777" w:rsidR="00300C42" w:rsidRPr="002F1236" w:rsidRDefault="00300C42" w:rsidP="00300C42">
      <w:pPr>
        <w:ind w:left="720"/>
      </w:pPr>
      <w:r>
        <w:t>The measuring radio node computes the RSRP of each RX antenna ports and signals CIR samples only for the port with the strongest received power.</w:t>
      </w:r>
    </w:p>
    <w:p w14:paraId="44F51B49" w14:textId="77777777" w:rsidR="00300C42" w:rsidRDefault="00300C42" w:rsidP="00D35F36">
      <w:pPr>
        <w:pStyle w:val="ListParagraph"/>
        <w:numPr>
          <w:ilvl w:val="0"/>
          <w:numId w:val="42"/>
        </w:numPr>
      </w:pPr>
      <w:r>
        <w:t>First principal component (1</w:t>
      </w:r>
      <w:r w:rsidRPr="009F49C0">
        <w:rPr>
          <w:vertAlign w:val="superscript"/>
        </w:rPr>
        <w:t>st</w:t>
      </w:r>
      <w:r>
        <w:t xml:space="preserve"> PC) CIR</w:t>
      </w:r>
    </w:p>
    <w:p w14:paraId="0A24A8CC" w14:textId="77777777" w:rsidR="00300C42" w:rsidRDefault="00300C42" w:rsidP="00300C42">
      <w:pPr>
        <w:ind w:left="720"/>
      </w:pPr>
      <w:r>
        <w:t xml:space="preserve">Let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×A</m:t>
        </m:r>
      </m:oMath>
      <w:r>
        <w:t xml:space="preserve"> matrix </w:t>
      </w:r>
      <m:oMath>
        <m:r>
          <m:rPr>
            <m:sty m:val="b"/>
          </m:rPr>
          <w:rPr>
            <w:rFonts w:ascii="Cambria Math" w:hAnsi="Cambria Math"/>
          </w:rPr>
          <m:t>H</m:t>
        </m:r>
      </m:oMath>
      <w:r>
        <w:t xml:space="preserve"> collects the TD CIR samples from all antenna ports. The first principal component is given by </w:t>
      </w:r>
      <m:oMath>
        <m:r>
          <m:rPr>
            <m:sty m:val="b"/>
          </m:rPr>
          <w:rPr>
            <w:rFonts w:ascii="Cambria Math" w:hAnsi="Cambria Math"/>
          </w:rPr>
          <m:t>Hv</m:t>
        </m:r>
      </m:oMath>
      <w:r>
        <w:t>, where the length-</w:t>
      </w:r>
      <m:oMath>
        <m:r>
          <w:rPr>
            <w:rFonts w:ascii="Cambria Math" w:hAnsi="Cambria Math"/>
          </w:rPr>
          <m:t>A</m:t>
        </m:r>
      </m:oMath>
      <w:r>
        <w:t xml:space="preserve"> vector </w:t>
      </w:r>
      <m:oMath>
        <m:r>
          <m:rPr>
            <m:sty m:val="b"/>
          </m:rPr>
          <w:rPr>
            <w:rFonts w:ascii="Cambria Math" w:hAnsi="Cambria Math"/>
          </w:rPr>
          <m:t>v</m:t>
        </m:r>
      </m:oMath>
      <w:r>
        <w:t xml:space="preserve"> is the eigenvector corresponding to the largest eigenvalue</w:t>
      </w:r>
      <w:r w:rsidRPr="00963DAF">
        <w:t xml:space="preserve"> </w:t>
      </w:r>
      <w:r>
        <w:t xml:space="preserve">of </w:t>
      </w:r>
      <m:oMath>
        <m:sSup>
          <m:sSupPr>
            <m:ctrlPr>
              <w:rPr>
                <w:rFonts w:ascii="Cambria Math" w:hAnsi="Cambria Math"/>
                <w:i/>
              </w:rPr>
            </m:ctrlPr>
          </m:sSupPr>
          <m:e>
            <m:r>
              <m:rPr>
                <m:sty m:val="b"/>
              </m:rPr>
              <w:rPr>
                <w:rFonts w:ascii="Cambria Math" w:hAnsi="Cambria Math"/>
              </w:rPr>
              <m:t>H</m:t>
            </m:r>
          </m:e>
          <m:sup>
            <m:r>
              <w:rPr>
                <w:rFonts w:ascii="Cambria Math" w:hAnsi="Cambria Math"/>
              </w:rPr>
              <m:t>H</m:t>
            </m:r>
          </m:sup>
        </m:sSup>
        <m:r>
          <m:rPr>
            <m:sty m:val="b"/>
          </m:rPr>
          <w:rPr>
            <w:rFonts w:ascii="Cambria Math" w:hAnsi="Cambria Math"/>
          </w:rPr>
          <m:t>H</m:t>
        </m:r>
      </m:oMath>
      <w:r>
        <w:t xml:space="preserve">. </w:t>
      </w:r>
    </w:p>
    <w:p w14:paraId="3B6C5574" w14:textId="2A85C8E7" w:rsidR="00300C42" w:rsidRPr="00E215F0" w:rsidRDefault="00300C42" w:rsidP="00300C42">
      <w:r>
        <w:t xml:space="preserve">Our </w:t>
      </w:r>
      <w:r w:rsidRPr="00E215F0">
        <w:t xml:space="preserve">positioning accuracy </w:t>
      </w:r>
      <w:r>
        <w:t xml:space="preserve">evaluation results for </w:t>
      </w:r>
      <w:r w:rsidRPr="00E215F0">
        <w:t>2-port CIR</w:t>
      </w:r>
      <w:r>
        <w:t>, strongest port CIR, 1</w:t>
      </w:r>
      <w:r w:rsidRPr="00D87B4E">
        <w:rPr>
          <w:vertAlign w:val="superscript"/>
        </w:rPr>
        <w:t>st</w:t>
      </w:r>
      <w:r>
        <w:t xml:space="preserve"> PC CIR and PDP inputs are shown in </w:t>
      </w:r>
      <w:r w:rsidR="00500110">
        <w:fldChar w:fldCharType="begin"/>
      </w:r>
      <w:r w:rsidR="00500110">
        <w:instrText xml:space="preserve"> REF _Ref163133242 </w:instrText>
      </w:r>
      <w:r w:rsidR="00500110">
        <w:fldChar w:fldCharType="separate"/>
      </w:r>
      <w:r w:rsidR="00850DA1" w:rsidRPr="00E215F0">
        <w:t xml:space="preserve">Table </w:t>
      </w:r>
      <w:r w:rsidR="00850DA1">
        <w:rPr>
          <w:noProof/>
        </w:rPr>
        <w:t>18</w:t>
      </w:r>
      <w:r w:rsidR="00500110">
        <w:rPr>
          <w:noProof/>
        </w:rPr>
        <w:fldChar w:fldCharType="end"/>
      </w:r>
      <w:r w:rsidRPr="00E215F0">
        <w:t xml:space="preserve">. In this comparison, we classify different combinations of sample lengths, sub-sample sizes and with CIR or PDP based on the number of real numbers to represent the samples. </w:t>
      </w:r>
      <w:r>
        <w:t xml:space="preserve">Similarly, in </w:t>
      </w:r>
      <w:r w:rsidR="00500110">
        <w:fldChar w:fldCharType="begin"/>
      </w:r>
      <w:r w:rsidR="00500110">
        <w:instrText xml:space="preserve"> REF _Ref163133373 </w:instrText>
      </w:r>
      <w:r w:rsidR="00500110">
        <w:fldChar w:fldCharType="separate"/>
      </w:r>
      <w:r w:rsidR="00850DA1" w:rsidRPr="00194B5B">
        <w:t xml:space="preserve">Table </w:t>
      </w:r>
      <w:r w:rsidR="00850DA1">
        <w:rPr>
          <w:noProof/>
        </w:rPr>
        <w:t>19</w:t>
      </w:r>
      <w:r w:rsidR="00500110">
        <w:rPr>
          <w:noProof/>
        </w:rPr>
        <w:fldChar w:fldCharType="end"/>
      </w:r>
      <w:r>
        <w:t xml:space="preserve">, we compare the positioning accuracy vs signaling sizes with dynamic TRP selection for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oMath>
      <w:r>
        <w:t xml:space="preserve"> 18, 9, 6 or 3. The total number of real numbers to signal is given by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PDP and </w:t>
      </w:r>
      <m:oMath>
        <m:r>
          <w:rPr>
            <w:rFonts w:ascii="Cambria Math" w:hAnsi="Cambria Math"/>
          </w:rPr>
          <m:t>4×</m:t>
        </m:r>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2-port CIR.</w:t>
      </w:r>
    </w:p>
    <w:p w14:paraId="46171796" w14:textId="77777777" w:rsidR="00300C42" w:rsidRDefault="00300C42" w:rsidP="00D35F36">
      <w:pPr>
        <w:pStyle w:val="ListParagraph"/>
        <w:numPr>
          <w:ilvl w:val="0"/>
          <w:numId w:val="29"/>
        </w:numPr>
      </w:pPr>
      <w:r w:rsidRPr="00CD59F9">
        <w:t xml:space="preserve">For instance, a length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=128</m:t>
        </m:r>
      </m:oMath>
      <w:r w:rsidRPr="00CD59F9">
        <w:t xml:space="preserve"> 2-port CIR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=32</m:t>
        </m:r>
      </m:oMath>
      <w:r w:rsidRPr="00CD59F9">
        <w:t xml:space="preserve"> su</w:t>
      </w:r>
      <w:r>
        <w:t>b</w:t>
      </w:r>
      <w:r w:rsidRPr="00CD59F9">
        <w:t xml:space="preserve">-samples require 128 real numbers </w:t>
      </w:r>
      <w:r>
        <w:t xml:space="preserve">per reported TRP </w:t>
      </w:r>
      <w:r w:rsidRPr="00CD59F9">
        <w:t xml:space="preserve">to represent the complex-valued CIR samples. </w:t>
      </w:r>
    </w:p>
    <w:p w14:paraId="7EF0A42A" w14:textId="77777777" w:rsidR="00300C42" w:rsidRPr="00CD59F9" w:rsidRDefault="00300C42" w:rsidP="00D35F36">
      <w:pPr>
        <w:pStyle w:val="ListParagraph"/>
        <w:numPr>
          <w:ilvl w:val="0"/>
          <w:numId w:val="29"/>
        </w:numPr>
      </w:pPr>
      <w:r w:rsidRPr="00CD59F9">
        <w:t>For the same number of real numbers in signaling,</w:t>
      </w:r>
      <w:r>
        <w:t xml:space="preserve"> the strongest port CIR or the 1</w:t>
      </w:r>
      <w:r w:rsidRPr="00D87B4E">
        <w:rPr>
          <w:vertAlign w:val="superscript"/>
        </w:rPr>
        <w:t>st</w:t>
      </w:r>
      <w:r>
        <w:t xml:space="preserve"> PC CIR samples can be </w:t>
      </w:r>
      <w:r w:rsidRPr="00CD59F9">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=256</m:t>
        </m:r>
      </m:oMath>
      <w:r w:rsidRPr="00CD59F9">
        <w:t xml:space="preserv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=64</m:t>
        </m:r>
      </m:oMath>
      <w:r w:rsidRPr="00CD59F9">
        <w:t xml:space="preserve"> sub-samples</w:t>
      </w:r>
      <w:r w:rsidRPr="008A7DF2">
        <w:t xml:space="preserve"> </w:t>
      </w:r>
      <w:r>
        <w:t>per reported TRP</w:t>
      </w:r>
      <w:r w:rsidRPr="00CD59F9">
        <w:t>.</w:t>
      </w:r>
    </w:p>
    <w:p w14:paraId="70D6D4D1" w14:textId="77777777" w:rsidR="00300C42" w:rsidRPr="00CD59F9" w:rsidRDefault="00300C42" w:rsidP="00D35F36">
      <w:pPr>
        <w:pStyle w:val="ListParagraph"/>
        <w:numPr>
          <w:ilvl w:val="0"/>
          <w:numId w:val="29"/>
        </w:numPr>
      </w:pPr>
      <w:r w:rsidRPr="00CD59F9">
        <w:t xml:space="preserve">For the same number of real numbers in signaling, the PDP samples can be of length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=256</m:t>
        </m:r>
      </m:oMath>
      <w:r w:rsidRPr="00CD59F9">
        <w:t xml:space="preserv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=128</m:t>
        </m:r>
      </m:oMath>
      <w:r w:rsidRPr="00CD59F9">
        <w:t xml:space="preserve"> sub-samples</w:t>
      </w:r>
      <w:r w:rsidRPr="003470E8">
        <w:t xml:space="preserve"> </w:t>
      </w:r>
      <w:r>
        <w:t>per reported TRP</w:t>
      </w:r>
      <w:r w:rsidRPr="00CD59F9">
        <w:t xml:space="preserve">. </w:t>
      </w:r>
    </w:p>
    <w:p w14:paraId="7CAF55FA" w14:textId="77777777" w:rsidR="00300C42" w:rsidRPr="00E215F0" w:rsidRDefault="00300C42" w:rsidP="00300C42">
      <w:r w:rsidRPr="00E215F0">
        <w:t>It is then a fair comparison to check which approach achieves better performance when they require the same number of real values to represent the samples. From the table, we make the following observations:</w:t>
      </w:r>
    </w:p>
    <w:p w14:paraId="6D8241FE" w14:textId="77777777" w:rsidR="00300C42" w:rsidRPr="00CD59F9" w:rsidRDefault="00300C42" w:rsidP="00D35F36">
      <w:pPr>
        <w:pStyle w:val="ListParagraph"/>
        <w:numPr>
          <w:ilvl w:val="0"/>
          <w:numId w:val="30"/>
        </w:numPr>
      </w:pPr>
      <w:r w:rsidRPr="00E215F0">
        <w:t>For small or moderate signaling sizes, PDP samples can achieve better positioning accuracy than 2-port CIR samples at the same or smaller signaling sizes. Using PDP samples, a 90%tile 2D positioning error of 0.52 m can be achieved.</w:t>
      </w:r>
    </w:p>
    <w:p w14:paraId="392A95F3" w14:textId="77777777" w:rsidR="00300C42" w:rsidRDefault="00300C42" w:rsidP="00D35F36">
      <w:pPr>
        <w:pStyle w:val="ListParagraph"/>
        <w:numPr>
          <w:ilvl w:val="0"/>
          <w:numId w:val="30"/>
        </w:numPr>
      </w:pPr>
      <w:r w:rsidRPr="00E215F0">
        <w:t>The higher positioning accuracy achieved by 2-port CIR is only possible with very large signaling sizes.</w:t>
      </w:r>
    </w:p>
    <w:p w14:paraId="31C75BAD" w14:textId="77777777" w:rsidR="00300C42" w:rsidRDefault="00300C42" w:rsidP="00D35F36">
      <w:pPr>
        <w:pStyle w:val="ListParagraph"/>
        <w:numPr>
          <w:ilvl w:val="0"/>
          <w:numId w:val="30"/>
        </w:numPr>
      </w:pPr>
      <w:r w:rsidRPr="00FE054B">
        <w:t xml:space="preserve">While dimension reduction techniques reduce the signal sizes of CIR samples when compared to using the multi-port CIR directly, the achievable positioning accuracy is also compromised. Overall, </w:t>
      </w:r>
      <w:r>
        <w:t>a</w:t>
      </w:r>
      <w:r w:rsidRPr="00FE054B">
        <w:t xml:space="preserve">pplying dimension reduction to reduce the signaling sizes of the multi-port CIR samples does not appear to improve its </w:t>
      </w:r>
      <w:r>
        <w:t>accuracy vs overhead tradeoff</w:t>
      </w:r>
      <w:r w:rsidRPr="00FE054B">
        <w:t xml:space="preserve">. </w:t>
      </w:r>
    </w:p>
    <w:p w14:paraId="4814D1DD" w14:textId="77777777" w:rsidR="00300C42" w:rsidRPr="00FE054B" w:rsidRDefault="00300C42" w:rsidP="00D35F36">
      <w:pPr>
        <w:pStyle w:val="ListParagraph"/>
        <w:numPr>
          <w:ilvl w:val="1"/>
          <w:numId w:val="30"/>
        </w:numPr>
      </w:pPr>
      <w:r>
        <w:t>The first principal component approach enables marginally better AI/ML model positioning accuracy than the strongest port selection approach.</w:t>
      </w:r>
    </w:p>
    <w:p w14:paraId="61C3F934" w14:textId="77777777" w:rsidR="00300C42" w:rsidRDefault="00300C42" w:rsidP="00300C42">
      <w:r>
        <w:t>From a model input design point of view, one can conclude from these evaluation results that</w:t>
      </w:r>
    </w:p>
    <w:p w14:paraId="363C2BA3" w14:textId="27BE174D" w:rsidR="00300C42" w:rsidRDefault="00300C42" w:rsidP="00D35F36">
      <w:pPr>
        <w:pStyle w:val="ListParagraph"/>
        <w:numPr>
          <w:ilvl w:val="0"/>
          <w:numId w:val="34"/>
        </w:numPr>
      </w:pPr>
      <w:r>
        <w:lastRenderedPageBreak/>
        <w:t>With small to moderate number of samples available to an ML model, the total</w:t>
      </w:r>
      <w:r w:rsidR="004157FD">
        <w:t>-</w:t>
      </w:r>
      <w:r w:rsidR="00F80181">
        <w:t>power</w:t>
      </w:r>
      <w:r>
        <w:t xml:space="preserve"> PDP input type is a very helpful induction bias to impose on the ML model based on human domain knowledge that the sample powers contain more important information about the UE positions.</w:t>
      </w:r>
    </w:p>
    <w:p w14:paraId="3D62EDB2" w14:textId="2791AFB1" w:rsidR="00300C42" w:rsidRPr="00194B5B" w:rsidRDefault="00300C42" w:rsidP="00D35F36">
      <w:pPr>
        <w:pStyle w:val="ListParagraph"/>
        <w:numPr>
          <w:ilvl w:val="1"/>
          <w:numId w:val="34"/>
        </w:numPr>
      </w:pPr>
      <w:r>
        <w:t xml:space="preserve">Using the real-valued PDP inputs also reduces the AI/ML model complexity substantially as shown in </w:t>
      </w:r>
      <w:r w:rsidR="00500110">
        <w:fldChar w:fldCharType="begin"/>
      </w:r>
      <w:r w:rsidR="00500110">
        <w:instrText xml:space="preserve"> REF _Ref163134465 </w:instrText>
      </w:r>
      <w:r w:rsidR="00500110">
        <w:fldChar w:fldCharType="separate"/>
      </w:r>
      <w:r w:rsidR="00850DA1" w:rsidRPr="00194B5B">
        <w:t xml:space="preserve">Table </w:t>
      </w:r>
      <w:r w:rsidR="00850DA1">
        <w:rPr>
          <w:noProof/>
        </w:rPr>
        <w:t>20</w:t>
      </w:r>
      <w:r w:rsidR="00500110">
        <w:rPr>
          <w:noProof/>
        </w:rPr>
        <w:fldChar w:fldCharType="end"/>
      </w:r>
      <w:r>
        <w:t>.</w:t>
      </w:r>
    </w:p>
    <w:p w14:paraId="1745AB92" w14:textId="77777777" w:rsidR="00300C42" w:rsidRPr="00194B5B" w:rsidRDefault="00300C42" w:rsidP="00D35F36">
      <w:pPr>
        <w:pStyle w:val="ListParagraph"/>
        <w:numPr>
          <w:ilvl w:val="0"/>
          <w:numId w:val="34"/>
        </w:numPr>
      </w:pPr>
      <w:r>
        <w:t xml:space="preserve">Only with very large number of samples available to the ML model, the model can start to tease out </w:t>
      </w:r>
      <w:r w:rsidRPr="00194B5B">
        <w:t xml:space="preserve">how to use </w:t>
      </w:r>
      <w:r>
        <w:t xml:space="preserve">the </w:t>
      </w:r>
      <w:r w:rsidRPr="00194B5B">
        <w:t xml:space="preserve">additional </w:t>
      </w:r>
      <w:r>
        <w:t xml:space="preserve">information </w:t>
      </w:r>
      <w:r w:rsidRPr="00194B5B">
        <w:t xml:space="preserve">in </w:t>
      </w:r>
      <w:r>
        <w:t>the sample phases on its own.</w:t>
      </w:r>
    </w:p>
    <w:p w14:paraId="66D3B4B6" w14:textId="77777777" w:rsidR="00300C42" w:rsidRDefault="00300C42" w:rsidP="00300C42"/>
    <w:p w14:paraId="62C89E8E" w14:textId="42576CE1" w:rsidR="00300C42" w:rsidRPr="00E215F0" w:rsidRDefault="00300C42" w:rsidP="002938DE">
      <w:pPr>
        <w:pStyle w:val="Observation"/>
      </w:pPr>
      <w:bookmarkStart w:id="902" w:name="_Toc178961868"/>
      <w:r>
        <w:t>With small to moderate number of samples available to an ML model, the total</w:t>
      </w:r>
      <w:r w:rsidR="004157FD">
        <w:t>-</w:t>
      </w:r>
      <w:r w:rsidR="00897377">
        <w:t>power</w:t>
      </w:r>
      <w:r>
        <w:t xml:space="preserve"> PDP input type is a very helpful induction bias to impose on the ML model based on human domain knowledge that the sample powers contain more important information about the UE positions</w:t>
      </w:r>
      <w:r w:rsidRPr="00E215F0">
        <w:t>.</w:t>
      </w:r>
      <w:r>
        <w:t xml:space="preserve"> It’s only with very large number of samples that the model can start to tease out how to use the additional information in the sample phases on its own.</w:t>
      </w:r>
      <w:bookmarkEnd w:id="902"/>
    </w:p>
    <w:p w14:paraId="457791C4" w14:textId="77777777" w:rsidR="00300C42" w:rsidRPr="00E215F0" w:rsidRDefault="00300C42" w:rsidP="002938DE">
      <w:pPr>
        <w:pStyle w:val="Observation"/>
      </w:pPr>
      <w:bookmarkStart w:id="903" w:name="_Toc178961869"/>
      <w:r>
        <w:t>D</w:t>
      </w:r>
      <w:r w:rsidRPr="00FE054B">
        <w:t xml:space="preserve">imension reduction techniques </w:t>
      </w:r>
      <w:r>
        <w:t xml:space="preserve">can be used to </w:t>
      </w:r>
      <w:r w:rsidRPr="00FE054B">
        <w:t xml:space="preserve">reduce the signal sizes of </w:t>
      </w:r>
      <w:r>
        <w:t xml:space="preserve">multi-port </w:t>
      </w:r>
      <w:r w:rsidRPr="00FE054B">
        <w:t>CIR samples</w:t>
      </w:r>
      <w:r>
        <w:t xml:space="preserve">. But </w:t>
      </w:r>
      <w:r w:rsidRPr="00FE054B">
        <w:t>the achievable positioning accuracy is also compromised</w:t>
      </w:r>
      <w:r>
        <w:t>. The overall accuracy vs overhead tradeoff situation of CIR samples is not improved by the two considered d</w:t>
      </w:r>
      <w:r w:rsidRPr="00FE054B">
        <w:t>imension reduction techniques</w:t>
      </w:r>
      <w:r>
        <w:t>.</w:t>
      </w:r>
      <w:bookmarkEnd w:id="903"/>
    </w:p>
    <w:p w14:paraId="171FE06D" w14:textId="77777777" w:rsidR="00300C42" w:rsidRPr="00E215F0" w:rsidRDefault="00300C42" w:rsidP="00300C42"/>
    <w:p w14:paraId="3CF16F5E" w14:textId="7F415440" w:rsidR="00300C42" w:rsidRPr="00E215F0" w:rsidRDefault="00300C42" w:rsidP="00300C42">
      <w:pPr>
        <w:pStyle w:val="Caption"/>
      </w:pPr>
      <w:bookmarkStart w:id="904" w:name="_Ref163133242"/>
      <w:r w:rsidRPr="00E215F0">
        <w:t xml:space="preserve">Table </w:t>
      </w:r>
      <w:r w:rsidR="00500110">
        <w:fldChar w:fldCharType="begin"/>
      </w:r>
      <w:r w:rsidR="00500110">
        <w:instrText xml:space="preserve"> SEQ Table \* ARABIC </w:instrText>
      </w:r>
      <w:r w:rsidR="00500110">
        <w:fldChar w:fldCharType="separate"/>
      </w:r>
      <w:r w:rsidR="00850DA1">
        <w:rPr>
          <w:noProof/>
        </w:rPr>
        <w:t>18</w:t>
      </w:r>
      <w:r w:rsidR="00500110">
        <w:rPr>
          <w:noProof/>
        </w:rPr>
        <w:fldChar w:fldCharType="end"/>
      </w:r>
      <w:bookmarkEnd w:id="904"/>
      <w:r w:rsidRPr="00194B5B">
        <w:t xml:space="preserve"> Comparison of 90%tile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1-port CIR</w:t>
      </w:r>
      <w:r w:rsidRPr="00194B5B">
        <w:t xml:space="preserve"> and PDP using different combination of sample lengths and sub-sampling sizes in the </w:t>
      </w:r>
      <w:r w:rsidRPr="00194B5B">
        <w:rPr>
          <w:lang w:eastAsia="ja-JP"/>
        </w:rPr>
        <w:t>{60%, 6m, 2m} InF-DH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850DA1">
        <w:t>[6]</w:t>
      </w:r>
      <w:r w:rsidRPr="00E215F0">
        <w:fldChar w:fldCharType="end"/>
      </w:r>
      <w:r>
        <w:t xml:space="preserve"> and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oMath>
      <w:r>
        <w:t xml:space="preserve"> 18</w:t>
      </w:r>
      <w:r w:rsidRPr="00E215F0">
        <w:t>.</w:t>
      </w:r>
    </w:p>
    <w:tbl>
      <w:tblPr>
        <w:tblStyle w:val="TableGrid"/>
        <w:tblW w:w="0" w:type="auto"/>
        <w:tblLook w:val="04A0" w:firstRow="1" w:lastRow="0" w:firstColumn="1" w:lastColumn="0" w:noHBand="0" w:noVBand="1"/>
      </w:tblPr>
      <w:tblGrid>
        <w:gridCol w:w="928"/>
        <w:gridCol w:w="751"/>
        <w:gridCol w:w="752"/>
        <w:gridCol w:w="753"/>
        <w:gridCol w:w="753"/>
        <w:gridCol w:w="753"/>
        <w:gridCol w:w="753"/>
        <w:gridCol w:w="752"/>
        <w:gridCol w:w="753"/>
        <w:gridCol w:w="754"/>
        <w:gridCol w:w="753"/>
        <w:gridCol w:w="753"/>
        <w:gridCol w:w="754"/>
      </w:tblGrid>
      <w:tr w:rsidR="001817C7" w:rsidRPr="001817C7" w14:paraId="118BAC04" w14:textId="77777777">
        <w:tc>
          <w:tcPr>
            <w:tcW w:w="928" w:type="dxa"/>
            <w:vMerge w:val="restart"/>
            <w:tcBorders>
              <w:right w:val="double" w:sz="4" w:space="0" w:color="auto"/>
            </w:tcBorders>
            <w:vAlign w:val="center"/>
          </w:tcPr>
          <w:p w14:paraId="154A44B7" w14:textId="77777777" w:rsidR="00300C42" w:rsidRPr="001817C7" w:rsidRDefault="00300C42">
            <w:pPr>
              <w:spacing w:before="40" w:after="40"/>
              <w:jc w:val="center"/>
              <w:rPr>
                <w:sz w:val="20"/>
                <w:szCs w:val="20"/>
              </w:rPr>
            </w:pPr>
            <w:r w:rsidRPr="001817C7">
              <w:rPr>
                <w:sz w:val="20"/>
                <w:szCs w:val="20"/>
              </w:rPr>
              <w:t xml:space="preserve">Number of real values </w:t>
            </w:r>
          </w:p>
        </w:tc>
        <w:tc>
          <w:tcPr>
            <w:tcW w:w="2256" w:type="dxa"/>
            <w:gridSpan w:val="3"/>
            <w:tcBorders>
              <w:left w:val="double" w:sz="4" w:space="0" w:color="auto"/>
              <w:right w:val="double" w:sz="4" w:space="0" w:color="auto"/>
            </w:tcBorders>
            <w:vAlign w:val="center"/>
          </w:tcPr>
          <w:p w14:paraId="5D3AD29B" w14:textId="77777777" w:rsidR="00300C42" w:rsidRPr="001817C7" w:rsidRDefault="00300C42">
            <w:pPr>
              <w:spacing w:before="40" w:after="40"/>
              <w:jc w:val="center"/>
              <w:rPr>
                <w:sz w:val="20"/>
                <w:szCs w:val="20"/>
              </w:rPr>
            </w:pPr>
            <w:r w:rsidRPr="001817C7">
              <w:rPr>
                <w:sz w:val="20"/>
                <w:szCs w:val="20"/>
              </w:rPr>
              <w:t>2-port CIR</w:t>
            </w:r>
          </w:p>
        </w:tc>
        <w:tc>
          <w:tcPr>
            <w:tcW w:w="2259" w:type="dxa"/>
            <w:gridSpan w:val="3"/>
            <w:tcBorders>
              <w:left w:val="double" w:sz="4" w:space="0" w:color="auto"/>
              <w:right w:val="double" w:sz="4" w:space="0" w:color="auto"/>
            </w:tcBorders>
            <w:vAlign w:val="center"/>
          </w:tcPr>
          <w:p w14:paraId="34AE7201" w14:textId="77777777" w:rsidR="00300C42" w:rsidRPr="001817C7" w:rsidRDefault="00300C42">
            <w:pPr>
              <w:spacing w:before="40" w:after="40"/>
              <w:jc w:val="center"/>
              <w:rPr>
                <w:sz w:val="20"/>
                <w:szCs w:val="20"/>
              </w:rPr>
            </w:pPr>
            <w:r w:rsidRPr="001817C7">
              <w:rPr>
                <w:sz w:val="20"/>
                <w:szCs w:val="20"/>
              </w:rPr>
              <w:t>1</w:t>
            </w:r>
            <w:r w:rsidRPr="001817C7">
              <w:rPr>
                <w:sz w:val="20"/>
                <w:szCs w:val="20"/>
                <w:vertAlign w:val="superscript"/>
              </w:rPr>
              <w:t>st</w:t>
            </w:r>
            <w:r w:rsidRPr="001817C7">
              <w:rPr>
                <w:sz w:val="20"/>
                <w:szCs w:val="20"/>
              </w:rPr>
              <w:t xml:space="preserve"> PC CIR</w:t>
            </w:r>
          </w:p>
        </w:tc>
        <w:tc>
          <w:tcPr>
            <w:tcW w:w="2259" w:type="dxa"/>
            <w:gridSpan w:val="3"/>
            <w:tcBorders>
              <w:left w:val="double" w:sz="4" w:space="0" w:color="auto"/>
              <w:right w:val="double" w:sz="4" w:space="0" w:color="auto"/>
            </w:tcBorders>
          </w:tcPr>
          <w:p w14:paraId="23586735" w14:textId="77777777" w:rsidR="00300C42" w:rsidRPr="001817C7" w:rsidRDefault="00300C42">
            <w:pPr>
              <w:spacing w:before="40" w:after="40"/>
              <w:jc w:val="center"/>
              <w:rPr>
                <w:sz w:val="20"/>
                <w:szCs w:val="20"/>
              </w:rPr>
            </w:pPr>
            <w:r w:rsidRPr="001817C7">
              <w:rPr>
                <w:sz w:val="20"/>
                <w:szCs w:val="20"/>
              </w:rPr>
              <w:t>Strongest port CIR</w:t>
            </w:r>
          </w:p>
        </w:tc>
        <w:tc>
          <w:tcPr>
            <w:tcW w:w="2260" w:type="dxa"/>
            <w:gridSpan w:val="3"/>
            <w:tcBorders>
              <w:left w:val="double" w:sz="4" w:space="0" w:color="auto"/>
            </w:tcBorders>
            <w:vAlign w:val="center"/>
          </w:tcPr>
          <w:p w14:paraId="117C23BD" w14:textId="77777777" w:rsidR="00300C42" w:rsidRPr="001817C7" w:rsidRDefault="00300C42">
            <w:pPr>
              <w:spacing w:before="40" w:after="40"/>
              <w:jc w:val="center"/>
              <w:rPr>
                <w:sz w:val="20"/>
                <w:szCs w:val="20"/>
              </w:rPr>
            </w:pPr>
            <w:r w:rsidRPr="001817C7">
              <w:rPr>
                <w:sz w:val="20"/>
                <w:szCs w:val="20"/>
              </w:rPr>
              <w:t>PDP</w:t>
            </w:r>
          </w:p>
        </w:tc>
      </w:tr>
      <w:tr w:rsidR="001817C7" w:rsidRPr="001817C7" w14:paraId="53FBE1F0" w14:textId="77777777">
        <w:tc>
          <w:tcPr>
            <w:tcW w:w="928" w:type="dxa"/>
            <w:vMerge/>
            <w:tcBorders>
              <w:bottom w:val="double" w:sz="4" w:space="0" w:color="auto"/>
              <w:right w:val="double" w:sz="4" w:space="0" w:color="auto"/>
            </w:tcBorders>
            <w:vAlign w:val="center"/>
          </w:tcPr>
          <w:p w14:paraId="0ECF6682"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459C4864" w14:textId="77777777" w:rsidR="00300C42" w:rsidRPr="001817C7" w:rsidRDefault="009C13C0">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bottom w:val="double" w:sz="4" w:space="0" w:color="auto"/>
            </w:tcBorders>
            <w:vAlign w:val="center"/>
          </w:tcPr>
          <w:p w14:paraId="179202E4" w14:textId="77777777" w:rsidR="00300C42" w:rsidRPr="001817C7" w:rsidRDefault="009C13C0">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5785A125" w14:textId="77777777" w:rsidR="00300C42" w:rsidRPr="001817C7" w:rsidRDefault="009C13C0">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3C83EABF" w14:textId="77777777" w:rsidR="00300C42" w:rsidRPr="001817C7" w:rsidRDefault="009C13C0">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2BD18737" w14:textId="77777777" w:rsidR="00300C42" w:rsidRPr="001817C7" w:rsidRDefault="009C13C0">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203D1D0D" w14:textId="77777777" w:rsidR="00300C42" w:rsidRPr="001817C7" w:rsidRDefault="009C13C0">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2" w:type="dxa"/>
            <w:tcBorders>
              <w:bottom w:val="double" w:sz="4" w:space="0" w:color="auto"/>
              <w:right w:val="single" w:sz="4" w:space="0" w:color="auto"/>
            </w:tcBorders>
            <w:vAlign w:val="center"/>
          </w:tcPr>
          <w:p w14:paraId="63904DEB" w14:textId="77777777" w:rsidR="00300C42" w:rsidRPr="001817C7" w:rsidRDefault="009C13C0">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left w:val="single" w:sz="4" w:space="0" w:color="auto"/>
              <w:bottom w:val="double" w:sz="4" w:space="0" w:color="auto"/>
              <w:right w:val="single" w:sz="4" w:space="0" w:color="auto"/>
            </w:tcBorders>
            <w:vAlign w:val="center"/>
          </w:tcPr>
          <w:p w14:paraId="320A142D" w14:textId="77777777" w:rsidR="00300C42" w:rsidRPr="001817C7" w:rsidRDefault="009C13C0">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left w:val="single" w:sz="4" w:space="0" w:color="auto"/>
              <w:bottom w:val="double" w:sz="4" w:space="0" w:color="auto"/>
              <w:right w:val="double" w:sz="4" w:space="0" w:color="auto"/>
            </w:tcBorders>
            <w:vAlign w:val="center"/>
          </w:tcPr>
          <w:p w14:paraId="47B4DA17" w14:textId="77777777" w:rsidR="00300C42" w:rsidRPr="001817C7" w:rsidRDefault="009C13C0">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001F72BC" w14:textId="77777777" w:rsidR="00300C42" w:rsidRPr="001817C7" w:rsidRDefault="009C13C0">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5181499F" w14:textId="77777777" w:rsidR="00300C42" w:rsidRPr="001817C7" w:rsidRDefault="009C13C0">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bottom w:val="double" w:sz="4" w:space="0" w:color="auto"/>
            </w:tcBorders>
            <w:vAlign w:val="center"/>
          </w:tcPr>
          <w:p w14:paraId="67F242DC" w14:textId="77777777" w:rsidR="00300C42" w:rsidRPr="001817C7" w:rsidRDefault="009C13C0">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1817C7" w:rsidRPr="001817C7" w14:paraId="28AC62EA" w14:textId="77777777">
        <w:tc>
          <w:tcPr>
            <w:tcW w:w="928" w:type="dxa"/>
            <w:tcBorders>
              <w:top w:val="double" w:sz="4" w:space="0" w:color="auto"/>
              <w:bottom w:val="double" w:sz="4" w:space="0" w:color="auto"/>
              <w:right w:val="double" w:sz="4" w:space="0" w:color="auto"/>
            </w:tcBorders>
            <w:vAlign w:val="center"/>
          </w:tcPr>
          <w:p w14:paraId="0117A33C" w14:textId="77777777" w:rsidR="00300C42" w:rsidRPr="001817C7" w:rsidRDefault="00300C42">
            <w:pPr>
              <w:spacing w:before="40" w:after="40"/>
              <w:jc w:val="center"/>
              <w:rPr>
                <w:sz w:val="20"/>
                <w:szCs w:val="20"/>
              </w:rPr>
            </w:pPr>
            <w:r w:rsidRPr="001817C7">
              <w:rPr>
                <w:sz w:val="20"/>
                <w:szCs w:val="20"/>
              </w:rPr>
              <w:t>1024</w:t>
            </w:r>
            <w:r w:rsidRPr="001817C7">
              <w:rPr>
                <w:rFonts w:cs="Arial"/>
                <w:sz w:val="20"/>
                <w:szCs w:val="20"/>
              </w:rPr>
              <w:t>×</w:t>
            </w:r>
            <w:r w:rsidRPr="001817C7">
              <w:rPr>
                <w:sz w:val="20"/>
                <w:szCs w:val="20"/>
              </w:rPr>
              <w:t>18</w:t>
            </w:r>
          </w:p>
        </w:tc>
        <w:tc>
          <w:tcPr>
            <w:tcW w:w="751" w:type="dxa"/>
            <w:tcBorders>
              <w:top w:val="double" w:sz="4" w:space="0" w:color="auto"/>
              <w:left w:val="double" w:sz="4" w:space="0" w:color="auto"/>
              <w:bottom w:val="double" w:sz="4" w:space="0" w:color="auto"/>
            </w:tcBorders>
            <w:vAlign w:val="center"/>
          </w:tcPr>
          <w:p w14:paraId="02DDEF9F"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bottom w:val="double" w:sz="4" w:space="0" w:color="auto"/>
            </w:tcBorders>
            <w:vAlign w:val="center"/>
          </w:tcPr>
          <w:p w14:paraId="173E4A6E"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bottom w:val="double" w:sz="4" w:space="0" w:color="auto"/>
              <w:right w:val="double" w:sz="4" w:space="0" w:color="auto"/>
            </w:tcBorders>
            <w:vAlign w:val="center"/>
          </w:tcPr>
          <w:p w14:paraId="4BBA2E9E" w14:textId="77777777" w:rsidR="00300C42" w:rsidRPr="001817C7" w:rsidRDefault="00300C42">
            <w:pPr>
              <w:spacing w:before="40" w:after="40"/>
              <w:jc w:val="center"/>
              <w:rPr>
                <w:sz w:val="20"/>
                <w:szCs w:val="20"/>
              </w:rPr>
            </w:pPr>
            <w:r w:rsidRPr="001817C7">
              <w:rPr>
                <w:rFonts w:cs="Arial"/>
                <w:sz w:val="20"/>
                <w:szCs w:val="20"/>
              </w:rPr>
              <w:t>0.37</w:t>
            </w:r>
          </w:p>
        </w:tc>
        <w:tc>
          <w:tcPr>
            <w:tcW w:w="753" w:type="dxa"/>
            <w:tcBorders>
              <w:top w:val="double" w:sz="4" w:space="0" w:color="auto"/>
              <w:left w:val="double" w:sz="4" w:space="0" w:color="auto"/>
              <w:bottom w:val="double" w:sz="4" w:space="0" w:color="auto"/>
            </w:tcBorders>
            <w:vAlign w:val="center"/>
          </w:tcPr>
          <w:p w14:paraId="409B4DFC" w14:textId="77777777" w:rsidR="00300C42" w:rsidRPr="001817C7"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210B91F8" w14:textId="77777777" w:rsidR="00300C42" w:rsidRPr="001817C7" w:rsidRDefault="00300C42">
            <w:pPr>
              <w:spacing w:before="40" w:after="40"/>
              <w:jc w:val="center"/>
              <w:rPr>
                <w:sz w:val="20"/>
                <w:szCs w:val="20"/>
              </w:rPr>
            </w:pPr>
          </w:p>
        </w:tc>
        <w:tc>
          <w:tcPr>
            <w:tcW w:w="753" w:type="dxa"/>
            <w:tcBorders>
              <w:top w:val="double" w:sz="4" w:space="0" w:color="auto"/>
              <w:bottom w:val="double" w:sz="4" w:space="0" w:color="auto"/>
              <w:right w:val="double" w:sz="4" w:space="0" w:color="auto"/>
            </w:tcBorders>
            <w:vAlign w:val="center"/>
          </w:tcPr>
          <w:p w14:paraId="53EB8D44" w14:textId="77777777" w:rsidR="00300C42" w:rsidRPr="001817C7" w:rsidRDefault="00300C42">
            <w:pPr>
              <w:spacing w:before="40" w:after="40"/>
              <w:jc w:val="center"/>
              <w:rPr>
                <w:sz w:val="20"/>
                <w:szCs w:val="20"/>
              </w:rPr>
            </w:pPr>
          </w:p>
        </w:tc>
        <w:tc>
          <w:tcPr>
            <w:tcW w:w="752" w:type="dxa"/>
            <w:tcBorders>
              <w:top w:val="double" w:sz="4" w:space="0" w:color="auto"/>
              <w:bottom w:val="double" w:sz="4" w:space="0" w:color="auto"/>
              <w:right w:val="single" w:sz="4" w:space="0" w:color="auto"/>
            </w:tcBorders>
          </w:tcPr>
          <w:p w14:paraId="0E97500F" w14:textId="77777777" w:rsidR="00300C42" w:rsidRPr="001817C7" w:rsidRDefault="00300C42">
            <w:pPr>
              <w:spacing w:before="40" w:after="40"/>
              <w:jc w:val="center"/>
              <w:rPr>
                <w:sz w:val="20"/>
                <w:szCs w:val="20"/>
              </w:rPr>
            </w:pPr>
          </w:p>
        </w:tc>
        <w:tc>
          <w:tcPr>
            <w:tcW w:w="753" w:type="dxa"/>
            <w:tcBorders>
              <w:top w:val="double" w:sz="4" w:space="0" w:color="auto"/>
              <w:left w:val="single" w:sz="4" w:space="0" w:color="auto"/>
              <w:bottom w:val="double" w:sz="4" w:space="0" w:color="auto"/>
              <w:right w:val="single" w:sz="4" w:space="0" w:color="auto"/>
            </w:tcBorders>
          </w:tcPr>
          <w:p w14:paraId="5DE70792" w14:textId="77777777" w:rsidR="00300C42" w:rsidRPr="001817C7" w:rsidRDefault="00300C42">
            <w:pPr>
              <w:spacing w:before="40" w:after="40"/>
              <w:jc w:val="center"/>
              <w:rPr>
                <w:sz w:val="20"/>
                <w:szCs w:val="20"/>
              </w:rPr>
            </w:pPr>
          </w:p>
        </w:tc>
        <w:tc>
          <w:tcPr>
            <w:tcW w:w="754" w:type="dxa"/>
            <w:tcBorders>
              <w:top w:val="double" w:sz="4" w:space="0" w:color="auto"/>
              <w:left w:val="single" w:sz="4" w:space="0" w:color="auto"/>
              <w:bottom w:val="double" w:sz="4" w:space="0" w:color="auto"/>
              <w:right w:val="double" w:sz="4" w:space="0" w:color="auto"/>
            </w:tcBorders>
          </w:tcPr>
          <w:p w14:paraId="031A47C1" w14:textId="77777777" w:rsidR="00300C42" w:rsidRPr="001817C7" w:rsidRDefault="00300C42">
            <w:pPr>
              <w:spacing w:before="40" w:after="40"/>
              <w:jc w:val="center"/>
              <w:rPr>
                <w:sz w:val="20"/>
                <w:szCs w:val="20"/>
              </w:rPr>
            </w:pPr>
          </w:p>
        </w:tc>
        <w:tc>
          <w:tcPr>
            <w:tcW w:w="753" w:type="dxa"/>
            <w:tcBorders>
              <w:top w:val="double" w:sz="4" w:space="0" w:color="auto"/>
              <w:left w:val="double" w:sz="4" w:space="0" w:color="auto"/>
              <w:bottom w:val="double" w:sz="4" w:space="0" w:color="auto"/>
            </w:tcBorders>
            <w:vAlign w:val="center"/>
          </w:tcPr>
          <w:p w14:paraId="223F772E" w14:textId="77777777" w:rsidR="00300C42" w:rsidRPr="001817C7"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77CBDECD" w14:textId="77777777" w:rsidR="00300C42" w:rsidRPr="001817C7" w:rsidRDefault="00300C42">
            <w:pPr>
              <w:spacing w:before="40" w:after="40"/>
              <w:jc w:val="center"/>
              <w:rPr>
                <w:sz w:val="20"/>
                <w:szCs w:val="20"/>
              </w:rPr>
            </w:pPr>
          </w:p>
        </w:tc>
        <w:tc>
          <w:tcPr>
            <w:tcW w:w="754" w:type="dxa"/>
            <w:tcBorders>
              <w:top w:val="double" w:sz="4" w:space="0" w:color="auto"/>
              <w:bottom w:val="double" w:sz="4" w:space="0" w:color="auto"/>
            </w:tcBorders>
            <w:vAlign w:val="center"/>
          </w:tcPr>
          <w:p w14:paraId="632F4D11" w14:textId="77777777" w:rsidR="00300C42" w:rsidRPr="001817C7" w:rsidRDefault="00300C42">
            <w:pPr>
              <w:spacing w:before="40" w:after="40"/>
              <w:jc w:val="center"/>
              <w:rPr>
                <w:sz w:val="20"/>
                <w:szCs w:val="20"/>
              </w:rPr>
            </w:pPr>
          </w:p>
        </w:tc>
      </w:tr>
      <w:tr w:rsidR="001817C7" w:rsidRPr="001817C7" w14:paraId="16169A23" w14:textId="77777777">
        <w:tc>
          <w:tcPr>
            <w:tcW w:w="928" w:type="dxa"/>
            <w:vMerge w:val="restart"/>
            <w:tcBorders>
              <w:top w:val="double" w:sz="4" w:space="0" w:color="auto"/>
              <w:right w:val="double" w:sz="4" w:space="0" w:color="auto"/>
            </w:tcBorders>
            <w:vAlign w:val="center"/>
          </w:tcPr>
          <w:p w14:paraId="785B6766" w14:textId="77777777" w:rsidR="00300C42" w:rsidRPr="001817C7" w:rsidRDefault="00300C42">
            <w:pPr>
              <w:spacing w:before="40" w:after="40"/>
              <w:jc w:val="center"/>
              <w:rPr>
                <w:sz w:val="20"/>
                <w:szCs w:val="20"/>
              </w:rPr>
            </w:pPr>
            <w:r w:rsidRPr="001817C7">
              <w:rPr>
                <w:sz w:val="20"/>
                <w:szCs w:val="20"/>
              </w:rPr>
              <w:t>512</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659A9D54"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7792814B"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top w:val="double" w:sz="4" w:space="0" w:color="auto"/>
              <w:right w:val="double" w:sz="4" w:space="0" w:color="auto"/>
            </w:tcBorders>
            <w:vAlign w:val="center"/>
          </w:tcPr>
          <w:p w14:paraId="4A771C06" w14:textId="77777777" w:rsidR="00300C42" w:rsidRPr="001817C7" w:rsidRDefault="00300C42">
            <w:pPr>
              <w:spacing w:before="40" w:after="40"/>
              <w:jc w:val="center"/>
              <w:rPr>
                <w:sz w:val="20"/>
                <w:szCs w:val="20"/>
              </w:rPr>
            </w:pPr>
            <w:r w:rsidRPr="001817C7">
              <w:rPr>
                <w:rFonts w:cs="Arial"/>
                <w:sz w:val="20"/>
                <w:szCs w:val="20"/>
              </w:rPr>
              <w:t>0.38</w:t>
            </w:r>
          </w:p>
        </w:tc>
        <w:tc>
          <w:tcPr>
            <w:tcW w:w="753" w:type="dxa"/>
            <w:tcBorders>
              <w:top w:val="double" w:sz="4" w:space="0" w:color="auto"/>
              <w:left w:val="double" w:sz="4" w:space="0" w:color="auto"/>
            </w:tcBorders>
            <w:vAlign w:val="center"/>
          </w:tcPr>
          <w:p w14:paraId="567ADCBB"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4272E7DF"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right w:val="double" w:sz="4" w:space="0" w:color="auto"/>
            </w:tcBorders>
            <w:vAlign w:val="center"/>
          </w:tcPr>
          <w:p w14:paraId="4D362C1B" w14:textId="77777777" w:rsidR="00300C42" w:rsidRPr="001817C7" w:rsidRDefault="00300C42">
            <w:pPr>
              <w:spacing w:before="40" w:after="40"/>
              <w:jc w:val="center"/>
              <w:rPr>
                <w:sz w:val="20"/>
                <w:szCs w:val="20"/>
              </w:rPr>
            </w:pPr>
            <w:r w:rsidRPr="001817C7">
              <w:rPr>
                <w:rFonts w:cs="Arial"/>
                <w:sz w:val="20"/>
                <w:szCs w:val="20"/>
              </w:rPr>
              <w:t>0.49</w:t>
            </w:r>
          </w:p>
        </w:tc>
        <w:tc>
          <w:tcPr>
            <w:tcW w:w="752" w:type="dxa"/>
            <w:tcBorders>
              <w:top w:val="double" w:sz="4" w:space="0" w:color="auto"/>
              <w:right w:val="single" w:sz="4" w:space="0" w:color="auto"/>
            </w:tcBorders>
            <w:vAlign w:val="center"/>
          </w:tcPr>
          <w:p w14:paraId="3246D656"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62996281" w14:textId="77777777" w:rsidR="00300C42" w:rsidRPr="001817C7" w:rsidRDefault="00300C42">
            <w:pPr>
              <w:spacing w:before="40" w:after="40"/>
              <w:jc w:val="center"/>
              <w:rPr>
                <w:sz w:val="20"/>
                <w:szCs w:val="20"/>
              </w:rPr>
            </w:pPr>
            <w:r w:rsidRPr="001817C7">
              <w:rPr>
                <w:rFonts w:cs="Arial"/>
                <w:sz w:val="20"/>
                <w:szCs w:val="20"/>
              </w:rPr>
              <w:t>256</w:t>
            </w:r>
          </w:p>
        </w:tc>
        <w:tc>
          <w:tcPr>
            <w:tcW w:w="754" w:type="dxa"/>
            <w:tcBorders>
              <w:top w:val="double" w:sz="4" w:space="0" w:color="auto"/>
              <w:left w:val="single" w:sz="4" w:space="0" w:color="auto"/>
              <w:right w:val="double" w:sz="4" w:space="0" w:color="auto"/>
            </w:tcBorders>
            <w:vAlign w:val="center"/>
          </w:tcPr>
          <w:p w14:paraId="3164D0B9" w14:textId="77777777" w:rsidR="00300C42" w:rsidRPr="001817C7" w:rsidRDefault="00300C42">
            <w:pPr>
              <w:spacing w:before="40" w:after="40"/>
              <w:jc w:val="center"/>
              <w:rPr>
                <w:sz w:val="20"/>
                <w:szCs w:val="20"/>
              </w:rPr>
            </w:pPr>
            <w:r w:rsidRPr="001817C7">
              <w:rPr>
                <w:sz w:val="20"/>
                <w:szCs w:val="20"/>
              </w:rPr>
              <w:t>0.48</w:t>
            </w:r>
          </w:p>
        </w:tc>
        <w:tc>
          <w:tcPr>
            <w:tcW w:w="753" w:type="dxa"/>
            <w:tcBorders>
              <w:top w:val="double" w:sz="4" w:space="0" w:color="auto"/>
              <w:left w:val="double" w:sz="4" w:space="0" w:color="auto"/>
            </w:tcBorders>
            <w:vAlign w:val="center"/>
          </w:tcPr>
          <w:p w14:paraId="03A8053B" w14:textId="77777777" w:rsidR="00300C42" w:rsidRPr="001817C7" w:rsidRDefault="00300C42">
            <w:pPr>
              <w:spacing w:before="40" w:after="40"/>
              <w:jc w:val="center"/>
              <w:rPr>
                <w:sz w:val="20"/>
                <w:szCs w:val="20"/>
              </w:rPr>
            </w:pPr>
          </w:p>
        </w:tc>
        <w:tc>
          <w:tcPr>
            <w:tcW w:w="753" w:type="dxa"/>
            <w:tcBorders>
              <w:top w:val="double" w:sz="4" w:space="0" w:color="auto"/>
            </w:tcBorders>
            <w:vAlign w:val="center"/>
          </w:tcPr>
          <w:p w14:paraId="5FDD4880" w14:textId="77777777" w:rsidR="00300C42" w:rsidRPr="001817C7" w:rsidRDefault="00300C42">
            <w:pPr>
              <w:spacing w:before="40" w:after="40"/>
              <w:jc w:val="center"/>
              <w:rPr>
                <w:sz w:val="20"/>
                <w:szCs w:val="20"/>
              </w:rPr>
            </w:pPr>
          </w:p>
        </w:tc>
        <w:tc>
          <w:tcPr>
            <w:tcW w:w="754" w:type="dxa"/>
            <w:tcBorders>
              <w:top w:val="double" w:sz="4" w:space="0" w:color="auto"/>
            </w:tcBorders>
            <w:vAlign w:val="center"/>
          </w:tcPr>
          <w:p w14:paraId="47334CD0" w14:textId="77777777" w:rsidR="00300C42" w:rsidRPr="001817C7" w:rsidRDefault="00300C42">
            <w:pPr>
              <w:spacing w:before="40" w:after="40"/>
              <w:jc w:val="center"/>
              <w:rPr>
                <w:sz w:val="20"/>
                <w:szCs w:val="20"/>
              </w:rPr>
            </w:pPr>
          </w:p>
        </w:tc>
      </w:tr>
      <w:tr w:rsidR="001817C7" w:rsidRPr="001817C7" w14:paraId="0CBF95D2" w14:textId="77777777">
        <w:tc>
          <w:tcPr>
            <w:tcW w:w="928" w:type="dxa"/>
            <w:vMerge/>
            <w:tcBorders>
              <w:bottom w:val="double" w:sz="4" w:space="0" w:color="auto"/>
              <w:right w:val="double" w:sz="4" w:space="0" w:color="auto"/>
            </w:tcBorders>
            <w:vAlign w:val="center"/>
          </w:tcPr>
          <w:p w14:paraId="7C23EAA2"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8ED325B"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tcBorders>
              <w:bottom w:val="double" w:sz="4" w:space="0" w:color="auto"/>
            </w:tcBorders>
            <w:vAlign w:val="center"/>
          </w:tcPr>
          <w:p w14:paraId="0EB176F2"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bottom w:val="double" w:sz="4" w:space="0" w:color="auto"/>
              <w:right w:val="double" w:sz="4" w:space="0" w:color="auto"/>
            </w:tcBorders>
            <w:vAlign w:val="center"/>
          </w:tcPr>
          <w:p w14:paraId="492CE9FF" w14:textId="77777777" w:rsidR="00300C42" w:rsidRPr="001817C7" w:rsidRDefault="00300C42">
            <w:pPr>
              <w:spacing w:before="40" w:after="40"/>
              <w:jc w:val="center"/>
              <w:rPr>
                <w:sz w:val="20"/>
                <w:szCs w:val="20"/>
              </w:rPr>
            </w:pPr>
            <w:r w:rsidRPr="001817C7">
              <w:rPr>
                <w:rFonts w:cs="Arial"/>
                <w:sz w:val="20"/>
                <w:szCs w:val="20"/>
              </w:rPr>
              <w:t>0.44</w:t>
            </w:r>
          </w:p>
        </w:tc>
        <w:tc>
          <w:tcPr>
            <w:tcW w:w="753" w:type="dxa"/>
            <w:tcBorders>
              <w:left w:val="double" w:sz="4" w:space="0" w:color="auto"/>
              <w:bottom w:val="double" w:sz="4" w:space="0" w:color="auto"/>
            </w:tcBorders>
            <w:vAlign w:val="center"/>
          </w:tcPr>
          <w:p w14:paraId="5B19AB6F"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02D2AC53"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6729AE50"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45111BD1" w14:textId="77777777" w:rsidR="00300C42" w:rsidRPr="001817C7"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C64E8DC" w14:textId="77777777" w:rsidR="00300C42" w:rsidRPr="001817C7"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064601CA"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vAlign w:val="center"/>
          </w:tcPr>
          <w:p w14:paraId="46BF48E5"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335C60F8" w14:textId="77777777" w:rsidR="00300C42" w:rsidRPr="001817C7" w:rsidRDefault="00300C42">
            <w:pPr>
              <w:spacing w:before="40" w:after="40"/>
              <w:jc w:val="center"/>
              <w:rPr>
                <w:sz w:val="20"/>
                <w:szCs w:val="20"/>
              </w:rPr>
            </w:pPr>
          </w:p>
        </w:tc>
        <w:tc>
          <w:tcPr>
            <w:tcW w:w="754" w:type="dxa"/>
            <w:tcBorders>
              <w:bottom w:val="double" w:sz="4" w:space="0" w:color="auto"/>
            </w:tcBorders>
            <w:vAlign w:val="center"/>
          </w:tcPr>
          <w:p w14:paraId="7A00D385" w14:textId="77777777" w:rsidR="00300C42" w:rsidRPr="001817C7" w:rsidRDefault="00300C42">
            <w:pPr>
              <w:spacing w:before="40" w:after="40"/>
              <w:jc w:val="center"/>
              <w:rPr>
                <w:sz w:val="20"/>
                <w:szCs w:val="20"/>
              </w:rPr>
            </w:pPr>
          </w:p>
        </w:tc>
      </w:tr>
      <w:tr w:rsidR="001817C7" w:rsidRPr="001817C7" w14:paraId="7BB0C95F" w14:textId="77777777">
        <w:tc>
          <w:tcPr>
            <w:tcW w:w="928" w:type="dxa"/>
            <w:vMerge w:val="restart"/>
            <w:tcBorders>
              <w:top w:val="double" w:sz="4" w:space="0" w:color="auto"/>
              <w:right w:val="double" w:sz="4" w:space="0" w:color="auto"/>
            </w:tcBorders>
            <w:vAlign w:val="center"/>
          </w:tcPr>
          <w:p w14:paraId="2CE3608C" w14:textId="77777777" w:rsidR="00300C42" w:rsidRPr="001817C7" w:rsidRDefault="00300C42">
            <w:pPr>
              <w:spacing w:before="40" w:after="40"/>
              <w:jc w:val="center"/>
              <w:rPr>
                <w:sz w:val="20"/>
                <w:szCs w:val="20"/>
              </w:rPr>
            </w:pPr>
            <w:r w:rsidRPr="001817C7">
              <w:rPr>
                <w:sz w:val="20"/>
                <w:szCs w:val="20"/>
              </w:rPr>
              <w:t>256</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29FBAABC"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36D1B9E7"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top w:val="double" w:sz="4" w:space="0" w:color="auto"/>
              <w:right w:val="double" w:sz="4" w:space="0" w:color="auto"/>
            </w:tcBorders>
            <w:vAlign w:val="center"/>
          </w:tcPr>
          <w:p w14:paraId="26D590F6" w14:textId="77777777" w:rsidR="00300C42" w:rsidRPr="001817C7" w:rsidRDefault="00300C42">
            <w:pPr>
              <w:spacing w:before="40" w:after="40"/>
              <w:jc w:val="center"/>
              <w:rPr>
                <w:sz w:val="20"/>
                <w:szCs w:val="20"/>
              </w:rPr>
            </w:pPr>
            <w:r w:rsidRPr="001817C7">
              <w:rPr>
                <w:rFonts w:cs="Arial"/>
                <w:sz w:val="20"/>
                <w:szCs w:val="20"/>
              </w:rPr>
              <w:t>0.43</w:t>
            </w:r>
          </w:p>
        </w:tc>
        <w:tc>
          <w:tcPr>
            <w:tcW w:w="753" w:type="dxa"/>
            <w:tcBorders>
              <w:top w:val="double" w:sz="4" w:space="0" w:color="auto"/>
              <w:left w:val="double" w:sz="4" w:space="0" w:color="auto"/>
            </w:tcBorders>
            <w:vAlign w:val="center"/>
          </w:tcPr>
          <w:p w14:paraId="6A26F020"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72D6F5C1"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top w:val="double" w:sz="4" w:space="0" w:color="auto"/>
              <w:right w:val="double" w:sz="4" w:space="0" w:color="auto"/>
            </w:tcBorders>
            <w:vAlign w:val="center"/>
          </w:tcPr>
          <w:p w14:paraId="3B9EF02A" w14:textId="77777777" w:rsidR="00300C42" w:rsidRPr="001817C7" w:rsidRDefault="00300C42">
            <w:pPr>
              <w:spacing w:before="40" w:after="40"/>
              <w:jc w:val="center"/>
              <w:rPr>
                <w:sz w:val="20"/>
                <w:szCs w:val="20"/>
              </w:rPr>
            </w:pPr>
            <w:r w:rsidRPr="001817C7">
              <w:rPr>
                <w:rFonts w:cs="Arial"/>
                <w:sz w:val="20"/>
                <w:szCs w:val="20"/>
              </w:rPr>
              <w:t>0.50</w:t>
            </w:r>
          </w:p>
        </w:tc>
        <w:tc>
          <w:tcPr>
            <w:tcW w:w="752" w:type="dxa"/>
            <w:tcBorders>
              <w:top w:val="double" w:sz="4" w:space="0" w:color="auto"/>
              <w:right w:val="single" w:sz="4" w:space="0" w:color="auto"/>
            </w:tcBorders>
            <w:vAlign w:val="center"/>
          </w:tcPr>
          <w:p w14:paraId="5B704942"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7DB7462F"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4" w:type="dxa"/>
            <w:tcBorders>
              <w:top w:val="double" w:sz="4" w:space="0" w:color="auto"/>
              <w:left w:val="single" w:sz="4" w:space="0" w:color="auto"/>
              <w:right w:val="double" w:sz="4" w:space="0" w:color="auto"/>
            </w:tcBorders>
            <w:vAlign w:val="center"/>
          </w:tcPr>
          <w:p w14:paraId="7B0C77C6" w14:textId="77777777" w:rsidR="00300C42" w:rsidRPr="001817C7" w:rsidRDefault="00300C42">
            <w:pPr>
              <w:spacing w:before="40" w:after="40"/>
              <w:jc w:val="center"/>
              <w:rPr>
                <w:rFonts w:cs="Arial"/>
                <w:sz w:val="20"/>
                <w:szCs w:val="20"/>
              </w:rPr>
            </w:pPr>
            <w:r w:rsidRPr="001817C7">
              <w:rPr>
                <w:sz w:val="20"/>
                <w:szCs w:val="20"/>
              </w:rPr>
              <w:t>0.50</w:t>
            </w:r>
          </w:p>
        </w:tc>
        <w:tc>
          <w:tcPr>
            <w:tcW w:w="753" w:type="dxa"/>
            <w:tcBorders>
              <w:top w:val="double" w:sz="4" w:space="0" w:color="auto"/>
              <w:left w:val="double" w:sz="4" w:space="0" w:color="auto"/>
            </w:tcBorders>
            <w:vAlign w:val="center"/>
          </w:tcPr>
          <w:p w14:paraId="285BED21"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9A4CAC0" w14:textId="77777777" w:rsidR="00300C42" w:rsidRPr="001817C7" w:rsidRDefault="00300C42">
            <w:pPr>
              <w:spacing w:before="40" w:after="40"/>
              <w:jc w:val="center"/>
              <w:rPr>
                <w:sz w:val="20"/>
                <w:szCs w:val="20"/>
              </w:rPr>
            </w:pPr>
            <w:r w:rsidRPr="001817C7">
              <w:rPr>
                <w:rFonts w:cs="Arial"/>
                <w:sz w:val="20"/>
                <w:szCs w:val="20"/>
              </w:rPr>
              <w:t>256</w:t>
            </w:r>
          </w:p>
        </w:tc>
        <w:tc>
          <w:tcPr>
            <w:tcW w:w="754" w:type="dxa"/>
            <w:tcBorders>
              <w:top w:val="double" w:sz="4" w:space="0" w:color="auto"/>
            </w:tcBorders>
            <w:vAlign w:val="center"/>
          </w:tcPr>
          <w:p w14:paraId="720317B1" w14:textId="77777777" w:rsidR="00300C42" w:rsidRPr="001817C7" w:rsidRDefault="00300C42">
            <w:pPr>
              <w:spacing w:before="40" w:after="40"/>
              <w:jc w:val="center"/>
              <w:rPr>
                <w:sz w:val="20"/>
                <w:szCs w:val="20"/>
              </w:rPr>
            </w:pPr>
            <w:r w:rsidRPr="001817C7">
              <w:rPr>
                <w:rFonts w:cs="Arial"/>
                <w:sz w:val="20"/>
                <w:szCs w:val="20"/>
              </w:rPr>
              <w:t>0.51</w:t>
            </w:r>
          </w:p>
        </w:tc>
      </w:tr>
      <w:tr w:rsidR="001817C7" w:rsidRPr="001817C7" w14:paraId="199D1358" w14:textId="77777777">
        <w:tc>
          <w:tcPr>
            <w:tcW w:w="928" w:type="dxa"/>
            <w:vMerge/>
            <w:tcBorders>
              <w:right w:val="double" w:sz="4" w:space="0" w:color="auto"/>
            </w:tcBorders>
            <w:vAlign w:val="center"/>
          </w:tcPr>
          <w:p w14:paraId="482A4D41"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19E28750"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226DD398"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right w:val="double" w:sz="4" w:space="0" w:color="auto"/>
            </w:tcBorders>
            <w:vAlign w:val="center"/>
          </w:tcPr>
          <w:p w14:paraId="6A5B254A" w14:textId="77777777" w:rsidR="00300C42" w:rsidRPr="001817C7" w:rsidRDefault="00300C42">
            <w:pPr>
              <w:spacing w:before="40" w:after="40"/>
              <w:jc w:val="center"/>
              <w:rPr>
                <w:sz w:val="20"/>
                <w:szCs w:val="20"/>
              </w:rPr>
            </w:pPr>
            <w:r w:rsidRPr="001817C7">
              <w:rPr>
                <w:rFonts w:cs="Arial"/>
                <w:sz w:val="20"/>
                <w:szCs w:val="20"/>
              </w:rPr>
              <w:t>0.48</w:t>
            </w:r>
          </w:p>
        </w:tc>
        <w:tc>
          <w:tcPr>
            <w:tcW w:w="753" w:type="dxa"/>
            <w:tcBorders>
              <w:left w:val="double" w:sz="4" w:space="0" w:color="auto"/>
            </w:tcBorders>
            <w:vAlign w:val="center"/>
          </w:tcPr>
          <w:p w14:paraId="45B27521"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6A444662"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right w:val="double" w:sz="4" w:space="0" w:color="auto"/>
            </w:tcBorders>
            <w:vAlign w:val="center"/>
          </w:tcPr>
          <w:p w14:paraId="584CFDCF" w14:textId="77777777" w:rsidR="00300C42" w:rsidRPr="001817C7" w:rsidRDefault="00300C42">
            <w:pPr>
              <w:spacing w:before="40" w:after="40"/>
              <w:jc w:val="center"/>
              <w:rPr>
                <w:sz w:val="20"/>
                <w:szCs w:val="20"/>
              </w:rPr>
            </w:pPr>
            <w:r w:rsidRPr="001817C7">
              <w:rPr>
                <w:rFonts w:cs="Arial"/>
                <w:sz w:val="20"/>
                <w:szCs w:val="20"/>
              </w:rPr>
              <w:t>0.62</w:t>
            </w:r>
          </w:p>
        </w:tc>
        <w:tc>
          <w:tcPr>
            <w:tcW w:w="752" w:type="dxa"/>
            <w:tcBorders>
              <w:right w:val="single" w:sz="4" w:space="0" w:color="auto"/>
            </w:tcBorders>
            <w:vAlign w:val="center"/>
          </w:tcPr>
          <w:p w14:paraId="1CB1D0BB"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6CA16A4D" w14:textId="77777777" w:rsidR="00300C42" w:rsidRPr="001817C7" w:rsidRDefault="00300C42">
            <w:pPr>
              <w:spacing w:before="40" w:after="40"/>
              <w:jc w:val="center"/>
              <w:rPr>
                <w:sz w:val="20"/>
                <w:szCs w:val="20"/>
              </w:rPr>
            </w:pPr>
            <w:r w:rsidRPr="001817C7">
              <w:rPr>
                <w:rFonts w:cs="Arial"/>
                <w:sz w:val="20"/>
                <w:szCs w:val="20"/>
              </w:rPr>
              <w:t>128</w:t>
            </w:r>
          </w:p>
        </w:tc>
        <w:tc>
          <w:tcPr>
            <w:tcW w:w="754" w:type="dxa"/>
            <w:tcBorders>
              <w:left w:val="single" w:sz="4" w:space="0" w:color="auto"/>
              <w:right w:val="double" w:sz="4" w:space="0" w:color="auto"/>
            </w:tcBorders>
            <w:vAlign w:val="center"/>
          </w:tcPr>
          <w:p w14:paraId="0777FA0C" w14:textId="77777777" w:rsidR="00300C42" w:rsidRPr="001817C7" w:rsidRDefault="00300C42">
            <w:pPr>
              <w:spacing w:before="40" w:after="40"/>
              <w:jc w:val="center"/>
              <w:rPr>
                <w:sz w:val="20"/>
                <w:szCs w:val="20"/>
              </w:rPr>
            </w:pPr>
            <w:r w:rsidRPr="001817C7">
              <w:rPr>
                <w:sz w:val="20"/>
                <w:szCs w:val="20"/>
              </w:rPr>
              <w:t>0.60</w:t>
            </w:r>
          </w:p>
        </w:tc>
        <w:tc>
          <w:tcPr>
            <w:tcW w:w="753" w:type="dxa"/>
            <w:tcBorders>
              <w:left w:val="double" w:sz="4" w:space="0" w:color="auto"/>
            </w:tcBorders>
          </w:tcPr>
          <w:p w14:paraId="20C04B65" w14:textId="77777777" w:rsidR="00300C42" w:rsidRPr="001817C7" w:rsidRDefault="00300C42">
            <w:pPr>
              <w:spacing w:before="40" w:after="40"/>
              <w:jc w:val="center"/>
              <w:rPr>
                <w:sz w:val="20"/>
                <w:szCs w:val="20"/>
              </w:rPr>
            </w:pPr>
          </w:p>
        </w:tc>
        <w:tc>
          <w:tcPr>
            <w:tcW w:w="753" w:type="dxa"/>
            <w:vAlign w:val="center"/>
          </w:tcPr>
          <w:p w14:paraId="0C191B8A" w14:textId="77777777" w:rsidR="00300C42" w:rsidRPr="001817C7" w:rsidRDefault="00300C42">
            <w:pPr>
              <w:spacing w:before="40" w:after="40"/>
              <w:jc w:val="center"/>
              <w:rPr>
                <w:sz w:val="20"/>
                <w:szCs w:val="20"/>
              </w:rPr>
            </w:pPr>
          </w:p>
        </w:tc>
        <w:tc>
          <w:tcPr>
            <w:tcW w:w="754" w:type="dxa"/>
            <w:vAlign w:val="center"/>
          </w:tcPr>
          <w:p w14:paraId="3A42394D"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719A703C" w14:textId="77777777">
        <w:tc>
          <w:tcPr>
            <w:tcW w:w="928" w:type="dxa"/>
            <w:vMerge/>
            <w:tcBorders>
              <w:bottom w:val="double" w:sz="4" w:space="0" w:color="auto"/>
              <w:right w:val="double" w:sz="4" w:space="0" w:color="auto"/>
            </w:tcBorders>
            <w:vAlign w:val="center"/>
          </w:tcPr>
          <w:p w14:paraId="39FBDEAD"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E9A662C" w14:textId="77777777" w:rsidR="00300C42" w:rsidRPr="001817C7" w:rsidRDefault="00300C42">
            <w:pPr>
              <w:spacing w:before="40" w:after="40"/>
              <w:jc w:val="center"/>
              <w:rPr>
                <w:sz w:val="20"/>
                <w:szCs w:val="20"/>
              </w:rPr>
            </w:pPr>
            <w:r w:rsidRPr="001817C7">
              <w:rPr>
                <w:rFonts w:cs="Arial"/>
                <w:sz w:val="20"/>
                <w:szCs w:val="20"/>
              </w:rPr>
              <w:t>64</w:t>
            </w:r>
          </w:p>
        </w:tc>
        <w:tc>
          <w:tcPr>
            <w:tcW w:w="752" w:type="dxa"/>
            <w:tcBorders>
              <w:bottom w:val="double" w:sz="4" w:space="0" w:color="auto"/>
            </w:tcBorders>
            <w:vAlign w:val="center"/>
          </w:tcPr>
          <w:p w14:paraId="544E58DC"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bottom w:val="double" w:sz="4" w:space="0" w:color="auto"/>
              <w:right w:val="double" w:sz="4" w:space="0" w:color="auto"/>
            </w:tcBorders>
            <w:vAlign w:val="center"/>
          </w:tcPr>
          <w:p w14:paraId="5CB3D692" w14:textId="77777777" w:rsidR="00300C42" w:rsidRPr="001817C7" w:rsidRDefault="00300C42">
            <w:pPr>
              <w:spacing w:before="40" w:after="40"/>
              <w:jc w:val="center"/>
              <w:rPr>
                <w:sz w:val="20"/>
                <w:szCs w:val="20"/>
              </w:rPr>
            </w:pPr>
            <w:r w:rsidRPr="001817C7">
              <w:rPr>
                <w:rFonts w:cs="Arial"/>
                <w:sz w:val="20"/>
                <w:szCs w:val="20"/>
              </w:rPr>
              <w:t>0.67</w:t>
            </w:r>
          </w:p>
        </w:tc>
        <w:tc>
          <w:tcPr>
            <w:tcW w:w="753" w:type="dxa"/>
            <w:tcBorders>
              <w:left w:val="double" w:sz="4" w:space="0" w:color="auto"/>
              <w:bottom w:val="double" w:sz="4" w:space="0" w:color="auto"/>
            </w:tcBorders>
            <w:vAlign w:val="center"/>
          </w:tcPr>
          <w:p w14:paraId="7A3B9965"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5B78A948"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3F031715"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749957FE" w14:textId="77777777" w:rsidR="00300C42" w:rsidRPr="001817C7"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9D1A389" w14:textId="77777777" w:rsidR="00300C42" w:rsidRPr="001817C7"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3A7B86C7"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vAlign w:val="center"/>
          </w:tcPr>
          <w:p w14:paraId="2FEE4920"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63781961" w14:textId="77777777" w:rsidR="00300C42" w:rsidRPr="001817C7" w:rsidRDefault="00300C42">
            <w:pPr>
              <w:spacing w:before="40" w:after="40"/>
              <w:jc w:val="center"/>
              <w:rPr>
                <w:sz w:val="20"/>
                <w:szCs w:val="20"/>
              </w:rPr>
            </w:pPr>
          </w:p>
        </w:tc>
        <w:tc>
          <w:tcPr>
            <w:tcW w:w="754" w:type="dxa"/>
            <w:tcBorders>
              <w:bottom w:val="double" w:sz="4" w:space="0" w:color="auto"/>
            </w:tcBorders>
            <w:vAlign w:val="center"/>
          </w:tcPr>
          <w:p w14:paraId="11728664"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75FEA4D5" w14:textId="77777777">
        <w:tc>
          <w:tcPr>
            <w:tcW w:w="928" w:type="dxa"/>
            <w:vMerge w:val="restart"/>
            <w:tcBorders>
              <w:top w:val="double" w:sz="4" w:space="0" w:color="auto"/>
              <w:right w:val="double" w:sz="4" w:space="0" w:color="auto"/>
            </w:tcBorders>
            <w:vAlign w:val="center"/>
          </w:tcPr>
          <w:p w14:paraId="4CD099B1" w14:textId="77777777" w:rsidR="00300C42" w:rsidRPr="001817C7" w:rsidRDefault="00300C42">
            <w:pPr>
              <w:spacing w:before="40" w:after="40"/>
              <w:jc w:val="center"/>
              <w:rPr>
                <w:sz w:val="20"/>
                <w:szCs w:val="20"/>
              </w:rPr>
            </w:pPr>
            <w:r w:rsidRPr="001817C7">
              <w:rPr>
                <w:sz w:val="20"/>
                <w:szCs w:val="20"/>
              </w:rPr>
              <w:t>128</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79A50AB7"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4B991281"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top w:val="double" w:sz="4" w:space="0" w:color="auto"/>
              <w:right w:val="double" w:sz="4" w:space="0" w:color="auto"/>
            </w:tcBorders>
            <w:vAlign w:val="center"/>
          </w:tcPr>
          <w:p w14:paraId="4A67BACD" w14:textId="77777777" w:rsidR="00300C42" w:rsidRPr="001817C7" w:rsidRDefault="00300C42">
            <w:pPr>
              <w:spacing w:before="40" w:after="40"/>
              <w:jc w:val="center"/>
              <w:rPr>
                <w:sz w:val="20"/>
                <w:szCs w:val="20"/>
              </w:rPr>
            </w:pPr>
            <w:r w:rsidRPr="001817C7">
              <w:rPr>
                <w:rFonts w:cs="Arial"/>
                <w:sz w:val="20"/>
                <w:szCs w:val="20"/>
              </w:rPr>
              <w:t>0.54</w:t>
            </w:r>
          </w:p>
        </w:tc>
        <w:tc>
          <w:tcPr>
            <w:tcW w:w="753" w:type="dxa"/>
            <w:tcBorders>
              <w:top w:val="double" w:sz="4" w:space="0" w:color="auto"/>
              <w:left w:val="double" w:sz="4" w:space="0" w:color="auto"/>
            </w:tcBorders>
            <w:vAlign w:val="center"/>
          </w:tcPr>
          <w:p w14:paraId="08761F72"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36A10B24"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top w:val="double" w:sz="4" w:space="0" w:color="auto"/>
              <w:right w:val="double" w:sz="4" w:space="0" w:color="auto"/>
            </w:tcBorders>
            <w:vAlign w:val="center"/>
          </w:tcPr>
          <w:p w14:paraId="5B353CCB" w14:textId="77777777" w:rsidR="00300C42" w:rsidRPr="001817C7" w:rsidRDefault="00300C42">
            <w:pPr>
              <w:spacing w:before="40" w:after="40"/>
              <w:jc w:val="center"/>
              <w:rPr>
                <w:sz w:val="20"/>
                <w:szCs w:val="20"/>
              </w:rPr>
            </w:pPr>
            <w:r w:rsidRPr="001817C7">
              <w:rPr>
                <w:rFonts w:cs="Arial"/>
                <w:sz w:val="20"/>
                <w:szCs w:val="20"/>
              </w:rPr>
              <w:t>0.54</w:t>
            </w:r>
          </w:p>
        </w:tc>
        <w:tc>
          <w:tcPr>
            <w:tcW w:w="752" w:type="dxa"/>
            <w:tcBorders>
              <w:top w:val="double" w:sz="4" w:space="0" w:color="auto"/>
              <w:right w:val="single" w:sz="4" w:space="0" w:color="auto"/>
            </w:tcBorders>
            <w:vAlign w:val="center"/>
          </w:tcPr>
          <w:p w14:paraId="246A13FC"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148D7507"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4" w:type="dxa"/>
            <w:tcBorders>
              <w:top w:val="double" w:sz="4" w:space="0" w:color="auto"/>
              <w:left w:val="single" w:sz="4" w:space="0" w:color="auto"/>
              <w:right w:val="double" w:sz="4" w:space="0" w:color="auto"/>
            </w:tcBorders>
            <w:vAlign w:val="center"/>
          </w:tcPr>
          <w:p w14:paraId="11CF5627" w14:textId="77777777" w:rsidR="00300C42" w:rsidRPr="001817C7" w:rsidRDefault="00300C42">
            <w:pPr>
              <w:spacing w:before="40" w:after="40"/>
              <w:jc w:val="center"/>
              <w:rPr>
                <w:rFonts w:cs="Arial"/>
                <w:sz w:val="20"/>
                <w:szCs w:val="20"/>
              </w:rPr>
            </w:pPr>
            <w:r w:rsidRPr="001817C7">
              <w:rPr>
                <w:sz w:val="20"/>
                <w:szCs w:val="20"/>
              </w:rPr>
              <w:t>0.57</w:t>
            </w:r>
          </w:p>
        </w:tc>
        <w:tc>
          <w:tcPr>
            <w:tcW w:w="753" w:type="dxa"/>
            <w:tcBorders>
              <w:top w:val="double" w:sz="4" w:space="0" w:color="auto"/>
              <w:left w:val="double" w:sz="4" w:space="0" w:color="auto"/>
            </w:tcBorders>
            <w:vAlign w:val="center"/>
          </w:tcPr>
          <w:p w14:paraId="5A28CA04"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9DAEFF7" w14:textId="77777777" w:rsidR="00300C42" w:rsidRPr="001817C7" w:rsidRDefault="00300C42">
            <w:pPr>
              <w:spacing w:before="40" w:after="40"/>
              <w:jc w:val="center"/>
              <w:rPr>
                <w:sz w:val="20"/>
                <w:szCs w:val="20"/>
              </w:rPr>
            </w:pPr>
            <w:r w:rsidRPr="001817C7">
              <w:rPr>
                <w:rFonts w:cs="Arial"/>
                <w:sz w:val="20"/>
                <w:szCs w:val="20"/>
              </w:rPr>
              <w:t>128</w:t>
            </w:r>
          </w:p>
        </w:tc>
        <w:tc>
          <w:tcPr>
            <w:tcW w:w="754" w:type="dxa"/>
            <w:tcBorders>
              <w:top w:val="double" w:sz="4" w:space="0" w:color="auto"/>
            </w:tcBorders>
            <w:vAlign w:val="center"/>
          </w:tcPr>
          <w:p w14:paraId="0F34C1E2" w14:textId="77777777" w:rsidR="00300C42" w:rsidRPr="001817C7" w:rsidRDefault="00300C42">
            <w:pPr>
              <w:spacing w:before="40" w:after="40"/>
              <w:jc w:val="center"/>
              <w:rPr>
                <w:sz w:val="20"/>
                <w:szCs w:val="20"/>
              </w:rPr>
            </w:pPr>
            <w:r w:rsidRPr="001817C7">
              <w:rPr>
                <w:rFonts w:cs="Arial"/>
                <w:sz w:val="20"/>
                <w:szCs w:val="20"/>
              </w:rPr>
              <w:t>0.52</w:t>
            </w:r>
          </w:p>
        </w:tc>
      </w:tr>
      <w:tr w:rsidR="001817C7" w:rsidRPr="001817C7" w14:paraId="2E06298E" w14:textId="77777777">
        <w:tc>
          <w:tcPr>
            <w:tcW w:w="928" w:type="dxa"/>
            <w:vMerge/>
            <w:tcBorders>
              <w:right w:val="double" w:sz="4" w:space="0" w:color="auto"/>
            </w:tcBorders>
            <w:vAlign w:val="center"/>
          </w:tcPr>
          <w:p w14:paraId="45068640"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26591D4B"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43C58A22"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0C51038F" w14:textId="77777777" w:rsidR="00300C42" w:rsidRPr="001817C7" w:rsidRDefault="00300C42">
            <w:pPr>
              <w:spacing w:before="40" w:after="40"/>
              <w:jc w:val="center"/>
              <w:rPr>
                <w:sz w:val="20"/>
                <w:szCs w:val="20"/>
              </w:rPr>
            </w:pPr>
            <w:r w:rsidRPr="001817C7">
              <w:rPr>
                <w:rFonts w:cs="Arial"/>
                <w:sz w:val="20"/>
                <w:szCs w:val="20"/>
              </w:rPr>
              <w:t>0.53</w:t>
            </w:r>
          </w:p>
        </w:tc>
        <w:tc>
          <w:tcPr>
            <w:tcW w:w="753" w:type="dxa"/>
            <w:tcBorders>
              <w:left w:val="double" w:sz="4" w:space="0" w:color="auto"/>
            </w:tcBorders>
            <w:vAlign w:val="center"/>
          </w:tcPr>
          <w:p w14:paraId="1B024A2F"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41E4C09F"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right w:val="double" w:sz="4" w:space="0" w:color="auto"/>
            </w:tcBorders>
            <w:vAlign w:val="center"/>
          </w:tcPr>
          <w:p w14:paraId="7FBE5B8A" w14:textId="77777777" w:rsidR="00300C42" w:rsidRPr="001817C7" w:rsidRDefault="00300C42">
            <w:pPr>
              <w:spacing w:before="40" w:after="40"/>
              <w:jc w:val="center"/>
              <w:rPr>
                <w:sz w:val="20"/>
                <w:szCs w:val="20"/>
              </w:rPr>
            </w:pPr>
            <w:r w:rsidRPr="001817C7">
              <w:rPr>
                <w:rFonts w:cs="Arial"/>
                <w:sz w:val="20"/>
                <w:szCs w:val="20"/>
              </w:rPr>
              <w:t>0.62</w:t>
            </w:r>
          </w:p>
        </w:tc>
        <w:tc>
          <w:tcPr>
            <w:tcW w:w="752" w:type="dxa"/>
            <w:tcBorders>
              <w:right w:val="single" w:sz="4" w:space="0" w:color="auto"/>
            </w:tcBorders>
            <w:vAlign w:val="center"/>
          </w:tcPr>
          <w:p w14:paraId="44CABDC9"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30DF9D37"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4" w:type="dxa"/>
            <w:tcBorders>
              <w:left w:val="single" w:sz="4" w:space="0" w:color="auto"/>
              <w:right w:val="double" w:sz="4" w:space="0" w:color="auto"/>
            </w:tcBorders>
            <w:vAlign w:val="center"/>
          </w:tcPr>
          <w:p w14:paraId="0D9F0E9E" w14:textId="77777777" w:rsidR="00300C42" w:rsidRPr="001817C7" w:rsidRDefault="00300C42">
            <w:pPr>
              <w:spacing w:before="40" w:after="40"/>
              <w:jc w:val="center"/>
              <w:rPr>
                <w:rFonts w:cs="Arial"/>
                <w:sz w:val="20"/>
                <w:szCs w:val="20"/>
              </w:rPr>
            </w:pPr>
            <w:r w:rsidRPr="001817C7">
              <w:rPr>
                <w:sz w:val="20"/>
                <w:szCs w:val="20"/>
              </w:rPr>
              <w:t>0.63</w:t>
            </w:r>
          </w:p>
        </w:tc>
        <w:tc>
          <w:tcPr>
            <w:tcW w:w="753" w:type="dxa"/>
            <w:tcBorders>
              <w:left w:val="double" w:sz="4" w:space="0" w:color="auto"/>
            </w:tcBorders>
            <w:vAlign w:val="center"/>
          </w:tcPr>
          <w:p w14:paraId="2A006964"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6CD7D853" w14:textId="77777777" w:rsidR="00300C42" w:rsidRPr="001817C7" w:rsidRDefault="00300C42">
            <w:pPr>
              <w:spacing w:before="40" w:after="40"/>
              <w:jc w:val="center"/>
              <w:rPr>
                <w:sz w:val="20"/>
                <w:szCs w:val="20"/>
              </w:rPr>
            </w:pPr>
            <w:r w:rsidRPr="001817C7">
              <w:rPr>
                <w:rFonts w:cs="Arial"/>
                <w:sz w:val="20"/>
                <w:szCs w:val="20"/>
              </w:rPr>
              <w:t>128</w:t>
            </w:r>
          </w:p>
        </w:tc>
        <w:tc>
          <w:tcPr>
            <w:tcW w:w="754" w:type="dxa"/>
            <w:vAlign w:val="center"/>
          </w:tcPr>
          <w:p w14:paraId="2F92CE6E" w14:textId="77777777" w:rsidR="00300C42" w:rsidRPr="001817C7" w:rsidRDefault="00300C42">
            <w:pPr>
              <w:spacing w:before="40" w:after="40"/>
              <w:jc w:val="center"/>
              <w:rPr>
                <w:sz w:val="20"/>
                <w:szCs w:val="20"/>
              </w:rPr>
            </w:pPr>
            <w:r w:rsidRPr="001817C7">
              <w:rPr>
                <w:rFonts w:cs="Arial"/>
                <w:sz w:val="20"/>
                <w:szCs w:val="20"/>
              </w:rPr>
              <w:t>0.56</w:t>
            </w:r>
          </w:p>
        </w:tc>
      </w:tr>
      <w:tr w:rsidR="001817C7" w:rsidRPr="001817C7" w14:paraId="57265EAD" w14:textId="77777777">
        <w:tc>
          <w:tcPr>
            <w:tcW w:w="928" w:type="dxa"/>
            <w:vMerge/>
            <w:tcBorders>
              <w:right w:val="double" w:sz="4" w:space="0" w:color="auto"/>
            </w:tcBorders>
            <w:vAlign w:val="center"/>
          </w:tcPr>
          <w:p w14:paraId="3D74ED06"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49B5E11C" w14:textId="77777777" w:rsidR="00300C42" w:rsidRPr="001817C7" w:rsidRDefault="00300C42">
            <w:pPr>
              <w:spacing w:before="40" w:after="40"/>
              <w:jc w:val="center"/>
              <w:rPr>
                <w:sz w:val="20"/>
                <w:szCs w:val="20"/>
              </w:rPr>
            </w:pPr>
            <w:r w:rsidRPr="001817C7">
              <w:rPr>
                <w:rFonts w:cs="Arial"/>
                <w:sz w:val="20"/>
                <w:szCs w:val="20"/>
              </w:rPr>
              <w:t>64</w:t>
            </w:r>
          </w:p>
        </w:tc>
        <w:tc>
          <w:tcPr>
            <w:tcW w:w="752" w:type="dxa"/>
            <w:vAlign w:val="center"/>
          </w:tcPr>
          <w:p w14:paraId="6189D885"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00444EFF" w14:textId="77777777" w:rsidR="00300C42" w:rsidRPr="001817C7" w:rsidRDefault="00300C42">
            <w:pPr>
              <w:spacing w:before="40" w:after="40"/>
              <w:jc w:val="center"/>
              <w:rPr>
                <w:sz w:val="20"/>
                <w:szCs w:val="20"/>
              </w:rPr>
            </w:pPr>
            <w:r w:rsidRPr="001817C7">
              <w:rPr>
                <w:rFonts w:cs="Arial"/>
                <w:sz w:val="20"/>
                <w:szCs w:val="20"/>
              </w:rPr>
              <w:t>0.67</w:t>
            </w:r>
          </w:p>
        </w:tc>
        <w:tc>
          <w:tcPr>
            <w:tcW w:w="753" w:type="dxa"/>
            <w:tcBorders>
              <w:left w:val="double" w:sz="4" w:space="0" w:color="auto"/>
            </w:tcBorders>
            <w:vAlign w:val="center"/>
          </w:tcPr>
          <w:p w14:paraId="57973698"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5F165AA2"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right w:val="double" w:sz="4" w:space="0" w:color="auto"/>
            </w:tcBorders>
            <w:vAlign w:val="center"/>
          </w:tcPr>
          <w:p w14:paraId="779FD2EA" w14:textId="77777777" w:rsidR="00300C42" w:rsidRPr="001817C7" w:rsidRDefault="00300C42">
            <w:pPr>
              <w:spacing w:before="40" w:after="40"/>
              <w:jc w:val="center"/>
              <w:rPr>
                <w:sz w:val="20"/>
                <w:szCs w:val="20"/>
              </w:rPr>
            </w:pPr>
            <w:r w:rsidRPr="001817C7">
              <w:rPr>
                <w:rFonts w:cs="Arial"/>
                <w:sz w:val="20"/>
                <w:szCs w:val="20"/>
              </w:rPr>
              <w:t>0.83</w:t>
            </w:r>
          </w:p>
        </w:tc>
        <w:tc>
          <w:tcPr>
            <w:tcW w:w="752" w:type="dxa"/>
            <w:tcBorders>
              <w:right w:val="single" w:sz="4" w:space="0" w:color="auto"/>
            </w:tcBorders>
            <w:vAlign w:val="center"/>
          </w:tcPr>
          <w:p w14:paraId="496B4196"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left w:val="single" w:sz="4" w:space="0" w:color="auto"/>
              <w:right w:val="single" w:sz="4" w:space="0" w:color="auto"/>
            </w:tcBorders>
            <w:vAlign w:val="center"/>
          </w:tcPr>
          <w:p w14:paraId="32BFE498" w14:textId="77777777" w:rsidR="00300C42" w:rsidRPr="001817C7" w:rsidRDefault="00300C42">
            <w:pPr>
              <w:spacing w:before="40" w:after="40"/>
              <w:jc w:val="center"/>
              <w:rPr>
                <w:sz w:val="20"/>
                <w:szCs w:val="20"/>
              </w:rPr>
            </w:pPr>
            <w:r w:rsidRPr="001817C7">
              <w:rPr>
                <w:rFonts w:cs="Arial"/>
                <w:sz w:val="20"/>
                <w:szCs w:val="20"/>
              </w:rPr>
              <w:t>64</w:t>
            </w:r>
          </w:p>
        </w:tc>
        <w:tc>
          <w:tcPr>
            <w:tcW w:w="754" w:type="dxa"/>
            <w:tcBorders>
              <w:left w:val="single" w:sz="4" w:space="0" w:color="auto"/>
              <w:right w:val="double" w:sz="4" w:space="0" w:color="auto"/>
            </w:tcBorders>
            <w:vAlign w:val="center"/>
          </w:tcPr>
          <w:p w14:paraId="06B1718A" w14:textId="77777777" w:rsidR="00300C42" w:rsidRPr="001817C7" w:rsidRDefault="00300C42">
            <w:pPr>
              <w:spacing w:before="40" w:after="40"/>
              <w:jc w:val="center"/>
              <w:rPr>
                <w:sz w:val="20"/>
                <w:szCs w:val="20"/>
              </w:rPr>
            </w:pPr>
            <w:r w:rsidRPr="001817C7">
              <w:rPr>
                <w:sz w:val="20"/>
                <w:szCs w:val="20"/>
              </w:rPr>
              <w:t>0.88</w:t>
            </w:r>
          </w:p>
        </w:tc>
        <w:tc>
          <w:tcPr>
            <w:tcW w:w="753" w:type="dxa"/>
            <w:tcBorders>
              <w:left w:val="double" w:sz="4" w:space="0" w:color="auto"/>
            </w:tcBorders>
            <w:vAlign w:val="center"/>
          </w:tcPr>
          <w:p w14:paraId="605D7833" w14:textId="77777777" w:rsidR="00300C42" w:rsidRPr="001817C7" w:rsidRDefault="00300C42">
            <w:pPr>
              <w:spacing w:before="40" w:after="40"/>
              <w:jc w:val="center"/>
              <w:rPr>
                <w:sz w:val="20"/>
                <w:szCs w:val="20"/>
              </w:rPr>
            </w:pPr>
          </w:p>
        </w:tc>
        <w:tc>
          <w:tcPr>
            <w:tcW w:w="753" w:type="dxa"/>
            <w:vAlign w:val="center"/>
          </w:tcPr>
          <w:p w14:paraId="7CD917C9" w14:textId="77777777" w:rsidR="00300C42" w:rsidRPr="001817C7" w:rsidRDefault="00300C42">
            <w:pPr>
              <w:spacing w:before="40" w:after="40"/>
              <w:jc w:val="center"/>
              <w:rPr>
                <w:sz w:val="20"/>
                <w:szCs w:val="20"/>
              </w:rPr>
            </w:pPr>
          </w:p>
        </w:tc>
        <w:tc>
          <w:tcPr>
            <w:tcW w:w="754" w:type="dxa"/>
            <w:vAlign w:val="center"/>
          </w:tcPr>
          <w:p w14:paraId="2F72835D"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091BF3E9" w14:textId="77777777">
        <w:tc>
          <w:tcPr>
            <w:tcW w:w="928" w:type="dxa"/>
            <w:vMerge/>
            <w:tcBorders>
              <w:bottom w:val="double" w:sz="4" w:space="0" w:color="auto"/>
              <w:right w:val="double" w:sz="4" w:space="0" w:color="auto"/>
            </w:tcBorders>
            <w:vAlign w:val="center"/>
          </w:tcPr>
          <w:p w14:paraId="760AEF28"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tcPr>
          <w:p w14:paraId="1C85C958" w14:textId="77777777" w:rsidR="00300C42" w:rsidRPr="001817C7" w:rsidRDefault="00300C42">
            <w:pPr>
              <w:spacing w:before="40" w:after="40"/>
              <w:jc w:val="center"/>
              <w:rPr>
                <w:sz w:val="20"/>
                <w:szCs w:val="20"/>
              </w:rPr>
            </w:pPr>
            <w:r w:rsidRPr="001817C7">
              <w:rPr>
                <w:rFonts w:cs="Arial"/>
                <w:sz w:val="20"/>
                <w:szCs w:val="20"/>
              </w:rPr>
              <w:t>32</w:t>
            </w:r>
          </w:p>
        </w:tc>
        <w:tc>
          <w:tcPr>
            <w:tcW w:w="752" w:type="dxa"/>
            <w:tcBorders>
              <w:bottom w:val="double" w:sz="4" w:space="0" w:color="auto"/>
            </w:tcBorders>
          </w:tcPr>
          <w:p w14:paraId="5389F987"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right w:val="double" w:sz="4" w:space="0" w:color="auto"/>
            </w:tcBorders>
            <w:vAlign w:val="center"/>
          </w:tcPr>
          <w:p w14:paraId="6F369199" w14:textId="77777777" w:rsidR="00300C42" w:rsidRPr="001817C7" w:rsidRDefault="00300C42">
            <w:pPr>
              <w:spacing w:before="40" w:after="40"/>
              <w:jc w:val="center"/>
              <w:rPr>
                <w:sz w:val="20"/>
                <w:szCs w:val="20"/>
              </w:rPr>
            </w:pPr>
            <w:r w:rsidRPr="001817C7">
              <w:rPr>
                <w:rFonts w:cs="Arial"/>
                <w:sz w:val="20"/>
                <w:szCs w:val="20"/>
              </w:rPr>
              <w:t>1.60</w:t>
            </w:r>
          </w:p>
        </w:tc>
        <w:tc>
          <w:tcPr>
            <w:tcW w:w="753" w:type="dxa"/>
            <w:tcBorders>
              <w:left w:val="double" w:sz="4" w:space="0" w:color="auto"/>
              <w:bottom w:val="double" w:sz="4" w:space="0" w:color="auto"/>
            </w:tcBorders>
            <w:vAlign w:val="center"/>
          </w:tcPr>
          <w:p w14:paraId="1B7C8775"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13654423"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2EF3A1C5"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5391DF1A" w14:textId="77777777" w:rsidR="00300C42" w:rsidRPr="001817C7"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1E28CECD" w14:textId="77777777" w:rsidR="00300C42" w:rsidRPr="001817C7"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1E924699"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vAlign w:val="center"/>
          </w:tcPr>
          <w:p w14:paraId="6CAB10EE"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79B560E2" w14:textId="77777777" w:rsidR="00300C42" w:rsidRPr="001817C7" w:rsidRDefault="00300C42">
            <w:pPr>
              <w:spacing w:before="40" w:after="40"/>
              <w:jc w:val="center"/>
              <w:rPr>
                <w:sz w:val="20"/>
                <w:szCs w:val="20"/>
              </w:rPr>
            </w:pPr>
          </w:p>
        </w:tc>
        <w:tc>
          <w:tcPr>
            <w:tcW w:w="754" w:type="dxa"/>
            <w:tcBorders>
              <w:bottom w:val="double" w:sz="4" w:space="0" w:color="auto"/>
            </w:tcBorders>
            <w:vAlign w:val="center"/>
          </w:tcPr>
          <w:p w14:paraId="3E52C9FE"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6D294B57" w14:textId="77777777">
        <w:tc>
          <w:tcPr>
            <w:tcW w:w="928" w:type="dxa"/>
            <w:vMerge w:val="restart"/>
            <w:tcBorders>
              <w:top w:val="double" w:sz="4" w:space="0" w:color="auto"/>
              <w:right w:val="double" w:sz="4" w:space="0" w:color="auto"/>
            </w:tcBorders>
            <w:vAlign w:val="center"/>
          </w:tcPr>
          <w:p w14:paraId="1068F4EF" w14:textId="77777777" w:rsidR="00300C42" w:rsidRPr="001817C7" w:rsidRDefault="00300C42">
            <w:pPr>
              <w:spacing w:before="40" w:after="40"/>
              <w:jc w:val="center"/>
              <w:rPr>
                <w:sz w:val="20"/>
                <w:szCs w:val="20"/>
              </w:rPr>
            </w:pPr>
            <w:r w:rsidRPr="001817C7">
              <w:rPr>
                <w:sz w:val="20"/>
                <w:szCs w:val="20"/>
              </w:rPr>
              <w:t>64</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25892CA6"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1A829C25"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top w:val="double" w:sz="4" w:space="0" w:color="auto"/>
              <w:right w:val="double" w:sz="4" w:space="0" w:color="auto"/>
            </w:tcBorders>
            <w:vAlign w:val="center"/>
          </w:tcPr>
          <w:p w14:paraId="1FAD07FE" w14:textId="77777777" w:rsidR="00300C42" w:rsidRPr="001817C7" w:rsidRDefault="00300C42">
            <w:pPr>
              <w:spacing w:before="40" w:after="40"/>
              <w:jc w:val="center"/>
              <w:rPr>
                <w:sz w:val="20"/>
                <w:szCs w:val="20"/>
              </w:rPr>
            </w:pPr>
            <w:r w:rsidRPr="001817C7">
              <w:rPr>
                <w:rFonts w:cs="Arial"/>
                <w:sz w:val="20"/>
                <w:szCs w:val="20"/>
              </w:rPr>
              <w:t>0.68</w:t>
            </w:r>
          </w:p>
        </w:tc>
        <w:tc>
          <w:tcPr>
            <w:tcW w:w="753" w:type="dxa"/>
            <w:tcBorders>
              <w:top w:val="double" w:sz="4" w:space="0" w:color="auto"/>
              <w:left w:val="double" w:sz="4" w:space="0" w:color="auto"/>
            </w:tcBorders>
            <w:vAlign w:val="center"/>
          </w:tcPr>
          <w:p w14:paraId="4C1858DD"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5D15FBF6"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top w:val="double" w:sz="4" w:space="0" w:color="auto"/>
              <w:right w:val="double" w:sz="4" w:space="0" w:color="auto"/>
            </w:tcBorders>
            <w:vAlign w:val="center"/>
          </w:tcPr>
          <w:p w14:paraId="2F6FF8DD" w14:textId="77777777" w:rsidR="00300C42" w:rsidRPr="001817C7" w:rsidRDefault="00300C42">
            <w:pPr>
              <w:spacing w:before="40" w:after="40"/>
              <w:jc w:val="center"/>
              <w:rPr>
                <w:sz w:val="20"/>
                <w:szCs w:val="20"/>
              </w:rPr>
            </w:pPr>
            <w:r w:rsidRPr="001817C7">
              <w:rPr>
                <w:rFonts w:cs="Arial"/>
                <w:sz w:val="20"/>
                <w:szCs w:val="20"/>
              </w:rPr>
              <w:t>0.66</w:t>
            </w:r>
          </w:p>
        </w:tc>
        <w:tc>
          <w:tcPr>
            <w:tcW w:w="752" w:type="dxa"/>
            <w:tcBorders>
              <w:top w:val="double" w:sz="4" w:space="0" w:color="auto"/>
              <w:right w:val="single" w:sz="4" w:space="0" w:color="auto"/>
            </w:tcBorders>
            <w:vAlign w:val="center"/>
          </w:tcPr>
          <w:p w14:paraId="75AB10B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3EAD6C43"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top w:val="double" w:sz="4" w:space="0" w:color="auto"/>
              <w:left w:val="single" w:sz="4" w:space="0" w:color="auto"/>
              <w:right w:val="double" w:sz="4" w:space="0" w:color="auto"/>
            </w:tcBorders>
            <w:vAlign w:val="center"/>
          </w:tcPr>
          <w:p w14:paraId="1E1F2547" w14:textId="77777777" w:rsidR="00300C42" w:rsidRPr="001817C7" w:rsidRDefault="00300C42">
            <w:pPr>
              <w:spacing w:before="40" w:after="40"/>
              <w:jc w:val="center"/>
              <w:rPr>
                <w:rFonts w:cs="Arial"/>
                <w:sz w:val="20"/>
                <w:szCs w:val="20"/>
              </w:rPr>
            </w:pPr>
            <w:r w:rsidRPr="001817C7">
              <w:rPr>
                <w:sz w:val="20"/>
                <w:szCs w:val="20"/>
              </w:rPr>
              <w:t>0.68</w:t>
            </w:r>
          </w:p>
        </w:tc>
        <w:tc>
          <w:tcPr>
            <w:tcW w:w="753" w:type="dxa"/>
            <w:tcBorders>
              <w:top w:val="double" w:sz="4" w:space="0" w:color="auto"/>
              <w:left w:val="double" w:sz="4" w:space="0" w:color="auto"/>
            </w:tcBorders>
            <w:vAlign w:val="center"/>
          </w:tcPr>
          <w:p w14:paraId="2BE5CD97"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2A0CE78F" w14:textId="77777777" w:rsidR="00300C42" w:rsidRPr="001817C7" w:rsidRDefault="00300C42">
            <w:pPr>
              <w:spacing w:before="40" w:after="40"/>
              <w:jc w:val="center"/>
              <w:rPr>
                <w:sz w:val="20"/>
                <w:szCs w:val="20"/>
              </w:rPr>
            </w:pPr>
            <w:r w:rsidRPr="001817C7">
              <w:rPr>
                <w:rFonts w:cs="Arial"/>
                <w:sz w:val="20"/>
                <w:szCs w:val="20"/>
              </w:rPr>
              <w:t>64</w:t>
            </w:r>
          </w:p>
        </w:tc>
        <w:tc>
          <w:tcPr>
            <w:tcW w:w="754" w:type="dxa"/>
            <w:tcBorders>
              <w:top w:val="double" w:sz="4" w:space="0" w:color="auto"/>
            </w:tcBorders>
            <w:vAlign w:val="center"/>
          </w:tcPr>
          <w:p w14:paraId="4C1C1A49" w14:textId="77777777" w:rsidR="00300C42" w:rsidRPr="001817C7" w:rsidRDefault="00300C42">
            <w:pPr>
              <w:spacing w:before="40" w:after="40"/>
              <w:jc w:val="center"/>
              <w:rPr>
                <w:sz w:val="20"/>
                <w:szCs w:val="20"/>
              </w:rPr>
            </w:pPr>
            <w:r w:rsidRPr="001817C7">
              <w:rPr>
                <w:rFonts w:cs="Arial"/>
                <w:sz w:val="20"/>
                <w:szCs w:val="20"/>
              </w:rPr>
              <w:t>0.52</w:t>
            </w:r>
          </w:p>
        </w:tc>
      </w:tr>
      <w:tr w:rsidR="001817C7" w:rsidRPr="001817C7" w14:paraId="70B6EB00" w14:textId="77777777">
        <w:tc>
          <w:tcPr>
            <w:tcW w:w="928" w:type="dxa"/>
            <w:vMerge/>
            <w:tcBorders>
              <w:right w:val="double" w:sz="4" w:space="0" w:color="auto"/>
            </w:tcBorders>
            <w:vAlign w:val="center"/>
          </w:tcPr>
          <w:p w14:paraId="643C4D3A"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786B9763"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529BB1B1"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39FCAF8A" w14:textId="77777777" w:rsidR="00300C42" w:rsidRPr="001817C7" w:rsidRDefault="00300C42">
            <w:pPr>
              <w:spacing w:before="40" w:after="40"/>
              <w:jc w:val="center"/>
              <w:rPr>
                <w:sz w:val="20"/>
                <w:szCs w:val="20"/>
              </w:rPr>
            </w:pPr>
            <w:r w:rsidRPr="001817C7">
              <w:rPr>
                <w:rFonts w:cs="Arial"/>
                <w:sz w:val="20"/>
                <w:szCs w:val="20"/>
              </w:rPr>
              <w:t>0.64</w:t>
            </w:r>
          </w:p>
        </w:tc>
        <w:tc>
          <w:tcPr>
            <w:tcW w:w="753" w:type="dxa"/>
            <w:tcBorders>
              <w:left w:val="double" w:sz="4" w:space="0" w:color="auto"/>
            </w:tcBorders>
            <w:vAlign w:val="center"/>
          </w:tcPr>
          <w:p w14:paraId="2DE70B9D"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13B54EA5"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2D96C3CB" w14:textId="77777777" w:rsidR="00300C42" w:rsidRPr="001817C7" w:rsidRDefault="00300C42">
            <w:pPr>
              <w:spacing w:before="40" w:after="40"/>
              <w:jc w:val="center"/>
              <w:rPr>
                <w:sz w:val="20"/>
                <w:szCs w:val="20"/>
              </w:rPr>
            </w:pPr>
            <w:r w:rsidRPr="001817C7">
              <w:rPr>
                <w:rFonts w:cs="Arial"/>
                <w:sz w:val="20"/>
                <w:szCs w:val="20"/>
              </w:rPr>
              <w:t>0.69</w:t>
            </w:r>
          </w:p>
        </w:tc>
        <w:tc>
          <w:tcPr>
            <w:tcW w:w="752" w:type="dxa"/>
            <w:tcBorders>
              <w:right w:val="single" w:sz="4" w:space="0" w:color="auto"/>
            </w:tcBorders>
            <w:vAlign w:val="center"/>
          </w:tcPr>
          <w:p w14:paraId="0BE210E6"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7AAF0C56"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left w:val="single" w:sz="4" w:space="0" w:color="auto"/>
              <w:right w:val="double" w:sz="4" w:space="0" w:color="auto"/>
            </w:tcBorders>
            <w:vAlign w:val="center"/>
          </w:tcPr>
          <w:p w14:paraId="287935B5" w14:textId="77777777" w:rsidR="00300C42" w:rsidRPr="001817C7" w:rsidRDefault="00300C42">
            <w:pPr>
              <w:spacing w:before="40" w:after="40"/>
              <w:jc w:val="center"/>
              <w:rPr>
                <w:rFonts w:cs="Arial"/>
                <w:sz w:val="20"/>
                <w:szCs w:val="20"/>
              </w:rPr>
            </w:pPr>
            <w:r w:rsidRPr="001817C7">
              <w:rPr>
                <w:sz w:val="20"/>
                <w:szCs w:val="20"/>
              </w:rPr>
              <w:t>0.70</w:t>
            </w:r>
          </w:p>
        </w:tc>
        <w:tc>
          <w:tcPr>
            <w:tcW w:w="753" w:type="dxa"/>
            <w:tcBorders>
              <w:left w:val="double" w:sz="4" w:space="0" w:color="auto"/>
            </w:tcBorders>
            <w:vAlign w:val="center"/>
          </w:tcPr>
          <w:p w14:paraId="4D0E1AF9"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312DA178" w14:textId="77777777" w:rsidR="00300C42" w:rsidRPr="001817C7" w:rsidRDefault="00300C42">
            <w:pPr>
              <w:spacing w:before="40" w:after="40"/>
              <w:jc w:val="center"/>
              <w:rPr>
                <w:sz w:val="20"/>
                <w:szCs w:val="20"/>
              </w:rPr>
            </w:pPr>
            <w:r w:rsidRPr="001817C7">
              <w:rPr>
                <w:rFonts w:cs="Arial"/>
                <w:sz w:val="20"/>
                <w:szCs w:val="20"/>
              </w:rPr>
              <w:t>64</w:t>
            </w:r>
          </w:p>
        </w:tc>
        <w:tc>
          <w:tcPr>
            <w:tcW w:w="754" w:type="dxa"/>
            <w:vAlign w:val="center"/>
          </w:tcPr>
          <w:p w14:paraId="3E98385C" w14:textId="77777777" w:rsidR="00300C42" w:rsidRPr="001817C7" w:rsidRDefault="00300C42">
            <w:pPr>
              <w:spacing w:before="40" w:after="40"/>
              <w:jc w:val="center"/>
              <w:rPr>
                <w:sz w:val="20"/>
                <w:szCs w:val="20"/>
              </w:rPr>
            </w:pPr>
            <w:r w:rsidRPr="001817C7">
              <w:rPr>
                <w:rFonts w:cs="Arial"/>
                <w:sz w:val="20"/>
                <w:szCs w:val="20"/>
              </w:rPr>
              <w:t>0.57</w:t>
            </w:r>
          </w:p>
        </w:tc>
      </w:tr>
      <w:tr w:rsidR="001817C7" w:rsidRPr="001817C7" w14:paraId="521971E8" w14:textId="77777777">
        <w:tc>
          <w:tcPr>
            <w:tcW w:w="928" w:type="dxa"/>
            <w:vMerge/>
            <w:tcBorders>
              <w:right w:val="double" w:sz="4" w:space="0" w:color="auto"/>
            </w:tcBorders>
            <w:vAlign w:val="center"/>
          </w:tcPr>
          <w:p w14:paraId="34624714"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394D8948" w14:textId="77777777" w:rsidR="00300C42" w:rsidRPr="001817C7" w:rsidRDefault="00300C42">
            <w:pPr>
              <w:spacing w:before="40" w:after="40"/>
              <w:jc w:val="center"/>
              <w:rPr>
                <w:sz w:val="20"/>
                <w:szCs w:val="20"/>
              </w:rPr>
            </w:pPr>
            <w:r w:rsidRPr="001817C7">
              <w:rPr>
                <w:rFonts w:cs="Arial"/>
                <w:sz w:val="20"/>
                <w:szCs w:val="20"/>
              </w:rPr>
              <w:t>64</w:t>
            </w:r>
          </w:p>
        </w:tc>
        <w:tc>
          <w:tcPr>
            <w:tcW w:w="752" w:type="dxa"/>
            <w:vAlign w:val="center"/>
          </w:tcPr>
          <w:p w14:paraId="6E985FC7"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669F4037" w14:textId="77777777" w:rsidR="00300C42" w:rsidRPr="001817C7" w:rsidRDefault="00300C42">
            <w:pPr>
              <w:spacing w:before="40" w:after="40"/>
              <w:jc w:val="center"/>
              <w:rPr>
                <w:sz w:val="20"/>
                <w:szCs w:val="20"/>
              </w:rPr>
            </w:pPr>
            <w:r w:rsidRPr="001817C7">
              <w:rPr>
                <w:rFonts w:cs="Arial"/>
                <w:sz w:val="20"/>
                <w:szCs w:val="20"/>
              </w:rPr>
              <w:t>0.70</w:t>
            </w:r>
          </w:p>
        </w:tc>
        <w:tc>
          <w:tcPr>
            <w:tcW w:w="753" w:type="dxa"/>
            <w:tcBorders>
              <w:left w:val="double" w:sz="4" w:space="0" w:color="auto"/>
            </w:tcBorders>
            <w:vAlign w:val="center"/>
          </w:tcPr>
          <w:p w14:paraId="066F5F9E"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79B3D782"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035F8F64" w14:textId="77777777" w:rsidR="00300C42" w:rsidRPr="001817C7" w:rsidRDefault="00300C42">
            <w:pPr>
              <w:spacing w:before="40" w:after="40"/>
              <w:jc w:val="center"/>
              <w:rPr>
                <w:sz w:val="20"/>
                <w:szCs w:val="20"/>
              </w:rPr>
            </w:pPr>
            <w:r w:rsidRPr="001817C7">
              <w:rPr>
                <w:rFonts w:cs="Arial"/>
                <w:sz w:val="20"/>
                <w:szCs w:val="20"/>
              </w:rPr>
              <w:t>0.84</w:t>
            </w:r>
          </w:p>
        </w:tc>
        <w:tc>
          <w:tcPr>
            <w:tcW w:w="752" w:type="dxa"/>
            <w:tcBorders>
              <w:right w:val="single" w:sz="4" w:space="0" w:color="auto"/>
            </w:tcBorders>
            <w:vAlign w:val="center"/>
          </w:tcPr>
          <w:p w14:paraId="040C97DE"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tcBorders>
              <w:left w:val="single" w:sz="4" w:space="0" w:color="auto"/>
              <w:right w:val="single" w:sz="4" w:space="0" w:color="auto"/>
            </w:tcBorders>
            <w:vAlign w:val="center"/>
          </w:tcPr>
          <w:p w14:paraId="722ADD63"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left w:val="single" w:sz="4" w:space="0" w:color="auto"/>
              <w:right w:val="double" w:sz="4" w:space="0" w:color="auto"/>
            </w:tcBorders>
            <w:vAlign w:val="center"/>
          </w:tcPr>
          <w:p w14:paraId="717C1294" w14:textId="77777777" w:rsidR="00300C42" w:rsidRPr="001817C7" w:rsidRDefault="00300C42">
            <w:pPr>
              <w:spacing w:before="40" w:after="40"/>
              <w:jc w:val="center"/>
              <w:rPr>
                <w:rFonts w:cs="Arial"/>
                <w:sz w:val="20"/>
                <w:szCs w:val="20"/>
              </w:rPr>
            </w:pPr>
            <w:r w:rsidRPr="001817C7">
              <w:rPr>
                <w:sz w:val="20"/>
                <w:szCs w:val="20"/>
              </w:rPr>
              <w:t>0.84</w:t>
            </w:r>
          </w:p>
        </w:tc>
        <w:tc>
          <w:tcPr>
            <w:tcW w:w="753" w:type="dxa"/>
            <w:tcBorders>
              <w:left w:val="double" w:sz="4" w:space="0" w:color="auto"/>
            </w:tcBorders>
            <w:vAlign w:val="center"/>
          </w:tcPr>
          <w:p w14:paraId="3FE19C18"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4D2E26F3" w14:textId="77777777" w:rsidR="00300C42" w:rsidRPr="001817C7" w:rsidRDefault="00300C42">
            <w:pPr>
              <w:spacing w:before="40" w:after="40"/>
              <w:jc w:val="center"/>
              <w:rPr>
                <w:sz w:val="20"/>
                <w:szCs w:val="20"/>
              </w:rPr>
            </w:pPr>
            <w:r w:rsidRPr="001817C7">
              <w:rPr>
                <w:rFonts w:cs="Arial"/>
                <w:sz w:val="20"/>
                <w:szCs w:val="20"/>
              </w:rPr>
              <w:t>64</w:t>
            </w:r>
          </w:p>
        </w:tc>
        <w:tc>
          <w:tcPr>
            <w:tcW w:w="754" w:type="dxa"/>
            <w:vAlign w:val="center"/>
          </w:tcPr>
          <w:p w14:paraId="7E991722" w14:textId="77777777" w:rsidR="00300C42" w:rsidRPr="001817C7" w:rsidRDefault="00300C42">
            <w:pPr>
              <w:spacing w:before="40" w:after="40"/>
              <w:jc w:val="center"/>
              <w:rPr>
                <w:sz w:val="20"/>
                <w:szCs w:val="20"/>
              </w:rPr>
            </w:pPr>
            <w:r w:rsidRPr="001817C7">
              <w:rPr>
                <w:rFonts w:cs="Arial"/>
                <w:sz w:val="20"/>
                <w:szCs w:val="20"/>
              </w:rPr>
              <w:t>0.71</w:t>
            </w:r>
          </w:p>
        </w:tc>
      </w:tr>
      <w:tr w:rsidR="001817C7" w:rsidRPr="001817C7" w14:paraId="79AC9A8A" w14:textId="77777777">
        <w:tc>
          <w:tcPr>
            <w:tcW w:w="928" w:type="dxa"/>
            <w:vMerge/>
            <w:tcBorders>
              <w:bottom w:val="double" w:sz="4" w:space="0" w:color="auto"/>
              <w:right w:val="double" w:sz="4" w:space="0" w:color="auto"/>
            </w:tcBorders>
            <w:vAlign w:val="center"/>
          </w:tcPr>
          <w:p w14:paraId="3533A32E"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1907E3A5" w14:textId="77777777" w:rsidR="00300C42" w:rsidRPr="001817C7" w:rsidRDefault="00300C42">
            <w:pPr>
              <w:spacing w:before="40" w:after="40"/>
              <w:jc w:val="center"/>
              <w:rPr>
                <w:sz w:val="20"/>
                <w:szCs w:val="20"/>
              </w:rPr>
            </w:pPr>
          </w:p>
        </w:tc>
        <w:tc>
          <w:tcPr>
            <w:tcW w:w="752" w:type="dxa"/>
            <w:tcBorders>
              <w:bottom w:val="double" w:sz="4" w:space="0" w:color="auto"/>
            </w:tcBorders>
            <w:vAlign w:val="center"/>
          </w:tcPr>
          <w:p w14:paraId="5EB4F2CD"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5ED395B6"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tcPr>
          <w:p w14:paraId="76234EE4"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tcBorders>
          </w:tcPr>
          <w:p w14:paraId="4396709F"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right w:val="double" w:sz="4" w:space="0" w:color="auto"/>
            </w:tcBorders>
            <w:vAlign w:val="center"/>
          </w:tcPr>
          <w:p w14:paraId="7D6B5DE6" w14:textId="77777777" w:rsidR="00300C42" w:rsidRPr="001817C7" w:rsidRDefault="00300C42">
            <w:pPr>
              <w:spacing w:before="40" w:after="40"/>
              <w:jc w:val="center"/>
              <w:rPr>
                <w:sz w:val="20"/>
                <w:szCs w:val="20"/>
              </w:rPr>
            </w:pPr>
            <w:r w:rsidRPr="001817C7">
              <w:rPr>
                <w:rFonts w:cs="Arial"/>
                <w:sz w:val="20"/>
                <w:szCs w:val="20"/>
              </w:rPr>
              <w:t>1.80</w:t>
            </w:r>
          </w:p>
        </w:tc>
        <w:tc>
          <w:tcPr>
            <w:tcW w:w="752" w:type="dxa"/>
            <w:tcBorders>
              <w:bottom w:val="double" w:sz="4" w:space="0" w:color="auto"/>
              <w:right w:val="single" w:sz="4" w:space="0" w:color="auto"/>
            </w:tcBorders>
          </w:tcPr>
          <w:p w14:paraId="1AFE2E1A"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3" w:type="dxa"/>
            <w:tcBorders>
              <w:left w:val="single" w:sz="4" w:space="0" w:color="auto"/>
              <w:bottom w:val="double" w:sz="4" w:space="0" w:color="auto"/>
              <w:right w:val="single" w:sz="4" w:space="0" w:color="auto"/>
            </w:tcBorders>
          </w:tcPr>
          <w:p w14:paraId="243B6481"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left w:val="single" w:sz="4" w:space="0" w:color="auto"/>
              <w:bottom w:val="double" w:sz="4" w:space="0" w:color="auto"/>
              <w:right w:val="double" w:sz="4" w:space="0" w:color="auto"/>
            </w:tcBorders>
            <w:vAlign w:val="center"/>
          </w:tcPr>
          <w:p w14:paraId="158B602A" w14:textId="77777777" w:rsidR="00300C42" w:rsidRPr="001817C7" w:rsidRDefault="00300C42">
            <w:pPr>
              <w:spacing w:before="40" w:after="40"/>
              <w:jc w:val="center"/>
              <w:rPr>
                <w:rFonts w:cs="Arial"/>
                <w:sz w:val="20"/>
                <w:szCs w:val="20"/>
              </w:rPr>
            </w:pPr>
            <w:r w:rsidRPr="001817C7">
              <w:rPr>
                <w:sz w:val="20"/>
                <w:szCs w:val="20"/>
              </w:rPr>
              <w:t>1.81</w:t>
            </w:r>
          </w:p>
        </w:tc>
        <w:tc>
          <w:tcPr>
            <w:tcW w:w="753" w:type="dxa"/>
            <w:tcBorders>
              <w:left w:val="double" w:sz="4" w:space="0" w:color="auto"/>
              <w:bottom w:val="double" w:sz="4" w:space="0" w:color="auto"/>
            </w:tcBorders>
            <w:vAlign w:val="center"/>
          </w:tcPr>
          <w:p w14:paraId="1EF4E0AF" w14:textId="77777777" w:rsidR="00300C42" w:rsidRPr="001817C7" w:rsidRDefault="00300C42">
            <w:pPr>
              <w:spacing w:before="40" w:after="40"/>
              <w:jc w:val="center"/>
              <w:rPr>
                <w:rFonts w:cs="Arial"/>
                <w:sz w:val="20"/>
                <w:szCs w:val="20"/>
              </w:rPr>
            </w:pPr>
          </w:p>
        </w:tc>
        <w:tc>
          <w:tcPr>
            <w:tcW w:w="753" w:type="dxa"/>
            <w:tcBorders>
              <w:bottom w:val="double" w:sz="4" w:space="0" w:color="auto"/>
            </w:tcBorders>
            <w:vAlign w:val="center"/>
          </w:tcPr>
          <w:p w14:paraId="335C609B" w14:textId="77777777" w:rsidR="00300C42" w:rsidRPr="001817C7" w:rsidRDefault="00300C42">
            <w:pPr>
              <w:spacing w:before="40" w:after="40"/>
              <w:jc w:val="center"/>
              <w:rPr>
                <w:rFonts w:cs="Arial"/>
                <w:sz w:val="20"/>
                <w:szCs w:val="20"/>
              </w:rPr>
            </w:pPr>
          </w:p>
        </w:tc>
        <w:tc>
          <w:tcPr>
            <w:tcW w:w="754" w:type="dxa"/>
            <w:tcBorders>
              <w:bottom w:val="double" w:sz="4" w:space="0" w:color="auto"/>
            </w:tcBorders>
            <w:vAlign w:val="center"/>
          </w:tcPr>
          <w:p w14:paraId="79F2FBA3"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5656A337" w14:textId="77777777">
        <w:tc>
          <w:tcPr>
            <w:tcW w:w="928" w:type="dxa"/>
            <w:vMerge w:val="restart"/>
            <w:tcBorders>
              <w:top w:val="double" w:sz="4" w:space="0" w:color="auto"/>
              <w:right w:val="double" w:sz="4" w:space="0" w:color="auto"/>
            </w:tcBorders>
            <w:vAlign w:val="center"/>
          </w:tcPr>
          <w:p w14:paraId="6DB1A9EC" w14:textId="77777777" w:rsidR="00300C42" w:rsidRPr="001817C7" w:rsidRDefault="00300C42">
            <w:pPr>
              <w:spacing w:before="40" w:after="40"/>
              <w:jc w:val="center"/>
              <w:rPr>
                <w:sz w:val="20"/>
                <w:szCs w:val="20"/>
              </w:rPr>
            </w:pPr>
            <w:r w:rsidRPr="001817C7">
              <w:rPr>
                <w:sz w:val="20"/>
                <w:szCs w:val="20"/>
              </w:rPr>
              <w:t xml:space="preserve">(36 or 32) </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53D0C46F"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0B0CC05A"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top w:val="double" w:sz="4" w:space="0" w:color="auto"/>
              <w:right w:val="double" w:sz="4" w:space="0" w:color="auto"/>
            </w:tcBorders>
            <w:vAlign w:val="center"/>
          </w:tcPr>
          <w:p w14:paraId="033BF100" w14:textId="77777777" w:rsidR="00300C42" w:rsidRPr="001817C7" w:rsidRDefault="00300C42">
            <w:pPr>
              <w:spacing w:before="40" w:after="40"/>
              <w:jc w:val="center"/>
              <w:rPr>
                <w:sz w:val="20"/>
                <w:szCs w:val="20"/>
              </w:rPr>
            </w:pPr>
            <w:r w:rsidRPr="001817C7">
              <w:rPr>
                <w:rFonts w:cs="Arial"/>
                <w:sz w:val="20"/>
                <w:szCs w:val="20"/>
              </w:rPr>
              <w:t>0.82</w:t>
            </w:r>
          </w:p>
        </w:tc>
        <w:tc>
          <w:tcPr>
            <w:tcW w:w="753" w:type="dxa"/>
            <w:tcBorders>
              <w:top w:val="double" w:sz="4" w:space="0" w:color="auto"/>
              <w:left w:val="double" w:sz="4" w:space="0" w:color="auto"/>
            </w:tcBorders>
            <w:vAlign w:val="center"/>
          </w:tcPr>
          <w:p w14:paraId="2D99383C"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A0F2838"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top w:val="double" w:sz="4" w:space="0" w:color="auto"/>
              <w:right w:val="double" w:sz="4" w:space="0" w:color="auto"/>
            </w:tcBorders>
            <w:vAlign w:val="center"/>
          </w:tcPr>
          <w:p w14:paraId="6286D5B1" w14:textId="77777777" w:rsidR="00300C42" w:rsidRPr="001817C7" w:rsidRDefault="00300C42">
            <w:pPr>
              <w:spacing w:before="40" w:after="40"/>
              <w:jc w:val="center"/>
              <w:rPr>
                <w:sz w:val="20"/>
                <w:szCs w:val="20"/>
              </w:rPr>
            </w:pPr>
            <w:r w:rsidRPr="001817C7">
              <w:rPr>
                <w:rFonts w:cs="Arial"/>
                <w:sz w:val="20"/>
                <w:szCs w:val="20"/>
              </w:rPr>
              <w:t>0.80</w:t>
            </w:r>
          </w:p>
        </w:tc>
        <w:tc>
          <w:tcPr>
            <w:tcW w:w="752" w:type="dxa"/>
            <w:tcBorders>
              <w:top w:val="double" w:sz="4" w:space="0" w:color="auto"/>
              <w:right w:val="single" w:sz="4" w:space="0" w:color="auto"/>
            </w:tcBorders>
            <w:vAlign w:val="center"/>
          </w:tcPr>
          <w:p w14:paraId="69C0CFF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24F77A25" w14:textId="77777777" w:rsidR="00300C42" w:rsidRPr="001817C7" w:rsidRDefault="00300C42">
            <w:pPr>
              <w:spacing w:before="40" w:after="40"/>
              <w:jc w:val="center"/>
              <w:rPr>
                <w:rFonts w:cs="Arial"/>
                <w:sz w:val="20"/>
                <w:szCs w:val="20"/>
              </w:rPr>
            </w:pPr>
            <w:r w:rsidRPr="001817C7">
              <w:rPr>
                <w:rFonts w:cs="Arial"/>
                <w:sz w:val="20"/>
                <w:szCs w:val="20"/>
              </w:rPr>
              <w:t>16</w:t>
            </w:r>
          </w:p>
        </w:tc>
        <w:tc>
          <w:tcPr>
            <w:tcW w:w="754" w:type="dxa"/>
            <w:tcBorders>
              <w:top w:val="double" w:sz="4" w:space="0" w:color="auto"/>
              <w:left w:val="single" w:sz="4" w:space="0" w:color="auto"/>
              <w:right w:val="double" w:sz="4" w:space="0" w:color="auto"/>
            </w:tcBorders>
            <w:vAlign w:val="center"/>
          </w:tcPr>
          <w:p w14:paraId="4515AC7E" w14:textId="77777777" w:rsidR="00300C42" w:rsidRPr="001817C7" w:rsidRDefault="00300C42">
            <w:pPr>
              <w:spacing w:before="40" w:after="40"/>
              <w:jc w:val="center"/>
              <w:rPr>
                <w:rFonts w:cs="Arial"/>
                <w:sz w:val="20"/>
                <w:szCs w:val="20"/>
              </w:rPr>
            </w:pPr>
            <w:r w:rsidRPr="001817C7">
              <w:rPr>
                <w:sz w:val="20"/>
                <w:szCs w:val="20"/>
              </w:rPr>
              <w:t>0.85</w:t>
            </w:r>
          </w:p>
        </w:tc>
        <w:tc>
          <w:tcPr>
            <w:tcW w:w="753" w:type="dxa"/>
            <w:tcBorders>
              <w:top w:val="double" w:sz="4" w:space="0" w:color="auto"/>
              <w:left w:val="double" w:sz="4" w:space="0" w:color="auto"/>
            </w:tcBorders>
            <w:vAlign w:val="center"/>
          </w:tcPr>
          <w:p w14:paraId="6B872973"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3B4E0C26" w14:textId="77777777" w:rsidR="00300C42" w:rsidRPr="001817C7" w:rsidRDefault="00300C42">
            <w:pPr>
              <w:spacing w:before="40" w:after="40"/>
              <w:jc w:val="center"/>
              <w:rPr>
                <w:sz w:val="20"/>
                <w:szCs w:val="20"/>
              </w:rPr>
            </w:pPr>
            <w:r w:rsidRPr="001817C7">
              <w:rPr>
                <w:rFonts w:cs="Arial"/>
                <w:sz w:val="20"/>
                <w:szCs w:val="20"/>
              </w:rPr>
              <w:t>32</w:t>
            </w:r>
          </w:p>
        </w:tc>
        <w:tc>
          <w:tcPr>
            <w:tcW w:w="754" w:type="dxa"/>
            <w:tcBorders>
              <w:top w:val="double" w:sz="4" w:space="0" w:color="auto"/>
            </w:tcBorders>
            <w:vAlign w:val="center"/>
          </w:tcPr>
          <w:p w14:paraId="3C34F2E2" w14:textId="77777777" w:rsidR="00300C42" w:rsidRPr="001817C7" w:rsidRDefault="00300C42">
            <w:pPr>
              <w:spacing w:before="40" w:after="40"/>
              <w:jc w:val="center"/>
              <w:rPr>
                <w:sz w:val="20"/>
                <w:szCs w:val="20"/>
              </w:rPr>
            </w:pPr>
            <w:r w:rsidRPr="001817C7">
              <w:rPr>
                <w:rFonts w:cs="Arial"/>
                <w:sz w:val="20"/>
                <w:szCs w:val="20"/>
              </w:rPr>
              <w:t>0.58</w:t>
            </w:r>
          </w:p>
        </w:tc>
      </w:tr>
      <w:tr w:rsidR="001817C7" w:rsidRPr="001817C7" w14:paraId="457B22A5" w14:textId="77777777">
        <w:tc>
          <w:tcPr>
            <w:tcW w:w="928" w:type="dxa"/>
            <w:vMerge/>
            <w:tcBorders>
              <w:right w:val="double" w:sz="4" w:space="0" w:color="auto"/>
            </w:tcBorders>
            <w:vAlign w:val="center"/>
          </w:tcPr>
          <w:p w14:paraId="54C04A06"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6FE4A83C"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321700C1"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right w:val="double" w:sz="4" w:space="0" w:color="auto"/>
            </w:tcBorders>
            <w:vAlign w:val="center"/>
          </w:tcPr>
          <w:p w14:paraId="3784C8CD" w14:textId="77777777" w:rsidR="00300C42" w:rsidRPr="001817C7" w:rsidRDefault="00300C42">
            <w:pPr>
              <w:spacing w:before="40" w:after="40"/>
              <w:jc w:val="center"/>
              <w:rPr>
                <w:sz w:val="20"/>
                <w:szCs w:val="20"/>
              </w:rPr>
            </w:pPr>
            <w:r w:rsidRPr="001817C7">
              <w:rPr>
                <w:rFonts w:cs="Arial"/>
                <w:sz w:val="20"/>
                <w:szCs w:val="20"/>
              </w:rPr>
              <w:t>0.82</w:t>
            </w:r>
          </w:p>
        </w:tc>
        <w:tc>
          <w:tcPr>
            <w:tcW w:w="753" w:type="dxa"/>
            <w:tcBorders>
              <w:left w:val="double" w:sz="4" w:space="0" w:color="auto"/>
            </w:tcBorders>
            <w:vAlign w:val="center"/>
          </w:tcPr>
          <w:p w14:paraId="7C182E65"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46B8D54C"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3BDBA125" w14:textId="77777777" w:rsidR="00300C42" w:rsidRPr="001817C7" w:rsidRDefault="00300C42">
            <w:pPr>
              <w:spacing w:before="40" w:after="40"/>
              <w:jc w:val="center"/>
              <w:rPr>
                <w:sz w:val="20"/>
                <w:szCs w:val="20"/>
              </w:rPr>
            </w:pPr>
            <w:r w:rsidRPr="001817C7">
              <w:rPr>
                <w:rFonts w:cs="Arial"/>
                <w:sz w:val="20"/>
                <w:szCs w:val="20"/>
              </w:rPr>
              <w:t>0.78</w:t>
            </w:r>
          </w:p>
        </w:tc>
        <w:tc>
          <w:tcPr>
            <w:tcW w:w="752" w:type="dxa"/>
            <w:tcBorders>
              <w:right w:val="single" w:sz="4" w:space="0" w:color="auto"/>
            </w:tcBorders>
            <w:vAlign w:val="center"/>
          </w:tcPr>
          <w:p w14:paraId="73C1EECA"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71F2C03A" w14:textId="77777777" w:rsidR="00300C42" w:rsidRPr="001817C7" w:rsidRDefault="00300C42">
            <w:pPr>
              <w:spacing w:before="40" w:after="40"/>
              <w:jc w:val="center"/>
              <w:rPr>
                <w:rFonts w:cs="Arial"/>
                <w:sz w:val="20"/>
                <w:szCs w:val="20"/>
              </w:rPr>
            </w:pPr>
            <w:r w:rsidRPr="001817C7">
              <w:rPr>
                <w:rFonts w:cs="Arial"/>
                <w:sz w:val="20"/>
                <w:szCs w:val="20"/>
              </w:rPr>
              <w:t>16</w:t>
            </w:r>
          </w:p>
        </w:tc>
        <w:tc>
          <w:tcPr>
            <w:tcW w:w="754" w:type="dxa"/>
            <w:tcBorders>
              <w:left w:val="single" w:sz="4" w:space="0" w:color="auto"/>
              <w:right w:val="double" w:sz="4" w:space="0" w:color="auto"/>
            </w:tcBorders>
            <w:vAlign w:val="center"/>
          </w:tcPr>
          <w:p w14:paraId="08C57339" w14:textId="77777777" w:rsidR="00300C42" w:rsidRPr="001817C7" w:rsidRDefault="00300C42">
            <w:pPr>
              <w:spacing w:before="40" w:after="40"/>
              <w:jc w:val="center"/>
              <w:rPr>
                <w:rFonts w:cs="Arial"/>
                <w:sz w:val="20"/>
                <w:szCs w:val="20"/>
              </w:rPr>
            </w:pPr>
            <w:r w:rsidRPr="001817C7">
              <w:rPr>
                <w:sz w:val="20"/>
                <w:szCs w:val="20"/>
              </w:rPr>
              <w:t>0.83</w:t>
            </w:r>
          </w:p>
        </w:tc>
        <w:tc>
          <w:tcPr>
            <w:tcW w:w="753" w:type="dxa"/>
            <w:tcBorders>
              <w:left w:val="double" w:sz="4" w:space="0" w:color="auto"/>
            </w:tcBorders>
            <w:vAlign w:val="center"/>
          </w:tcPr>
          <w:p w14:paraId="19E218D1"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11DECBDE" w14:textId="77777777" w:rsidR="00300C42" w:rsidRPr="001817C7" w:rsidRDefault="00300C42">
            <w:pPr>
              <w:spacing w:before="40" w:after="40"/>
              <w:jc w:val="center"/>
              <w:rPr>
                <w:sz w:val="20"/>
                <w:szCs w:val="20"/>
              </w:rPr>
            </w:pPr>
            <w:r w:rsidRPr="001817C7">
              <w:rPr>
                <w:rFonts w:cs="Arial"/>
                <w:sz w:val="20"/>
                <w:szCs w:val="20"/>
              </w:rPr>
              <w:t>32</w:t>
            </w:r>
          </w:p>
        </w:tc>
        <w:tc>
          <w:tcPr>
            <w:tcW w:w="754" w:type="dxa"/>
            <w:vAlign w:val="center"/>
          </w:tcPr>
          <w:p w14:paraId="2B3FB122" w14:textId="77777777" w:rsidR="00300C42" w:rsidRPr="001817C7" w:rsidRDefault="00300C42">
            <w:pPr>
              <w:spacing w:before="40" w:after="40"/>
              <w:jc w:val="center"/>
              <w:rPr>
                <w:sz w:val="20"/>
                <w:szCs w:val="20"/>
              </w:rPr>
            </w:pPr>
            <w:r w:rsidRPr="001817C7">
              <w:rPr>
                <w:rFonts w:cs="Arial"/>
                <w:sz w:val="20"/>
                <w:szCs w:val="20"/>
              </w:rPr>
              <w:t>0.59</w:t>
            </w:r>
          </w:p>
        </w:tc>
      </w:tr>
      <w:tr w:rsidR="001817C7" w:rsidRPr="001817C7" w14:paraId="2AF72F6B" w14:textId="77777777">
        <w:tc>
          <w:tcPr>
            <w:tcW w:w="928" w:type="dxa"/>
            <w:vMerge/>
            <w:tcBorders>
              <w:right w:val="double" w:sz="4" w:space="0" w:color="auto"/>
            </w:tcBorders>
            <w:vAlign w:val="center"/>
          </w:tcPr>
          <w:p w14:paraId="1FECDDC0"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5D03BF01" w14:textId="77777777" w:rsidR="00300C42" w:rsidRPr="001817C7" w:rsidRDefault="00300C42">
            <w:pPr>
              <w:spacing w:before="40" w:after="40"/>
              <w:jc w:val="center"/>
              <w:rPr>
                <w:sz w:val="20"/>
                <w:szCs w:val="20"/>
              </w:rPr>
            </w:pPr>
            <w:r w:rsidRPr="001817C7">
              <w:rPr>
                <w:rFonts w:cs="Arial"/>
                <w:sz w:val="20"/>
                <w:szCs w:val="20"/>
              </w:rPr>
              <w:t>64</w:t>
            </w:r>
          </w:p>
        </w:tc>
        <w:tc>
          <w:tcPr>
            <w:tcW w:w="752" w:type="dxa"/>
            <w:vAlign w:val="center"/>
          </w:tcPr>
          <w:p w14:paraId="73C3624D"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right w:val="double" w:sz="4" w:space="0" w:color="auto"/>
            </w:tcBorders>
            <w:vAlign w:val="center"/>
          </w:tcPr>
          <w:p w14:paraId="299F151E" w14:textId="77777777" w:rsidR="00300C42" w:rsidRPr="001817C7" w:rsidRDefault="00300C42">
            <w:pPr>
              <w:spacing w:before="40" w:after="40"/>
              <w:jc w:val="center"/>
              <w:rPr>
                <w:sz w:val="20"/>
                <w:szCs w:val="20"/>
              </w:rPr>
            </w:pPr>
            <w:r w:rsidRPr="001817C7">
              <w:rPr>
                <w:rFonts w:cs="Arial"/>
                <w:sz w:val="20"/>
                <w:szCs w:val="20"/>
              </w:rPr>
              <w:t>0.80</w:t>
            </w:r>
          </w:p>
        </w:tc>
        <w:tc>
          <w:tcPr>
            <w:tcW w:w="753" w:type="dxa"/>
            <w:tcBorders>
              <w:left w:val="double" w:sz="4" w:space="0" w:color="auto"/>
            </w:tcBorders>
            <w:vAlign w:val="center"/>
          </w:tcPr>
          <w:p w14:paraId="56F9DE2A"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4ACCC8EC"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2D44F381" w14:textId="77777777" w:rsidR="00300C42" w:rsidRPr="001817C7" w:rsidRDefault="00300C42">
            <w:pPr>
              <w:spacing w:before="40" w:after="40"/>
              <w:jc w:val="center"/>
              <w:rPr>
                <w:sz w:val="20"/>
                <w:szCs w:val="20"/>
              </w:rPr>
            </w:pPr>
            <w:r w:rsidRPr="001817C7">
              <w:rPr>
                <w:rFonts w:cs="Arial"/>
                <w:sz w:val="20"/>
                <w:szCs w:val="20"/>
              </w:rPr>
              <w:t>0.87</w:t>
            </w:r>
          </w:p>
        </w:tc>
        <w:tc>
          <w:tcPr>
            <w:tcW w:w="752" w:type="dxa"/>
            <w:tcBorders>
              <w:right w:val="single" w:sz="4" w:space="0" w:color="auto"/>
            </w:tcBorders>
            <w:vAlign w:val="center"/>
          </w:tcPr>
          <w:p w14:paraId="493E79AC"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tcBorders>
              <w:left w:val="single" w:sz="4" w:space="0" w:color="auto"/>
              <w:right w:val="single" w:sz="4" w:space="0" w:color="auto"/>
            </w:tcBorders>
            <w:vAlign w:val="center"/>
          </w:tcPr>
          <w:p w14:paraId="7CCEA534" w14:textId="77777777" w:rsidR="00300C42" w:rsidRPr="001817C7" w:rsidRDefault="00300C42">
            <w:pPr>
              <w:spacing w:before="40" w:after="40"/>
              <w:jc w:val="center"/>
              <w:rPr>
                <w:rFonts w:cs="Arial"/>
                <w:sz w:val="20"/>
                <w:szCs w:val="20"/>
              </w:rPr>
            </w:pPr>
            <w:r w:rsidRPr="001817C7">
              <w:rPr>
                <w:rFonts w:cs="Arial"/>
                <w:sz w:val="20"/>
                <w:szCs w:val="20"/>
              </w:rPr>
              <w:t>16</w:t>
            </w:r>
          </w:p>
        </w:tc>
        <w:tc>
          <w:tcPr>
            <w:tcW w:w="754" w:type="dxa"/>
            <w:tcBorders>
              <w:left w:val="single" w:sz="4" w:space="0" w:color="auto"/>
              <w:right w:val="double" w:sz="4" w:space="0" w:color="auto"/>
            </w:tcBorders>
            <w:vAlign w:val="center"/>
          </w:tcPr>
          <w:p w14:paraId="1EA4C769" w14:textId="77777777" w:rsidR="00300C42" w:rsidRPr="001817C7" w:rsidRDefault="00300C42">
            <w:pPr>
              <w:spacing w:before="40" w:after="40"/>
              <w:jc w:val="center"/>
              <w:rPr>
                <w:rFonts w:cs="Arial"/>
                <w:sz w:val="20"/>
                <w:szCs w:val="20"/>
              </w:rPr>
            </w:pPr>
            <w:r w:rsidRPr="001817C7">
              <w:rPr>
                <w:sz w:val="20"/>
                <w:szCs w:val="20"/>
              </w:rPr>
              <w:t>0.88</w:t>
            </w:r>
          </w:p>
        </w:tc>
        <w:tc>
          <w:tcPr>
            <w:tcW w:w="753" w:type="dxa"/>
            <w:tcBorders>
              <w:left w:val="double" w:sz="4" w:space="0" w:color="auto"/>
            </w:tcBorders>
            <w:vAlign w:val="center"/>
          </w:tcPr>
          <w:p w14:paraId="3282C303"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5D8028F3" w14:textId="77777777" w:rsidR="00300C42" w:rsidRPr="001817C7" w:rsidRDefault="00300C42">
            <w:pPr>
              <w:spacing w:before="40" w:after="40"/>
              <w:jc w:val="center"/>
              <w:rPr>
                <w:sz w:val="20"/>
                <w:szCs w:val="20"/>
              </w:rPr>
            </w:pPr>
            <w:r w:rsidRPr="001817C7">
              <w:rPr>
                <w:rFonts w:cs="Arial"/>
                <w:sz w:val="20"/>
                <w:szCs w:val="20"/>
              </w:rPr>
              <w:t>32</w:t>
            </w:r>
          </w:p>
        </w:tc>
        <w:tc>
          <w:tcPr>
            <w:tcW w:w="754" w:type="dxa"/>
            <w:vAlign w:val="center"/>
          </w:tcPr>
          <w:p w14:paraId="18AFCA78" w14:textId="77777777" w:rsidR="00300C42" w:rsidRPr="001817C7" w:rsidRDefault="00300C42">
            <w:pPr>
              <w:spacing w:before="40" w:after="40"/>
              <w:jc w:val="center"/>
              <w:rPr>
                <w:sz w:val="20"/>
                <w:szCs w:val="20"/>
              </w:rPr>
            </w:pPr>
            <w:r w:rsidRPr="001817C7">
              <w:rPr>
                <w:rFonts w:cs="Arial"/>
                <w:sz w:val="20"/>
                <w:szCs w:val="20"/>
              </w:rPr>
              <w:t>0.72</w:t>
            </w:r>
          </w:p>
        </w:tc>
      </w:tr>
      <w:tr w:rsidR="001817C7" w:rsidRPr="001817C7" w14:paraId="152FEFC9" w14:textId="77777777">
        <w:tc>
          <w:tcPr>
            <w:tcW w:w="928" w:type="dxa"/>
            <w:vMerge/>
            <w:tcBorders>
              <w:bottom w:val="double" w:sz="4" w:space="0" w:color="auto"/>
              <w:right w:val="double" w:sz="4" w:space="0" w:color="auto"/>
            </w:tcBorders>
            <w:vAlign w:val="center"/>
          </w:tcPr>
          <w:p w14:paraId="67E2DCD5"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53EC3BB" w14:textId="77777777" w:rsidR="00300C42" w:rsidRPr="001817C7" w:rsidRDefault="00300C42">
            <w:pPr>
              <w:spacing w:before="40" w:after="40"/>
              <w:jc w:val="center"/>
              <w:rPr>
                <w:sz w:val="20"/>
                <w:szCs w:val="20"/>
              </w:rPr>
            </w:pPr>
          </w:p>
        </w:tc>
        <w:tc>
          <w:tcPr>
            <w:tcW w:w="752" w:type="dxa"/>
            <w:tcBorders>
              <w:bottom w:val="double" w:sz="4" w:space="0" w:color="auto"/>
            </w:tcBorders>
            <w:vAlign w:val="center"/>
          </w:tcPr>
          <w:p w14:paraId="53E78312"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39C34D5" w14:textId="77777777" w:rsidR="00300C42" w:rsidRPr="001817C7"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4AA3D3C7"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0A0051A3"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4948939C"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0053A6C3" w14:textId="77777777" w:rsidR="00300C42" w:rsidRPr="001817C7" w:rsidRDefault="00300C42">
            <w:pPr>
              <w:spacing w:before="40" w:after="40"/>
              <w:jc w:val="center"/>
              <w:rPr>
                <w:rFonts w:cs="Arial"/>
                <w:sz w:val="20"/>
                <w:szCs w:val="20"/>
              </w:rPr>
            </w:pPr>
          </w:p>
        </w:tc>
        <w:tc>
          <w:tcPr>
            <w:tcW w:w="753" w:type="dxa"/>
            <w:tcBorders>
              <w:left w:val="single" w:sz="4" w:space="0" w:color="auto"/>
              <w:bottom w:val="double" w:sz="4" w:space="0" w:color="auto"/>
              <w:right w:val="single" w:sz="4" w:space="0" w:color="auto"/>
            </w:tcBorders>
            <w:vAlign w:val="center"/>
          </w:tcPr>
          <w:p w14:paraId="24312736" w14:textId="77777777" w:rsidR="00300C42" w:rsidRPr="001817C7" w:rsidRDefault="00300C42">
            <w:pPr>
              <w:spacing w:before="40" w:after="40"/>
              <w:jc w:val="center"/>
              <w:rPr>
                <w:rFonts w:cs="Arial"/>
                <w:sz w:val="20"/>
                <w:szCs w:val="20"/>
              </w:rPr>
            </w:pPr>
          </w:p>
        </w:tc>
        <w:tc>
          <w:tcPr>
            <w:tcW w:w="754" w:type="dxa"/>
            <w:tcBorders>
              <w:left w:val="single" w:sz="4" w:space="0" w:color="auto"/>
              <w:bottom w:val="double" w:sz="4" w:space="0" w:color="auto"/>
              <w:right w:val="double" w:sz="4" w:space="0" w:color="auto"/>
            </w:tcBorders>
            <w:vAlign w:val="center"/>
          </w:tcPr>
          <w:p w14:paraId="0CBA0815"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double" w:sz="4" w:space="0" w:color="auto"/>
              <w:bottom w:val="double" w:sz="4" w:space="0" w:color="auto"/>
            </w:tcBorders>
          </w:tcPr>
          <w:p w14:paraId="57D4B7BD"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tcBorders>
          </w:tcPr>
          <w:p w14:paraId="1699AAA6" w14:textId="77777777" w:rsidR="00300C42" w:rsidRPr="001817C7" w:rsidRDefault="00300C42">
            <w:pPr>
              <w:spacing w:before="40" w:after="40"/>
              <w:jc w:val="center"/>
              <w:rPr>
                <w:sz w:val="20"/>
                <w:szCs w:val="20"/>
              </w:rPr>
            </w:pPr>
            <w:r w:rsidRPr="001817C7">
              <w:rPr>
                <w:rFonts w:cs="Arial"/>
                <w:sz w:val="20"/>
                <w:szCs w:val="20"/>
              </w:rPr>
              <w:t>32</w:t>
            </w:r>
          </w:p>
        </w:tc>
        <w:tc>
          <w:tcPr>
            <w:tcW w:w="754" w:type="dxa"/>
            <w:tcBorders>
              <w:bottom w:val="double" w:sz="4" w:space="0" w:color="auto"/>
            </w:tcBorders>
            <w:vAlign w:val="center"/>
          </w:tcPr>
          <w:p w14:paraId="203465BE" w14:textId="77777777" w:rsidR="00300C42" w:rsidRPr="001817C7" w:rsidRDefault="00300C42">
            <w:pPr>
              <w:spacing w:before="40" w:after="40"/>
              <w:jc w:val="center"/>
              <w:rPr>
                <w:sz w:val="20"/>
                <w:szCs w:val="20"/>
              </w:rPr>
            </w:pPr>
            <w:r w:rsidRPr="001817C7">
              <w:rPr>
                <w:rFonts w:cs="Arial"/>
                <w:sz w:val="20"/>
                <w:szCs w:val="20"/>
              </w:rPr>
              <w:t>1.17</w:t>
            </w:r>
          </w:p>
        </w:tc>
      </w:tr>
      <w:tr w:rsidR="001817C7" w:rsidRPr="001817C7" w14:paraId="3D74B71E" w14:textId="77777777">
        <w:tc>
          <w:tcPr>
            <w:tcW w:w="928" w:type="dxa"/>
            <w:vMerge w:val="restart"/>
            <w:tcBorders>
              <w:top w:val="double" w:sz="4" w:space="0" w:color="auto"/>
              <w:right w:val="double" w:sz="4" w:space="0" w:color="auto"/>
            </w:tcBorders>
            <w:vAlign w:val="center"/>
          </w:tcPr>
          <w:p w14:paraId="6B0EA99D" w14:textId="77777777" w:rsidR="00300C42" w:rsidRPr="001817C7" w:rsidRDefault="00300C42">
            <w:pPr>
              <w:spacing w:before="40" w:after="40"/>
              <w:jc w:val="center"/>
              <w:rPr>
                <w:sz w:val="20"/>
                <w:szCs w:val="20"/>
              </w:rPr>
            </w:pPr>
            <w:r w:rsidRPr="001817C7">
              <w:rPr>
                <w:sz w:val="20"/>
                <w:szCs w:val="20"/>
              </w:rPr>
              <w:lastRenderedPageBreak/>
              <w:t xml:space="preserve">(18 or 16) </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2C8DE3B2" w14:textId="77777777" w:rsidR="00300C42" w:rsidRPr="001817C7" w:rsidRDefault="00300C42">
            <w:pPr>
              <w:spacing w:before="40" w:after="40"/>
              <w:jc w:val="center"/>
              <w:rPr>
                <w:sz w:val="20"/>
                <w:szCs w:val="20"/>
              </w:rPr>
            </w:pPr>
          </w:p>
        </w:tc>
        <w:tc>
          <w:tcPr>
            <w:tcW w:w="752" w:type="dxa"/>
            <w:tcBorders>
              <w:top w:val="double" w:sz="4" w:space="0" w:color="auto"/>
            </w:tcBorders>
            <w:vAlign w:val="center"/>
          </w:tcPr>
          <w:p w14:paraId="5A6500A6" w14:textId="77777777" w:rsidR="00300C42" w:rsidRPr="001817C7"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6FD6CA1A" w14:textId="77777777" w:rsidR="00300C42" w:rsidRPr="001817C7"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1E143392"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080B1FB7"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top w:val="double" w:sz="4" w:space="0" w:color="auto"/>
              <w:right w:val="double" w:sz="4" w:space="0" w:color="auto"/>
            </w:tcBorders>
            <w:vAlign w:val="center"/>
          </w:tcPr>
          <w:p w14:paraId="2DCC6162" w14:textId="77777777" w:rsidR="00300C42" w:rsidRPr="001817C7" w:rsidRDefault="00300C42">
            <w:pPr>
              <w:spacing w:before="40" w:after="40"/>
              <w:jc w:val="center"/>
              <w:rPr>
                <w:sz w:val="20"/>
                <w:szCs w:val="20"/>
              </w:rPr>
            </w:pPr>
            <w:r w:rsidRPr="001817C7">
              <w:rPr>
                <w:rFonts w:cs="Arial"/>
                <w:sz w:val="20"/>
                <w:szCs w:val="20"/>
              </w:rPr>
              <w:t>0.97</w:t>
            </w:r>
          </w:p>
        </w:tc>
        <w:tc>
          <w:tcPr>
            <w:tcW w:w="752" w:type="dxa"/>
            <w:tcBorders>
              <w:top w:val="double" w:sz="4" w:space="0" w:color="auto"/>
              <w:right w:val="single" w:sz="4" w:space="0" w:color="auto"/>
            </w:tcBorders>
            <w:vAlign w:val="center"/>
          </w:tcPr>
          <w:p w14:paraId="14C0C565"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42617089"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tcBorders>
              <w:top w:val="double" w:sz="4" w:space="0" w:color="auto"/>
              <w:left w:val="single" w:sz="4" w:space="0" w:color="auto"/>
              <w:right w:val="double" w:sz="4" w:space="0" w:color="auto"/>
            </w:tcBorders>
            <w:vAlign w:val="center"/>
          </w:tcPr>
          <w:p w14:paraId="2F26FE21" w14:textId="77777777" w:rsidR="00300C42" w:rsidRPr="001817C7" w:rsidRDefault="00300C42">
            <w:pPr>
              <w:spacing w:before="40" w:after="40"/>
              <w:jc w:val="center"/>
              <w:rPr>
                <w:rFonts w:cs="Arial"/>
                <w:sz w:val="20"/>
                <w:szCs w:val="20"/>
              </w:rPr>
            </w:pPr>
            <w:r w:rsidRPr="001817C7">
              <w:rPr>
                <w:sz w:val="20"/>
                <w:szCs w:val="20"/>
              </w:rPr>
              <w:t>1.01</w:t>
            </w:r>
          </w:p>
        </w:tc>
        <w:tc>
          <w:tcPr>
            <w:tcW w:w="753" w:type="dxa"/>
            <w:tcBorders>
              <w:top w:val="double" w:sz="4" w:space="0" w:color="auto"/>
              <w:left w:val="double" w:sz="4" w:space="0" w:color="auto"/>
            </w:tcBorders>
            <w:vAlign w:val="center"/>
          </w:tcPr>
          <w:p w14:paraId="05F000F9"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36200C9" w14:textId="77777777" w:rsidR="00300C42" w:rsidRPr="001817C7" w:rsidRDefault="00300C42">
            <w:pPr>
              <w:spacing w:before="40" w:after="40"/>
              <w:jc w:val="center"/>
              <w:rPr>
                <w:sz w:val="20"/>
                <w:szCs w:val="20"/>
              </w:rPr>
            </w:pPr>
            <w:r w:rsidRPr="001817C7">
              <w:rPr>
                <w:rFonts w:cs="Arial"/>
                <w:sz w:val="20"/>
                <w:szCs w:val="20"/>
              </w:rPr>
              <w:t>16</w:t>
            </w:r>
          </w:p>
        </w:tc>
        <w:tc>
          <w:tcPr>
            <w:tcW w:w="754" w:type="dxa"/>
            <w:tcBorders>
              <w:top w:val="double" w:sz="4" w:space="0" w:color="auto"/>
            </w:tcBorders>
            <w:vAlign w:val="center"/>
          </w:tcPr>
          <w:p w14:paraId="41C4FEEE" w14:textId="77777777" w:rsidR="00300C42" w:rsidRPr="001817C7" w:rsidRDefault="00300C42">
            <w:pPr>
              <w:spacing w:before="40" w:after="40"/>
              <w:jc w:val="center"/>
              <w:rPr>
                <w:sz w:val="20"/>
                <w:szCs w:val="20"/>
              </w:rPr>
            </w:pPr>
            <w:r w:rsidRPr="001817C7">
              <w:rPr>
                <w:rFonts w:cs="Arial"/>
                <w:sz w:val="20"/>
                <w:szCs w:val="20"/>
              </w:rPr>
              <w:t>0.69</w:t>
            </w:r>
          </w:p>
        </w:tc>
      </w:tr>
      <w:tr w:rsidR="001817C7" w:rsidRPr="001817C7" w14:paraId="337609AA" w14:textId="77777777">
        <w:tc>
          <w:tcPr>
            <w:tcW w:w="928" w:type="dxa"/>
            <w:vMerge/>
            <w:tcBorders>
              <w:right w:val="double" w:sz="4" w:space="0" w:color="auto"/>
            </w:tcBorders>
            <w:vAlign w:val="center"/>
          </w:tcPr>
          <w:p w14:paraId="41A1DEC1"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79EB5851" w14:textId="77777777" w:rsidR="00300C42" w:rsidRPr="001817C7" w:rsidRDefault="00300C42">
            <w:pPr>
              <w:spacing w:before="40" w:after="40"/>
              <w:jc w:val="center"/>
              <w:rPr>
                <w:sz w:val="20"/>
                <w:szCs w:val="20"/>
              </w:rPr>
            </w:pPr>
          </w:p>
        </w:tc>
        <w:tc>
          <w:tcPr>
            <w:tcW w:w="752" w:type="dxa"/>
            <w:vAlign w:val="center"/>
          </w:tcPr>
          <w:p w14:paraId="54A82332"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515B1419" w14:textId="77777777" w:rsidR="00300C42" w:rsidRPr="001817C7" w:rsidRDefault="00300C42">
            <w:pPr>
              <w:spacing w:before="40" w:after="40"/>
              <w:jc w:val="center"/>
              <w:rPr>
                <w:sz w:val="20"/>
                <w:szCs w:val="20"/>
              </w:rPr>
            </w:pPr>
          </w:p>
        </w:tc>
        <w:tc>
          <w:tcPr>
            <w:tcW w:w="753" w:type="dxa"/>
            <w:tcBorders>
              <w:left w:val="double" w:sz="4" w:space="0" w:color="auto"/>
            </w:tcBorders>
            <w:vAlign w:val="center"/>
          </w:tcPr>
          <w:p w14:paraId="2E1EE23E"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71DA3239"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right w:val="double" w:sz="4" w:space="0" w:color="auto"/>
            </w:tcBorders>
            <w:vAlign w:val="center"/>
          </w:tcPr>
          <w:p w14:paraId="5AC59C68" w14:textId="77777777" w:rsidR="00300C42" w:rsidRPr="001817C7" w:rsidRDefault="00300C42">
            <w:pPr>
              <w:spacing w:before="40" w:after="40"/>
              <w:jc w:val="center"/>
              <w:rPr>
                <w:sz w:val="20"/>
                <w:szCs w:val="20"/>
              </w:rPr>
            </w:pPr>
            <w:r w:rsidRPr="001817C7">
              <w:rPr>
                <w:rFonts w:cs="Arial"/>
                <w:sz w:val="20"/>
                <w:szCs w:val="20"/>
              </w:rPr>
              <w:t>0.95</w:t>
            </w:r>
          </w:p>
        </w:tc>
        <w:tc>
          <w:tcPr>
            <w:tcW w:w="752" w:type="dxa"/>
            <w:tcBorders>
              <w:right w:val="single" w:sz="4" w:space="0" w:color="auto"/>
            </w:tcBorders>
            <w:vAlign w:val="center"/>
          </w:tcPr>
          <w:p w14:paraId="6A0E2A9B"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3C855A92"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tcBorders>
              <w:left w:val="single" w:sz="4" w:space="0" w:color="auto"/>
              <w:right w:val="double" w:sz="4" w:space="0" w:color="auto"/>
            </w:tcBorders>
            <w:vAlign w:val="center"/>
          </w:tcPr>
          <w:p w14:paraId="62F059D8" w14:textId="77777777" w:rsidR="00300C42" w:rsidRPr="001817C7" w:rsidRDefault="00300C42">
            <w:pPr>
              <w:spacing w:before="40" w:after="40"/>
              <w:jc w:val="center"/>
              <w:rPr>
                <w:rFonts w:cs="Arial"/>
                <w:sz w:val="20"/>
                <w:szCs w:val="20"/>
              </w:rPr>
            </w:pPr>
            <w:r w:rsidRPr="001817C7">
              <w:rPr>
                <w:sz w:val="20"/>
                <w:szCs w:val="20"/>
              </w:rPr>
              <w:t>0.99</w:t>
            </w:r>
          </w:p>
        </w:tc>
        <w:tc>
          <w:tcPr>
            <w:tcW w:w="753" w:type="dxa"/>
            <w:tcBorders>
              <w:left w:val="double" w:sz="4" w:space="0" w:color="auto"/>
            </w:tcBorders>
            <w:vAlign w:val="center"/>
          </w:tcPr>
          <w:p w14:paraId="39B3A642"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3BFE164E" w14:textId="77777777" w:rsidR="00300C42" w:rsidRPr="001817C7" w:rsidRDefault="00300C42">
            <w:pPr>
              <w:spacing w:before="40" w:after="40"/>
              <w:jc w:val="center"/>
              <w:rPr>
                <w:sz w:val="20"/>
                <w:szCs w:val="20"/>
              </w:rPr>
            </w:pPr>
            <w:r w:rsidRPr="001817C7">
              <w:rPr>
                <w:rFonts w:cs="Arial"/>
                <w:sz w:val="20"/>
                <w:szCs w:val="20"/>
              </w:rPr>
              <w:t>16</w:t>
            </w:r>
          </w:p>
        </w:tc>
        <w:tc>
          <w:tcPr>
            <w:tcW w:w="754" w:type="dxa"/>
            <w:vAlign w:val="center"/>
          </w:tcPr>
          <w:p w14:paraId="1DAA907F" w14:textId="77777777" w:rsidR="00300C42" w:rsidRPr="001817C7" w:rsidRDefault="00300C42">
            <w:pPr>
              <w:spacing w:before="40" w:after="40"/>
              <w:jc w:val="center"/>
              <w:rPr>
                <w:sz w:val="20"/>
                <w:szCs w:val="20"/>
              </w:rPr>
            </w:pPr>
            <w:r w:rsidRPr="001817C7">
              <w:rPr>
                <w:rFonts w:cs="Arial"/>
                <w:sz w:val="20"/>
                <w:szCs w:val="20"/>
              </w:rPr>
              <w:t>0.67</w:t>
            </w:r>
          </w:p>
        </w:tc>
      </w:tr>
      <w:tr w:rsidR="001817C7" w:rsidRPr="001817C7" w14:paraId="7DB5C2B8" w14:textId="77777777">
        <w:tc>
          <w:tcPr>
            <w:tcW w:w="928" w:type="dxa"/>
            <w:vMerge/>
            <w:tcBorders>
              <w:bottom w:val="double" w:sz="4" w:space="0" w:color="auto"/>
              <w:right w:val="double" w:sz="4" w:space="0" w:color="auto"/>
            </w:tcBorders>
            <w:vAlign w:val="center"/>
          </w:tcPr>
          <w:p w14:paraId="525D9B12"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6C12D2FC" w14:textId="77777777" w:rsidR="00300C42" w:rsidRPr="001817C7" w:rsidRDefault="00300C42">
            <w:pPr>
              <w:spacing w:before="40" w:after="40"/>
              <w:jc w:val="center"/>
              <w:rPr>
                <w:sz w:val="20"/>
                <w:szCs w:val="20"/>
              </w:rPr>
            </w:pPr>
          </w:p>
        </w:tc>
        <w:tc>
          <w:tcPr>
            <w:tcW w:w="752" w:type="dxa"/>
            <w:tcBorders>
              <w:bottom w:val="double" w:sz="4" w:space="0" w:color="auto"/>
            </w:tcBorders>
            <w:vAlign w:val="center"/>
          </w:tcPr>
          <w:p w14:paraId="2934F865"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02A156D" w14:textId="77777777" w:rsidR="00300C42" w:rsidRPr="001817C7"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1984F587"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bottom w:val="double" w:sz="4" w:space="0" w:color="auto"/>
            </w:tcBorders>
            <w:vAlign w:val="center"/>
          </w:tcPr>
          <w:p w14:paraId="1CCC0A7F"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bottom w:val="double" w:sz="4" w:space="0" w:color="auto"/>
              <w:right w:val="double" w:sz="4" w:space="0" w:color="auto"/>
            </w:tcBorders>
            <w:vAlign w:val="center"/>
          </w:tcPr>
          <w:p w14:paraId="5ABB646E" w14:textId="77777777" w:rsidR="00300C42" w:rsidRPr="001817C7" w:rsidRDefault="00300C42">
            <w:pPr>
              <w:spacing w:before="40" w:after="40"/>
              <w:jc w:val="center"/>
              <w:rPr>
                <w:sz w:val="20"/>
                <w:szCs w:val="20"/>
              </w:rPr>
            </w:pPr>
            <w:r w:rsidRPr="001817C7">
              <w:rPr>
                <w:rFonts w:cs="Arial"/>
                <w:sz w:val="20"/>
                <w:szCs w:val="20"/>
              </w:rPr>
              <w:t>0.99</w:t>
            </w:r>
          </w:p>
        </w:tc>
        <w:tc>
          <w:tcPr>
            <w:tcW w:w="752" w:type="dxa"/>
            <w:tcBorders>
              <w:bottom w:val="double" w:sz="4" w:space="0" w:color="auto"/>
              <w:right w:val="single" w:sz="4" w:space="0" w:color="auto"/>
            </w:tcBorders>
            <w:vAlign w:val="center"/>
          </w:tcPr>
          <w:p w14:paraId="6208B5F0"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tcBorders>
              <w:left w:val="single" w:sz="4" w:space="0" w:color="auto"/>
              <w:bottom w:val="double" w:sz="4" w:space="0" w:color="auto"/>
              <w:right w:val="single" w:sz="4" w:space="0" w:color="auto"/>
            </w:tcBorders>
            <w:vAlign w:val="center"/>
          </w:tcPr>
          <w:p w14:paraId="03389A33"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tcBorders>
              <w:left w:val="single" w:sz="4" w:space="0" w:color="auto"/>
              <w:bottom w:val="double" w:sz="4" w:space="0" w:color="auto"/>
              <w:right w:val="double" w:sz="4" w:space="0" w:color="auto"/>
            </w:tcBorders>
            <w:vAlign w:val="center"/>
          </w:tcPr>
          <w:p w14:paraId="2D803A1F" w14:textId="77777777" w:rsidR="00300C42" w:rsidRPr="001817C7" w:rsidRDefault="00300C42">
            <w:pPr>
              <w:spacing w:before="40" w:after="40"/>
              <w:jc w:val="center"/>
              <w:rPr>
                <w:rFonts w:cs="Arial"/>
                <w:sz w:val="20"/>
                <w:szCs w:val="20"/>
              </w:rPr>
            </w:pPr>
            <w:r w:rsidRPr="001817C7">
              <w:rPr>
                <w:sz w:val="20"/>
                <w:szCs w:val="20"/>
              </w:rPr>
              <w:t>0.99</w:t>
            </w:r>
          </w:p>
        </w:tc>
        <w:tc>
          <w:tcPr>
            <w:tcW w:w="753" w:type="dxa"/>
            <w:tcBorders>
              <w:left w:val="double" w:sz="4" w:space="0" w:color="auto"/>
              <w:bottom w:val="double" w:sz="4" w:space="0" w:color="auto"/>
            </w:tcBorders>
            <w:vAlign w:val="center"/>
          </w:tcPr>
          <w:p w14:paraId="2B427575"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bottom w:val="double" w:sz="4" w:space="0" w:color="auto"/>
            </w:tcBorders>
            <w:vAlign w:val="center"/>
          </w:tcPr>
          <w:p w14:paraId="2FA0CAD8" w14:textId="77777777" w:rsidR="00300C42" w:rsidRPr="001817C7" w:rsidRDefault="00300C42">
            <w:pPr>
              <w:spacing w:before="40" w:after="40"/>
              <w:jc w:val="center"/>
              <w:rPr>
                <w:sz w:val="20"/>
                <w:szCs w:val="20"/>
              </w:rPr>
            </w:pPr>
            <w:r w:rsidRPr="001817C7">
              <w:rPr>
                <w:rFonts w:cs="Arial"/>
                <w:sz w:val="20"/>
                <w:szCs w:val="20"/>
              </w:rPr>
              <w:t>16</w:t>
            </w:r>
          </w:p>
        </w:tc>
        <w:tc>
          <w:tcPr>
            <w:tcW w:w="754" w:type="dxa"/>
            <w:tcBorders>
              <w:bottom w:val="double" w:sz="4" w:space="0" w:color="auto"/>
            </w:tcBorders>
            <w:vAlign w:val="center"/>
          </w:tcPr>
          <w:p w14:paraId="469282EE" w14:textId="77777777" w:rsidR="00300C42" w:rsidRPr="001817C7" w:rsidRDefault="00300C42">
            <w:pPr>
              <w:spacing w:before="40" w:after="40"/>
              <w:jc w:val="center"/>
              <w:rPr>
                <w:sz w:val="20"/>
                <w:szCs w:val="20"/>
              </w:rPr>
            </w:pPr>
            <w:r w:rsidRPr="001817C7">
              <w:rPr>
                <w:rFonts w:cs="Arial"/>
                <w:sz w:val="20"/>
                <w:szCs w:val="20"/>
              </w:rPr>
              <w:t>0.75</w:t>
            </w:r>
          </w:p>
        </w:tc>
      </w:tr>
      <w:tr w:rsidR="001817C7" w:rsidRPr="001817C7" w14:paraId="222FE454" w14:textId="77777777">
        <w:tc>
          <w:tcPr>
            <w:tcW w:w="928" w:type="dxa"/>
            <w:vMerge w:val="restart"/>
            <w:tcBorders>
              <w:top w:val="double" w:sz="4" w:space="0" w:color="auto"/>
              <w:right w:val="double" w:sz="4" w:space="0" w:color="auto"/>
            </w:tcBorders>
            <w:vAlign w:val="center"/>
          </w:tcPr>
          <w:p w14:paraId="40FBFA04" w14:textId="77777777" w:rsidR="00300C42" w:rsidRPr="001817C7" w:rsidRDefault="00300C42">
            <w:pPr>
              <w:spacing w:before="40" w:after="40"/>
              <w:jc w:val="center"/>
              <w:rPr>
                <w:sz w:val="20"/>
                <w:szCs w:val="20"/>
              </w:rPr>
            </w:pPr>
            <w:r w:rsidRPr="001817C7">
              <w:rPr>
                <w:sz w:val="20"/>
                <w:szCs w:val="20"/>
              </w:rPr>
              <w:t>9</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1DB337F5" w14:textId="77777777" w:rsidR="00300C42" w:rsidRPr="001817C7" w:rsidRDefault="00300C42">
            <w:pPr>
              <w:spacing w:before="40" w:after="40"/>
              <w:jc w:val="center"/>
              <w:rPr>
                <w:sz w:val="20"/>
                <w:szCs w:val="20"/>
              </w:rPr>
            </w:pPr>
          </w:p>
        </w:tc>
        <w:tc>
          <w:tcPr>
            <w:tcW w:w="752" w:type="dxa"/>
            <w:tcBorders>
              <w:top w:val="double" w:sz="4" w:space="0" w:color="auto"/>
            </w:tcBorders>
            <w:vAlign w:val="center"/>
          </w:tcPr>
          <w:p w14:paraId="7F7676EF" w14:textId="77777777" w:rsidR="00300C42" w:rsidRPr="001817C7"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7EBDB338" w14:textId="77777777" w:rsidR="00300C42" w:rsidRPr="001817C7"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4E916A0C" w14:textId="77777777" w:rsidR="00300C42" w:rsidRPr="001817C7" w:rsidRDefault="00300C42">
            <w:pPr>
              <w:spacing w:before="40" w:after="40"/>
              <w:jc w:val="center"/>
              <w:rPr>
                <w:sz w:val="20"/>
                <w:szCs w:val="20"/>
              </w:rPr>
            </w:pPr>
          </w:p>
        </w:tc>
        <w:tc>
          <w:tcPr>
            <w:tcW w:w="753" w:type="dxa"/>
            <w:tcBorders>
              <w:top w:val="double" w:sz="4" w:space="0" w:color="auto"/>
            </w:tcBorders>
            <w:vAlign w:val="center"/>
          </w:tcPr>
          <w:p w14:paraId="3B9E2E31" w14:textId="77777777" w:rsidR="00300C42" w:rsidRPr="001817C7"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3E5EF3DB" w14:textId="77777777" w:rsidR="00300C42" w:rsidRPr="001817C7" w:rsidRDefault="00300C42">
            <w:pPr>
              <w:spacing w:before="40" w:after="40"/>
              <w:jc w:val="center"/>
              <w:rPr>
                <w:sz w:val="20"/>
                <w:szCs w:val="20"/>
              </w:rPr>
            </w:pPr>
          </w:p>
        </w:tc>
        <w:tc>
          <w:tcPr>
            <w:tcW w:w="752" w:type="dxa"/>
            <w:tcBorders>
              <w:top w:val="double" w:sz="4" w:space="0" w:color="auto"/>
              <w:right w:val="single" w:sz="4" w:space="0" w:color="auto"/>
            </w:tcBorders>
          </w:tcPr>
          <w:p w14:paraId="5BBDDB2B" w14:textId="77777777" w:rsidR="00300C42" w:rsidRPr="001817C7" w:rsidRDefault="00300C42">
            <w:pPr>
              <w:spacing w:before="40" w:after="40"/>
              <w:jc w:val="center"/>
              <w:rPr>
                <w:rFonts w:cs="Arial"/>
                <w:sz w:val="20"/>
                <w:szCs w:val="20"/>
              </w:rPr>
            </w:pPr>
          </w:p>
        </w:tc>
        <w:tc>
          <w:tcPr>
            <w:tcW w:w="753" w:type="dxa"/>
            <w:tcBorders>
              <w:top w:val="double" w:sz="4" w:space="0" w:color="auto"/>
              <w:left w:val="single" w:sz="4" w:space="0" w:color="auto"/>
              <w:right w:val="single" w:sz="4" w:space="0" w:color="auto"/>
            </w:tcBorders>
          </w:tcPr>
          <w:p w14:paraId="1D8DECD2" w14:textId="77777777" w:rsidR="00300C42" w:rsidRPr="001817C7" w:rsidRDefault="00300C42">
            <w:pPr>
              <w:spacing w:before="40" w:after="40"/>
              <w:jc w:val="center"/>
              <w:rPr>
                <w:rFonts w:cs="Arial"/>
                <w:sz w:val="20"/>
                <w:szCs w:val="20"/>
              </w:rPr>
            </w:pPr>
          </w:p>
        </w:tc>
        <w:tc>
          <w:tcPr>
            <w:tcW w:w="754" w:type="dxa"/>
            <w:tcBorders>
              <w:top w:val="double" w:sz="4" w:space="0" w:color="auto"/>
              <w:left w:val="single" w:sz="4" w:space="0" w:color="auto"/>
              <w:right w:val="double" w:sz="4" w:space="0" w:color="auto"/>
            </w:tcBorders>
          </w:tcPr>
          <w:p w14:paraId="68C2F2DA" w14:textId="77777777" w:rsidR="00300C42" w:rsidRPr="001817C7" w:rsidRDefault="00300C42">
            <w:pPr>
              <w:spacing w:before="40" w:after="40"/>
              <w:jc w:val="center"/>
              <w:rPr>
                <w:rFonts w:cs="Arial"/>
                <w:sz w:val="20"/>
                <w:szCs w:val="20"/>
              </w:rPr>
            </w:pPr>
          </w:p>
        </w:tc>
        <w:tc>
          <w:tcPr>
            <w:tcW w:w="753" w:type="dxa"/>
            <w:tcBorders>
              <w:top w:val="double" w:sz="4" w:space="0" w:color="auto"/>
              <w:left w:val="double" w:sz="4" w:space="0" w:color="auto"/>
            </w:tcBorders>
            <w:vAlign w:val="center"/>
          </w:tcPr>
          <w:p w14:paraId="19EB88BD"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7BE97194" w14:textId="77777777" w:rsidR="00300C42" w:rsidRPr="001817C7" w:rsidRDefault="00300C42">
            <w:pPr>
              <w:spacing w:before="40" w:after="40"/>
              <w:jc w:val="center"/>
              <w:rPr>
                <w:sz w:val="20"/>
                <w:szCs w:val="20"/>
              </w:rPr>
            </w:pPr>
            <w:r w:rsidRPr="001817C7">
              <w:rPr>
                <w:rFonts w:cs="Arial"/>
                <w:sz w:val="20"/>
                <w:szCs w:val="20"/>
              </w:rPr>
              <w:t>9</w:t>
            </w:r>
          </w:p>
        </w:tc>
        <w:tc>
          <w:tcPr>
            <w:tcW w:w="754" w:type="dxa"/>
            <w:tcBorders>
              <w:top w:val="double" w:sz="4" w:space="0" w:color="auto"/>
            </w:tcBorders>
            <w:vAlign w:val="center"/>
          </w:tcPr>
          <w:p w14:paraId="45B74070" w14:textId="77777777" w:rsidR="00300C42" w:rsidRPr="001817C7" w:rsidRDefault="00300C42">
            <w:pPr>
              <w:spacing w:before="40" w:after="40"/>
              <w:jc w:val="center"/>
              <w:rPr>
                <w:sz w:val="20"/>
                <w:szCs w:val="20"/>
              </w:rPr>
            </w:pPr>
            <w:r w:rsidRPr="001817C7">
              <w:rPr>
                <w:rFonts w:cs="Arial"/>
                <w:sz w:val="20"/>
                <w:szCs w:val="20"/>
              </w:rPr>
              <w:t>0.82</w:t>
            </w:r>
          </w:p>
        </w:tc>
      </w:tr>
      <w:tr w:rsidR="001817C7" w:rsidRPr="001817C7" w14:paraId="2D5D6C98" w14:textId="77777777">
        <w:tc>
          <w:tcPr>
            <w:tcW w:w="928" w:type="dxa"/>
            <w:vMerge/>
            <w:tcBorders>
              <w:right w:val="double" w:sz="4" w:space="0" w:color="auto"/>
            </w:tcBorders>
            <w:vAlign w:val="center"/>
          </w:tcPr>
          <w:p w14:paraId="2257239D"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03FE0140" w14:textId="77777777" w:rsidR="00300C42" w:rsidRPr="001817C7" w:rsidRDefault="00300C42">
            <w:pPr>
              <w:spacing w:before="40" w:after="40"/>
              <w:jc w:val="center"/>
              <w:rPr>
                <w:sz w:val="20"/>
                <w:szCs w:val="20"/>
              </w:rPr>
            </w:pPr>
          </w:p>
        </w:tc>
        <w:tc>
          <w:tcPr>
            <w:tcW w:w="752" w:type="dxa"/>
            <w:vAlign w:val="center"/>
          </w:tcPr>
          <w:p w14:paraId="4282A51A"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2904C0C5" w14:textId="77777777" w:rsidR="00300C42" w:rsidRPr="001817C7" w:rsidRDefault="00300C42">
            <w:pPr>
              <w:spacing w:before="40" w:after="40"/>
              <w:jc w:val="center"/>
              <w:rPr>
                <w:sz w:val="20"/>
                <w:szCs w:val="20"/>
              </w:rPr>
            </w:pPr>
          </w:p>
        </w:tc>
        <w:tc>
          <w:tcPr>
            <w:tcW w:w="753" w:type="dxa"/>
            <w:tcBorders>
              <w:left w:val="double" w:sz="4" w:space="0" w:color="auto"/>
            </w:tcBorders>
            <w:vAlign w:val="center"/>
          </w:tcPr>
          <w:p w14:paraId="366415BE" w14:textId="77777777" w:rsidR="00300C42" w:rsidRPr="001817C7" w:rsidRDefault="00300C42">
            <w:pPr>
              <w:spacing w:before="40" w:after="40"/>
              <w:jc w:val="center"/>
              <w:rPr>
                <w:sz w:val="20"/>
                <w:szCs w:val="20"/>
              </w:rPr>
            </w:pPr>
          </w:p>
        </w:tc>
        <w:tc>
          <w:tcPr>
            <w:tcW w:w="753" w:type="dxa"/>
            <w:vAlign w:val="center"/>
          </w:tcPr>
          <w:p w14:paraId="38A2DB23"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5ABDA1A2" w14:textId="77777777" w:rsidR="00300C42" w:rsidRPr="001817C7" w:rsidRDefault="00300C42">
            <w:pPr>
              <w:spacing w:before="40" w:after="40"/>
              <w:jc w:val="center"/>
              <w:rPr>
                <w:sz w:val="20"/>
                <w:szCs w:val="20"/>
              </w:rPr>
            </w:pPr>
          </w:p>
        </w:tc>
        <w:tc>
          <w:tcPr>
            <w:tcW w:w="752" w:type="dxa"/>
            <w:tcBorders>
              <w:right w:val="single" w:sz="4" w:space="0" w:color="auto"/>
            </w:tcBorders>
          </w:tcPr>
          <w:p w14:paraId="37EEAE7A" w14:textId="77777777" w:rsidR="00300C42" w:rsidRPr="001817C7" w:rsidRDefault="00300C42">
            <w:pPr>
              <w:spacing w:before="40" w:after="40"/>
              <w:jc w:val="center"/>
              <w:rPr>
                <w:rFonts w:cs="Arial"/>
                <w:sz w:val="20"/>
                <w:szCs w:val="20"/>
              </w:rPr>
            </w:pPr>
          </w:p>
        </w:tc>
        <w:tc>
          <w:tcPr>
            <w:tcW w:w="753" w:type="dxa"/>
            <w:tcBorders>
              <w:left w:val="single" w:sz="4" w:space="0" w:color="auto"/>
              <w:right w:val="single" w:sz="4" w:space="0" w:color="auto"/>
            </w:tcBorders>
          </w:tcPr>
          <w:p w14:paraId="5AA84401" w14:textId="77777777" w:rsidR="00300C42" w:rsidRPr="001817C7" w:rsidRDefault="00300C42">
            <w:pPr>
              <w:spacing w:before="40" w:after="40"/>
              <w:jc w:val="center"/>
              <w:rPr>
                <w:rFonts w:cs="Arial"/>
                <w:sz w:val="20"/>
                <w:szCs w:val="20"/>
              </w:rPr>
            </w:pPr>
          </w:p>
        </w:tc>
        <w:tc>
          <w:tcPr>
            <w:tcW w:w="754" w:type="dxa"/>
            <w:tcBorders>
              <w:left w:val="single" w:sz="4" w:space="0" w:color="auto"/>
              <w:right w:val="double" w:sz="4" w:space="0" w:color="auto"/>
            </w:tcBorders>
          </w:tcPr>
          <w:p w14:paraId="0445B15C" w14:textId="77777777" w:rsidR="00300C42" w:rsidRPr="001817C7" w:rsidRDefault="00300C42">
            <w:pPr>
              <w:spacing w:before="40" w:after="40"/>
              <w:jc w:val="center"/>
              <w:rPr>
                <w:rFonts w:cs="Arial"/>
                <w:sz w:val="20"/>
                <w:szCs w:val="20"/>
              </w:rPr>
            </w:pPr>
          </w:p>
        </w:tc>
        <w:tc>
          <w:tcPr>
            <w:tcW w:w="753" w:type="dxa"/>
            <w:tcBorders>
              <w:left w:val="double" w:sz="4" w:space="0" w:color="auto"/>
            </w:tcBorders>
            <w:vAlign w:val="center"/>
          </w:tcPr>
          <w:p w14:paraId="00B1C57B"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3EF1B5DB" w14:textId="77777777" w:rsidR="00300C42" w:rsidRPr="001817C7" w:rsidRDefault="00300C42">
            <w:pPr>
              <w:spacing w:before="40" w:after="40"/>
              <w:jc w:val="center"/>
              <w:rPr>
                <w:sz w:val="20"/>
                <w:szCs w:val="20"/>
              </w:rPr>
            </w:pPr>
            <w:r w:rsidRPr="001817C7">
              <w:rPr>
                <w:rFonts w:cs="Arial"/>
                <w:sz w:val="20"/>
                <w:szCs w:val="20"/>
              </w:rPr>
              <w:t>9</w:t>
            </w:r>
          </w:p>
        </w:tc>
        <w:tc>
          <w:tcPr>
            <w:tcW w:w="754" w:type="dxa"/>
            <w:vAlign w:val="center"/>
          </w:tcPr>
          <w:p w14:paraId="59DA78E9" w14:textId="77777777" w:rsidR="00300C42" w:rsidRPr="001817C7" w:rsidRDefault="00300C42">
            <w:pPr>
              <w:spacing w:before="40" w:after="40"/>
              <w:jc w:val="center"/>
              <w:rPr>
                <w:sz w:val="20"/>
                <w:szCs w:val="20"/>
              </w:rPr>
            </w:pPr>
            <w:r w:rsidRPr="001817C7">
              <w:rPr>
                <w:rFonts w:cs="Arial"/>
                <w:sz w:val="20"/>
                <w:szCs w:val="20"/>
              </w:rPr>
              <w:t>0.81</w:t>
            </w:r>
          </w:p>
        </w:tc>
      </w:tr>
      <w:tr w:rsidR="001817C7" w:rsidRPr="001817C7" w14:paraId="4AB85B16" w14:textId="77777777">
        <w:tc>
          <w:tcPr>
            <w:tcW w:w="928" w:type="dxa"/>
            <w:vMerge/>
            <w:tcBorders>
              <w:right w:val="double" w:sz="4" w:space="0" w:color="auto"/>
            </w:tcBorders>
            <w:vAlign w:val="center"/>
          </w:tcPr>
          <w:p w14:paraId="741BD6E9"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6B10A4B9" w14:textId="77777777" w:rsidR="00300C42" w:rsidRPr="001817C7" w:rsidRDefault="00300C42">
            <w:pPr>
              <w:spacing w:before="40" w:after="40"/>
              <w:jc w:val="center"/>
              <w:rPr>
                <w:sz w:val="20"/>
                <w:szCs w:val="20"/>
              </w:rPr>
            </w:pPr>
          </w:p>
        </w:tc>
        <w:tc>
          <w:tcPr>
            <w:tcW w:w="752" w:type="dxa"/>
            <w:vAlign w:val="center"/>
          </w:tcPr>
          <w:p w14:paraId="788C459D"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38579458" w14:textId="77777777" w:rsidR="00300C42" w:rsidRPr="001817C7" w:rsidRDefault="00300C42">
            <w:pPr>
              <w:spacing w:before="40" w:after="40"/>
              <w:jc w:val="center"/>
              <w:rPr>
                <w:sz w:val="20"/>
                <w:szCs w:val="20"/>
              </w:rPr>
            </w:pPr>
          </w:p>
        </w:tc>
        <w:tc>
          <w:tcPr>
            <w:tcW w:w="753" w:type="dxa"/>
            <w:tcBorders>
              <w:left w:val="double" w:sz="4" w:space="0" w:color="auto"/>
            </w:tcBorders>
            <w:vAlign w:val="center"/>
          </w:tcPr>
          <w:p w14:paraId="12E2B4A3" w14:textId="77777777" w:rsidR="00300C42" w:rsidRPr="001817C7" w:rsidRDefault="00300C42">
            <w:pPr>
              <w:spacing w:before="40" w:after="40"/>
              <w:jc w:val="center"/>
              <w:rPr>
                <w:sz w:val="20"/>
                <w:szCs w:val="20"/>
              </w:rPr>
            </w:pPr>
          </w:p>
        </w:tc>
        <w:tc>
          <w:tcPr>
            <w:tcW w:w="753" w:type="dxa"/>
            <w:vAlign w:val="center"/>
          </w:tcPr>
          <w:p w14:paraId="1E387B54"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77DFFC23" w14:textId="77777777" w:rsidR="00300C42" w:rsidRPr="001817C7" w:rsidRDefault="00300C42">
            <w:pPr>
              <w:spacing w:before="40" w:after="40"/>
              <w:jc w:val="center"/>
              <w:rPr>
                <w:sz w:val="20"/>
                <w:szCs w:val="20"/>
              </w:rPr>
            </w:pPr>
          </w:p>
        </w:tc>
        <w:tc>
          <w:tcPr>
            <w:tcW w:w="752" w:type="dxa"/>
            <w:tcBorders>
              <w:right w:val="single" w:sz="4" w:space="0" w:color="auto"/>
            </w:tcBorders>
          </w:tcPr>
          <w:p w14:paraId="66D8B483" w14:textId="77777777" w:rsidR="00300C42" w:rsidRPr="001817C7" w:rsidRDefault="00300C42">
            <w:pPr>
              <w:spacing w:before="40" w:after="40"/>
              <w:jc w:val="center"/>
              <w:rPr>
                <w:rFonts w:cs="Arial"/>
                <w:sz w:val="20"/>
                <w:szCs w:val="20"/>
              </w:rPr>
            </w:pPr>
          </w:p>
        </w:tc>
        <w:tc>
          <w:tcPr>
            <w:tcW w:w="753" w:type="dxa"/>
            <w:tcBorders>
              <w:left w:val="single" w:sz="4" w:space="0" w:color="auto"/>
              <w:right w:val="single" w:sz="4" w:space="0" w:color="auto"/>
            </w:tcBorders>
          </w:tcPr>
          <w:p w14:paraId="2291F1B7" w14:textId="77777777" w:rsidR="00300C42" w:rsidRPr="001817C7" w:rsidRDefault="00300C42">
            <w:pPr>
              <w:spacing w:before="40" w:after="40"/>
              <w:jc w:val="center"/>
              <w:rPr>
                <w:rFonts w:cs="Arial"/>
                <w:sz w:val="20"/>
                <w:szCs w:val="20"/>
              </w:rPr>
            </w:pPr>
          </w:p>
        </w:tc>
        <w:tc>
          <w:tcPr>
            <w:tcW w:w="754" w:type="dxa"/>
            <w:tcBorders>
              <w:left w:val="single" w:sz="4" w:space="0" w:color="auto"/>
              <w:right w:val="double" w:sz="4" w:space="0" w:color="auto"/>
            </w:tcBorders>
          </w:tcPr>
          <w:p w14:paraId="53F2B114" w14:textId="77777777" w:rsidR="00300C42" w:rsidRPr="001817C7" w:rsidRDefault="00300C42">
            <w:pPr>
              <w:spacing w:before="40" w:after="40"/>
              <w:jc w:val="center"/>
              <w:rPr>
                <w:rFonts w:cs="Arial"/>
                <w:sz w:val="20"/>
                <w:szCs w:val="20"/>
              </w:rPr>
            </w:pPr>
          </w:p>
        </w:tc>
        <w:tc>
          <w:tcPr>
            <w:tcW w:w="753" w:type="dxa"/>
            <w:tcBorders>
              <w:left w:val="double" w:sz="4" w:space="0" w:color="auto"/>
            </w:tcBorders>
            <w:vAlign w:val="center"/>
          </w:tcPr>
          <w:p w14:paraId="20801D91"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vAlign w:val="center"/>
          </w:tcPr>
          <w:p w14:paraId="6DFAFA39"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vAlign w:val="center"/>
          </w:tcPr>
          <w:p w14:paraId="505E3F89" w14:textId="77777777" w:rsidR="00300C42" w:rsidRPr="001817C7" w:rsidRDefault="00300C42">
            <w:pPr>
              <w:spacing w:before="40" w:after="40"/>
              <w:jc w:val="center"/>
              <w:rPr>
                <w:sz w:val="20"/>
                <w:szCs w:val="20"/>
              </w:rPr>
            </w:pPr>
            <w:r w:rsidRPr="001817C7">
              <w:rPr>
                <w:rFonts w:cs="Arial"/>
                <w:sz w:val="20"/>
                <w:szCs w:val="20"/>
              </w:rPr>
              <w:t>0.82</w:t>
            </w:r>
          </w:p>
        </w:tc>
      </w:tr>
    </w:tbl>
    <w:p w14:paraId="1D8B3F8C" w14:textId="77777777" w:rsidR="00300C42" w:rsidRDefault="00300C42" w:rsidP="00300C42"/>
    <w:p w14:paraId="0211AE90" w14:textId="1C349819" w:rsidR="00300C42" w:rsidRPr="00E215F0" w:rsidRDefault="00300C42" w:rsidP="00300C42">
      <w:pPr>
        <w:pStyle w:val="Caption"/>
      </w:pPr>
      <w:bookmarkStart w:id="905" w:name="_Ref163133373"/>
      <w:r w:rsidRPr="00194B5B">
        <w:t xml:space="preserve">Table </w:t>
      </w:r>
      <w:r w:rsidR="00500110">
        <w:fldChar w:fldCharType="begin"/>
      </w:r>
      <w:r w:rsidR="00500110">
        <w:instrText xml:space="preserve"> SEQ Table \* ARABIC </w:instrText>
      </w:r>
      <w:r w:rsidR="00500110">
        <w:fldChar w:fldCharType="separate"/>
      </w:r>
      <w:r w:rsidR="00850DA1">
        <w:rPr>
          <w:noProof/>
        </w:rPr>
        <w:t>19</w:t>
      </w:r>
      <w:r w:rsidR="00500110">
        <w:rPr>
          <w:noProof/>
        </w:rPr>
        <w:fldChar w:fldCharType="end"/>
      </w:r>
      <w:bookmarkEnd w:id="905"/>
      <w:r w:rsidRPr="00194B5B">
        <w:t xml:space="preserve"> Comparison of 90%tile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xml:space="preserve"> a</w:t>
      </w:r>
      <w:r w:rsidRPr="00194B5B">
        <w:t xml:space="preserve">nd PDP using different combination of sample lengths and sub-sampling sizes in the </w:t>
      </w:r>
      <w:r w:rsidRPr="00194B5B">
        <w:rPr>
          <w:lang w:eastAsia="ja-JP"/>
        </w:rPr>
        <w:t>{60%, 6m, 2m} InF-DH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850DA1">
        <w:t>[6]</w:t>
      </w:r>
      <w:r w:rsidRPr="00E215F0">
        <w:fldChar w:fldCharType="end"/>
      </w:r>
      <w:r>
        <w:t xml:space="preserve"> and dynamic TRP selection with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oMath>
      <w:r>
        <w:t xml:space="preserve"> 18, 9, 6 or 3.</w:t>
      </w:r>
    </w:p>
    <w:tbl>
      <w:tblPr>
        <w:tblStyle w:val="TableGrid"/>
        <w:tblW w:w="0" w:type="auto"/>
        <w:tblInd w:w="1615" w:type="dxa"/>
        <w:tblLook w:val="04A0" w:firstRow="1" w:lastRow="0" w:firstColumn="1" w:lastColumn="0" w:noHBand="0" w:noVBand="1"/>
      </w:tblPr>
      <w:tblGrid>
        <w:gridCol w:w="928"/>
        <w:gridCol w:w="751"/>
        <w:gridCol w:w="752"/>
        <w:gridCol w:w="752"/>
        <w:gridCol w:w="753"/>
        <w:gridCol w:w="753"/>
        <w:gridCol w:w="753"/>
        <w:gridCol w:w="753"/>
        <w:gridCol w:w="753"/>
      </w:tblGrid>
      <w:tr w:rsidR="001817C7" w:rsidRPr="001817C7" w14:paraId="3EC7D17E" w14:textId="77777777">
        <w:tc>
          <w:tcPr>
            <w:tcW w:w="928" w:type="dxa"/>
            <w:vMerge w:val="restart"/>
            <w:tcBorders>
              <w:left w:val="single" w:sz="4" w:space="0" w:color="auto"/>
            </w:tcBorders>
            <w:vAlign w:val="center"/>
          </w:tcPr>
          <w:p w14:paraId="7B626F79" w14:textId="77777777" w:rsidR="00300C42" w:rsidRPr="001817C7" w:rsidRDefault="00300C42">
            <w:pPr>
              <w:spacing w:before="40" w:after="40"/>
              <w:jc w:val="center"/>
              <w:rPr>
                <w:sz w:val="20"/>
                <w:szCs w:val="20"/>
              </w:rPr>
            </w:pPr>
            <w:r w:rsidRPr="001817C7">
              <w:rPr>
                <w:sz w:val="20"/>
                <w:szCs w:val="20"/>
              </w:rPr>
              <w:t xml:space="preserve">Number of real values </w:t>
            </w:r>
          </w:p>
        </w:tc>
        <w:tc>
          <w:tcPr>
            <w:tcW w:w="3008" w:type="dxa"/>
            <w:gridSpan w:val="4"/>
            <w:tcBorders>
              <w:left w:val="double" w:sz="4" w:space="0" w:color="auto"/>
              <w:bottom w:val="single" w:sz="4" w:space="0" w:color="auto"/>
              <w:right w:val="double" w:sz="4" w:space="0" w:color="auto"/>
            </w:tcBorders>
            <w:vAlign w:val="center"/>
          </w:tcPr>
          <w:p w14:paraId="0A5B78C3" w14:textId="77777777" w:rsidR="00300C42" w:rsidRPr="001817C7" w:rsidRDefault="00300C42">
            <w:pPr>
              <w:spacing w:before="40" w:after="40"/>
              <w:jc w:val="center"/>
              <w:rPr>
                <w:sz w:val="20"/>
                <w:szCs w:val="20"/>
              </w:rPr>
            </w:pPr>
            <w:r w:rsidRPr="001817C7">
              <w:rPr>
                <w:sz w:val="20"/>
                <w:szCs w:val="20"/>
              </w:rPr>
              <w:t>2-port CIR</w:t>
            </w:r>
          </w:p>
        </w:tc>
        <w:tc>
          <w:tcPr>
            <w:tcW w:w="3012" w:type="dxa"/>
            <w:gridSpan w:val="4"/>
            <w:tcBorders>
              <w:bottom w:val="single" w:sz="4" w:space="0" w:color="auto"/>
              <w:right w:val="single" w:sz="4" w:space="0" w:color="auto"/>
            </w:tcBorders>
            <w:vAlign w:val="center"/>
          </w:tcPr>
          <w:p w14:paraId="7234885C" w14:textId="77777777" w:rsidR="00300C42" w:rsidRPr="001817C7" w:rsidRDefault="00300C42">
            <w:pPr>
              <w:spacing w:before="40" w:after="40"/>
              <w:jc w:val="center"/>
              <w:rPr>
                <w:sz w:val="20"/>
                <w:szCs w:val="20"/>
              </w:rPr>
            </w:pPr>
            <w:r w:rsidRPr="001817C7">
              <w:rPr>
                <w:sz w:val="20"/>
                <w:szCs w:val="20"/>
              </w:rPr>
              <w:t>PDP</w:t>
            </w:r>
          </w:p>
        </w:tc>
      </w:tr>
      <w:tr w:rsidR="001817C7" w:rsidRPr="001817C7" w14:paraId="5869763C" w14:textId="77777777">
        <w:tc>
          <w:tcPr>
            <w:tcW w:w="928" w:type="dxa"/>
            <w:vMerge/>
            <w:tcBorders>
              <w:left w:val="single" w:sz="4" w:space="0" w:color="auto"/>
              <w:bottom w:val="double" w:sz="4" w:space="0" w:color="auto"/>
            </w:tcBorders>
          </w:tcPr>
          <w:p w14:paraId="57099391" w14:textId="77777777" w:rsidR="00300C42" w:rsidRPr="001817C7" w:rsidRDefault="00300C42">
            <w:pPr>
              <w:spacing w:before="40" w:after="40"/>
              <w:jc w:val="center"/>
              <w:rPr>
                <w:sz w:val="20"/>
                <w:szCs w:val="20"/>
              </w:rPr>
            </w:pPr>
          </w:p>
        </w:tc>
        <w:tc>
          <w:tcPr>
            <w:tcW w:w="751" w:type="dxa"/>
            <w:tcBorders>
              <w:top w:val="single" w:sz="4" w:space="0" w:color="auto"/>
              <w:left w:val="double" w:sz="4" w:space="0" w:color="auto"/>
              <w:bottom w:val="double" w:sz="4" w:space="0" w:color="auto"/>
            </w:tcBorders>
            <w:vAlign w:val="center"/>
          </w:tcPr>
          <w:p w14:paraId="256F0422" w14:textId="77777777" w:rsidR="00300C42" w:rsidRPr="001817C7" w:rsidRDefault="009C13C0">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2" w:type="dxa"/>
            <w:tcBorders>
              <w:top w:val="single" w:sz="4" w:space="0" w:color="auto"/>
              <w:bottom w:val="double" w:sz="4" w:space="0" w:color="auto"/>
            </w:tcBorders>
            <w:vAlign w:val="center"/>
          </w:tcPr>
          <w:p w14:paraId="2EFE59C1" w14:textId="77777777" w:rsidR="00300C42" w:rsidRPr="001817C7" w:rsidRDefault="009C13C0">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top w:val="single" w:sz="4" w:space="0" w:color="auto"/>
              <w:bottom w:val="double" w:sz="4" w:space="0" w:color="auto"/>
            </w:tcBorders>
            <w:vAlign w:val="center"/>
          </w:tcPr>
          <w:p w14:paraId="6EC60CF0" w14:textId="77777777" w:rsidR="00300C42" w:rsidRPr="001817C7" w:rsidRDefault="009C13C0">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bottom w:val="double" w:sz="4" w:space="0" w:color="auto"/>
              <w:right w:val="double" w:sz="4" w:space="0" w:color="auto"/>
            </w:tcBorders>
            <w:vAlign w:val="center"/>
          </w:tcPr>
          <w:p w14:paraId="3EEB4C7F" w14:textId="77777777" w:rsidR="00300C42" w:rsidRPr="001817C7" w:rsidRDefault="009C13C0">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top w:val="single" w:sz="4" w:space="0" w:color="auto"/>
              <w:bottom w:val="double" w:sz="4" w:space="0" w:color="auto"/>
              <w:right w:val="single" w:sz="4" w:space="0" w:color="auto"/>
            </w:tcBorders>
            <w:vAlign w:val="center"/>
          </w:tcPr>
          <w:p w14:paraId="63E280F9" w14:textId="77777777" w:rsidR="00300C42" w:rsidRPr="001817C7" w:rsidRDefault="009C13C0">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037AAC53" w14:textId="77777777" w:rsidR="00300C42" w:rsidRPr="001817C7" w:rsidRDefault="009C13C0">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143193CB" w14:textId="77777777" w:rsidR="00300C42" w:rsidRPr="001817C7" w:rsidRDefault="009C13C0">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4CFF8998" w14:textId="77777777" w:rsidR="00300C42" w:rsidRPr="001817C7" w:rsidRDefault="009C13C0">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1817C7" w:rsidRPr="001817C7" w14:paraId="3331E601" w14:textId="77777777">
        <w:tc>
          <w:tcPr>
            <w:tcW w:w="928" w:type="dxa"/>
            <w:tcBorders>
              <w:top w:val="double" w:sz="4" w:space="0" w:color="auto"/>
              <w:left w:val="single" w:sz="4" w:space="0" w:color="auto"/>
            </w:tcBorders>
            <w:vAlign w:val="center"/>
          </w:tcPr>
          <w:p w14:paraId="1474A1B6" w14:textId="77777777" w:rsidR="00300C42" w:rsidRPr="001817C7" w:rsidRDefault="00300C42">
            <w:pPr>
              <w:spacing w:before="40" w:after="40"/>
              <w:jc w:val="center"/>
              <w:rPr>
                <w:rFonts w:cs="Arial"/>
                <w:sz w:val="20"/>
                <w:szCs w:val="20"/>
              </w:rPr>
            </w:pPr>
            <w:r w:rsidRPr="001817C7">
              <w:rPr>
                <w:rFonts w:cs="Arial"/>
                <w:sz w:val="20"/>
                <w:szCs w:val="20"/>
              </w:rPr>
              <w:t>18432</w:t>
            </w:r>
          </w:p>
        </w:tc>
        <w:tc>
          <w:tcPr>
            <w:tcW w:w="751" w:type="dxa"/>
            <w:tcBorders>
              <w:top w:val="double" w:sz="4" w:space="0" w:color="auto"/>
              <w:left w:val="double" w:sz="4" w:space="0" w:color="auto"/>
            </w:tcBorders>
            <w:vAlign w:val="center"/>
          </w:tcPr>
          <w:p w14:paraId="596C7BD7" w14:textId="77777777" w:rsidR="00300C42" w:rsidRPr="001817C7" w:rsidRDefault="00300C42">
            <w:pPr>
              <w:spacing w:before="40" w:after="40"/>
              <w:jc w:val="center"/>
              <w:rPr>
                <w:rFonts w:cs="Arial"/>
                <w:sz w:val="20"/>
                <w:szCs w:val="20"/>
              </w:rPr>
            </w:pPr>
            <w:r w:rsidRPr="001817C7">
              <w:rPr>
                <w:rFonts w:cs="Arial"/>
                <w:sz w:val="20"/>
                <w:szCs w:val="20"/>
              </w:rPr>
              <w:t>18</w:t>
            </w:r>
          </w:p>
        </w:tc>
        <w:tc>
          <w:tcPr>
            <w:tcW w:w="752" w:type="dxa"/>
            <w:tcBorders>
              <w:top w:val="double" w:sz="4" w:space="0" w:color="auto"/>
            </w:tcBorders>
            <w:vAlign w:val="center"/>
          </w:tcPr>
          <w:p w14:paraId="31D7C4D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tcBorders>
              <w:top w:val="double" w:sz="4" w:space="0" w:color="auto"/>
            </w:tcBorders>
            <w:vAlign w:val="center"/>
          </w:tcPr>
          <w:p w14:paraId="3DA74EDD"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right w:val="double" w:sz="4" w:space="0" w:color="auto"/>
            </w:tcBorders>
            <w:vAlign w:val="center"/>
          </w:tcPr>
          <w:p w14:paraId="56893732" w14:textId="77777777" w:rsidR="00300C42" w:rsidRPr="001817C7" w:rsidRDefault="00300C42">
            <w:pPr>
              <w:spacing w:before="40" w:after="40"/>
              <w:jc w:val="center"/>
              <w:rPr>
                <w:rFonts w:cs="Arial"/>
                <w:sz w:val="20"/>
                <w:szCs w:val="20"/>
              </w:rPr>
            </w:pPr>
            <w:r w:rsidRPr="001817C7">
              <w:rPr>
                <w:rFonts w:cs="Arial"/>
                <w:sz w:val="20"/>
                <w:szCs w:val="20"/>
              </w:rPr>
              <w:t>0.37</w:t>
            </w:r>
          </w:p>
        </w:tc>
        <w:tc>
          <w:tcPr>
            <w:tcW w:w="753" w:type="dxa"/>
            <w:tcBorders>
              <w:top w:val="double" w:sz="4" w:space="0" w:color="auto"/>
              <w:right w:val="single" w:sz="4" w:space="0" w:color="auto"/>
            </w:tcBorders>
            <w:vAlign w:val="center"/>
          </w:tcPr>
          <w:p w14:paraId="69175ADE"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top w:val="double" w:sz="4" w:space="0" w:color="auto"/>
              <w:left w:val="single" w:sz="4" w:space="0" w:color="auto"/>
              <w:right w:val="single" w:sz="4" w:space="0" w:color="auto"/>
            </w:tcBorders>
            <w:vAlign w:val="center"/>
          </w:tcPr>
          <w:p w14:paraId="4005F175"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top w:val="double" w:sz="4" w:space="0" w:color="auto"/>
              <w:left w:val="single" w:sz="4" w:space="0" w:color="auto"/>
              <w:right w:val="single" w:sz="4" w:space="0" w:color="auto"/>
            </w:tcBorders>
            <w:vAlign w:val="center"/>
          </w:tcPr>
          <w:p w14:paraId="3F0CE42E"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top w:val="double" w:sz="4" w:space="0" w:color="auto"/>
              <w:left w:val="single" w:sz="4" w:space="0" w:color="auto"/>
              <w:right w:val="single" w:sz="4" w:space="0" w:color="auto"/>
            </w:tcBorders>
            <w:vAlign w:val="center"/>
          </w:tcPr>
          <w:p w14:paraId="6C9A87E8"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0767E494" w14:textId="77777777">
        <w:tc>
          <w:tcPr>
            <w:tcW w:w="928" w:type="dxa"/>
            <w:tcBorders>
              <w:left w:val="single" w:sz="4" w:space="0" w:color="auto"/>
            </w:tcBorders>
            <w:vAlign w:val="center"/>
          </w:tcPr>
          <w:p w14:paraId="2687FA1C" w14:textId="77777777" w:rsidR="00300C42" w:rsidRPr="001817C7" w:rsidRDefault="00300C42">
            <w:pPr>
              <w:spacing w:before="40" w:after="40"/>
              <w:jc w:val="center"/>
              <w:rPr>
                <w:rFonts w:cs="Arial"/>
                <w:sz w:val="20"/>
                <w:szCs w:val="20"/>
              </w:rPr>
            </w:pPr>
            <w:r w:rsidRPr="001817C7">
              <w:rPr>
                <w:rFonts w:cs="Arial"/>
                <w:sz w:val="20"/>
                <w:szCs w:val="20"/>
              </w:rPr>
              <w:t>9216</w:t>
            </w:r>
          </w:p>
        </w:tc>
        <w:tc>
          <w:tcPr>
            <w:tcW w:w="751" w:type="dxa"/>
            <w:tcBorders>
              <w:left w:val="double" w:sz="4" w:space="0" w:color="auto"/>
            </w:tcBorders>
            <w:vAlign w:val="center"/>
          </w:tcPr>
          <w:p w14:paraId="4992C3A3"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2" w:type="dxa"/>
            <w:vAlign w:val="center"/>
          </w:tcPr>
          <w:p w14:paraId="1E68184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vAlign w:val="center"/>
          </w:tcPr>
          <w:p w14:paraId="1A787AB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right w:val="double" w:sz="4" w:space="0" w:color="auto"/>
            </w:tcBorders>
            <w:vAlign w:val="center"/>
          </w:tcPr>
          <w:p w14:paraId="1B08A24A" w14:textId="77777777" w:rsidR="00300C42" w:rsidRPr="001817C7" w:rsidRDefault="00300C42">
            <w:pPr>
              <w:spacing w:before="40" w:after="40"/>
              <w:jc w:val="center"/>
              <w:rPr>
                <w:rFonts w:cs="Arial"/>
                <w:sz w:val="20"/>
                <w:szCs w:val="20"/>
              </w:rPr>
            </w:pPr>
            <w:r w:rsidRPr="001817C7">
              <w:rPr>
                <w:rFonts w:cs="Arial"/>
                <w:sz w:val="20"/>
                <w:szCs w:val="20"/>
              </w:rPr>
              <w:t>0.95</w:t>
            </w:r>
          </w:p>
        </w:tc>
        <w:tc>
          <w:tcPr>
            <w:tcW w:w="753" w:type="dxa"/>
            <w:tcBorders>
              <w:right w:val="single" w:sz="4" w:space="0" w:color="auto"/>
            </w:tcBorders>
            <w:vAlign w:val="center"/>
          </w:tcPr>
          <w:p w14:paraId="3546A243"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1CBB2B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2E93F02C"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C718BCB"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3A8E0A27" w14:textId="77777777">
        <w:tc>
          <w:tcPr>
            <w:tcW w:w="928" w:type="dxa"/>
            <w:tcBorders>
              <w:left w:val="single" w:sz="4" w:space="0" w:color="auto"/>
            </w:tcBorders>
            <w:vAlign w:val="center"/>
          </w:tcPr>
          <w:p w14:paraId="2614C6B0" w14:textId="77777777" w:rsidR="00300C42" w:rsidRPr="001817C7" w:rsidRDefault="00300C42">
            <w:pPr>
              <w:spacing w:before="40" w:after="40"/>
              <w:jc w:val="center"/>
              <w:rPr>
                <w:rFonts w:cs="Arial"/>
                <w:sz w:val="20"/>
                <w:szCs w:val="20"/>
              </w:rPr>
            </w:pPr>
            <w:r w:rsidRPr="001817C7">
              <w:rPr>
                <w:rFonts w:cs="Arial"/>
                <w:sz w:val="20"/>
                <w:szCs w:val="20"/>
              </w:rPr>
              <w:t>6144</w:t>
            </w:r>
          </w:p>
        </w:tc>
        <w:tc>
          <w:tcPr>
            <w:tcW w:w="751" w:type="dxa"/>
            <w:tcBorders>
              <w:left w:val="double" w:sz="4" w:space="0" w:color="auto"/>
            </w:tcBorders>
            <w:vAlign w:val="center"/>
          </w:tcPr>
          <w:p w14:paraId="0617211D" w14:textId="77777777" w:rsidR="00300C42" w:rsidRPr="001817C7" w:rsidRDefault="00300C42">
            <w:pPr>
              <w:spacing w:before="40" w:after="40"/>
              <w:jc w:val="center"/>
              <w:rPr>
                <w:rFonts w:cs="Arial"/>
                <w:sz w:val="20"/>
                <w:szCs w:val="20"/>
              </w:rPr>
            </w:pPr>
            <w:r w:rsidRPr="001817C7">
              <w:rPr>
                <w:rFonts w:cs="Arial"/>
                <w:sz w:val="20"/>
                <w:szCs w:val="20"/>
              </w:rPr>
              <w:t>6</w:t>
            </w:r>
          </w:p>
        </w:tc>
        <w:tc>
          <w:tcPr>
            <w:tcW w:w="752" w:type="dxa"/>
            <w:vAlign w:val="center"/>
          </w:tcPr>
          <w:p w14:paraId="405DFA7A"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vAlign w:val="center"/>
          </w:tcPr>
          <w:p w14:paraId="705EE2D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right w:val="double" w:sz="4" w:space="0" w:color="auto"/>
            </w:tcBorders>
            <w:vAlign w:val="center"/>
          </w:tcPr>
          <w:p w14:paraId="03319872" w14:textId="77777777" w:rsidR="00300C42" w:rsidRPr="001817C7" w:rsidRDefault="00300C42">
            <w:pPr>
              <w:spacing w:before="40" w:after="40"/>
              <w:jc w:val="center"/>
              <w:rPr>
                <w:rFonts w:cs="Arial"/>
                <w:sz w:val="20"/>
                <w:szCs w:val="20"/>
              </w:rPr>
            </w:pPr>
            <w:r w:rsidRPr="001817C7">
              <w:rPr>
                <w:rFonts w:cs="Arial"/>
                <w:sz w:val="20"/>
                <w:szCs w:val="20"/>
              </w:rPr>
              <w:t>1.39</w:t>
            </w:r>
          </w:p>
        </w:tc>
        <w:tc>
          <w:tcPr>
            <w:tcW w:w="753" w:type="dxa"/>
            <w:tcBorders>
              <w:right w:val="single" w:sz="4" w:space="0" w:color="auto"/>
            </w:tcBorders>
            <w:vAlign w:val="center"/>
          </w:tcPr>
          <w:p w14:paraId="20B1F96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66B9896F"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6DA4DD3"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2FE88413"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36E40EAA" w14:textId="77777777">
        <w:tc>
          <w:tcPr>
            <w:tcW w:w="928" w:type="dxa"/>
            <w:tcBorders>
              <w:left w:val="single" w:sz="4" w:space="0" w:color="auto"/>
            </w:tcBorders>
            <w:vAlign w:val="center"/>
          </w:tcPr>
          <w:p w14:paraId="065B2390" w14:textId="77777777" w:rsidR="00300C42" w:rsidRPr="001817C7" w:rsidRDefault="00300C42">
            <w:pPr>
              <w:spacing w:before="40" w:after="40"/>
              <w:jc w:val="center"/>
              <w:rPr>
                <w:rFonts w:cs="Arial"/>
                <w:sz w:val="20"/>
                <w:szCs w:val="20"/>
              </w:rPr>
            </w:pPr>
            <w:r w:rsidRPr="001817C7">
              <w:rPr>
                <w:rFonts w:cs="Arial"/>
                <w:sz w:val="20"/>
                <w:szCs w:val="20"/>
              </w:rPr>
              <w:t>4608</w:t>
            </w:r>
          </w:p>
        </w:tc>
        <w:tc>
          <w:tcPr>
            <w:tcW w:w="751" w:type="dxa"/>
            <w:tcBorders>
              <w:left w:val="double" w:sz="4" w:space="0" w:color="auto"/>
            </w:tcBorders>
            <w:vAlign w:val="center"/>
          </w:tcPr>
          <w:p w14:paraId="716FFF3C"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709F9C47"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363B36D2"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18B2E6D7"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224E83B3" w14:textId="77777777" w:rsidR="00300C42" w:rsidRPr="001817C7" w:rsidRDefault="00300C42">
            <w:pPr>
              <w:spacing w:before="40" w:after="40"/>
              <w:jc w:val="center"/>
              <w:rPr>
                <w:rFonts w:cs="Arial"/>
                <w:sz w:val="20"/>
                <w:szCs w:val="20"/>
              </w:rPr>
            </w:pPr>
            <w:r w:rsidRPr="001817C7">
              <w:rPr>
                <w:rFonts w:cs="Arial"/>
                <w:sz w:val="20"/>
                <w:szCs w:val="20"/>
              </w:rPr>
              <w:t>18</w:t>
            </w:r>
          </w:p>
        </w:tc>
        <w:tc>
          <w:tcPr>
            <w:tcW w:w="753" w:type="dxa"/>
            <w:tcBorders>
              <w:left w:val="single" w:sz="4" w:space="0" w:color="auto"/>
              <w:right w:val="single" w:sz="4" w:space="0" w:color="auto"/>
            </w:tcBorders>
            <w:vAlign w:val="center"/>
          </w:tcPr>
          <w:p w14:paraId="391F295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7B81DB1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3FBF4EE2" w14:textId="77777777" w:rsidR="00300C42" w:rsidRPr="001817C7" w:rsidRDefault="00300C42">
            <w:pPr>
              <w:spacing w:before="40" w:after="40"/>
              <w:jc w:val="center"/>
              <w:rPr>
                <w:rFonts w:cs="Arial"/>
                <w:sz w:val="20"/>
                <w:szCs w:val="20"/>
              </w:rPr>
            </w:pPr>
            <w:r w:rsidRPr="001817C7">
              <w:rPr>
                <w:rFonts w:cs="Arial"/>
                <w:sz w:val="20"/>
                <w:szCs w:val="20"/>
              </w:rPr>
              <w:t>0.51</w:t>
            </w:r>
          </w:p>
        </w:tc>
      </w:tr>
      <w:tr w:rsidR="001817C7" w:rsidRPr="001817C7" w14:paraId="60CFBE7D" w14:textId="77777777">
        <w:tc>
          <w:tcPr>
            <w:tcW w:w="928" w:type="dxa"/>
            <w:tcBorders>
              <w:left w:val="single" w:sz="4" w:space="0" w:color="auto"/>
            </w:tcBorders>
            <w:vAlign w:val="center"/>
          </w:tcPr>
          <w:p w14:paraId="6782182F" w14:textId="77777777" w:rsidR="00300C42" w:rsidRPr="001817C7" w:rsidRDefault="00300C42">
            <w:pPr>
              <w:spacing w:before="40" w:after="40"/>
              <w:jc w:val="center"/>
              <w:rPr>
                <w:rFonts w:cs="Arial"/>
                <w:sz w:val="20"/>
                <w:szCs w:val="20"/>
              </w:rPr>
            </w:pPr>
            <w:r w:rsidRPr="001817C7">
              <w:rPr>
                <w:rFonts w:cs="Arial"/>
                <w:sz w:val="20"/>
                <w:szCs w:val="20"/>
              </w:rPr>
              <w:t>3072</w:t>
            </w:r>
          </w:p>
        </w:tc>
        <w:tc>
          <w:tcPr>
            <w:tcW w:w="751" w:type="dxa"/>
            <w:tcBorders>
              <w:left w:val="double" w:sz="4" w:space="0" w:color="auto"/>
            </w:tcBorders>
            <w:vAlign w:val="center"/>
          </w:tcPr>
          <w:p w14:paraId="04E6B68B" w14:textId="77777777" w:rsidR="00300C42" w:rsidRPr="001817C7" w:rsidRDefault="00300C42">
            <w:pPr>
              <w:spacing w:before="40" w:after="40"/>
              <w:jc w:val="center"/>
              <w:rPr>
                <w:rFonts w:cs="Arial"/>
                <w:sz w:val="20"/>
                <w:szCs w:val="20"/>
              </w:rPr>
            </w:pPr>
            <w:r w:rsidRPr="001817C7">
              <w:rPr>
                <w:rFonts w:cs="Arial"/>
                <w:sz w:val="20"/>
                <w:szCs w:val="20"/>
              </w:rPr>
              <w:t>3</w:t>
            </w:r>
          </w:p>
        </w:tc>
        <w:tc>
          <w:tcPr>
            <w:tcW w:w="752" w:type="dxa"/>
            <w:vAlign w:val="center"/>
          </w:tcPr>
          <w:p w14:paraId="21F5A274"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vAlign w:val="center"/>
          </w:tcPr>
          <w:p w14:paraId="6765F935"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right w:val="double" w:sz="4" w:space="0" w:color="auto"/>
            </w:tcBorders>
            <w:vAlign w:val="center"/>
          </w:tcPr>
          <w:p w14:paraId="4E164184" w14:textId="77777777" w:rsidR="00300C42" w:rsidRPr="001817C7" w:rsidRDefault="00300C42">
            <w:pPr>
              <w:spacing w:before="40" w:after="40"/>
              <w:jc w:val="center"/>
              <w:rPr>
                <w:rFonts w:cs="Arial"/>
                <w:sz w:val="20"/>
                <w:szCs w:val="20"/>
              </w:rPr>
            </w:pPr>
            <w:r w:rsidRPr="001817C7">
              <w:rPr>
                <w:rFonts w:cs="Arial"/>
                <w:sz w:val="20"/>
                <w:szCs w:val="20"/>
              </w:rPr>
              <w:t>2.18</w:t>
            </w:r>
          </w:p>
        </w:tc>
        <w:tc>
          <w:tcPr>
            <w:tcW w:w="753" w:type="dxa"/>
            <w:tcBorders>
              <w:right w:val="single" w:sz="4" w:space="0" w:color="auto"/>
            </w:tcBorders>
            <w:vAlign w:val="center"/>
          </w:tcPr>
          <w:p w14:paraId="46DC47EF"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0BC073A5"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1212FEB"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2138464E"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21722D78" w14:textId="77777777">
        <w:tc>
          <w:tcPr>
            <w:tcW w:w="928" w:type="dxa"/>
            <w:tcBorders>
              <w:left w:val="single" w:sz="4" w:space="0" w:color="auto"/>
            </w:tcBorders>
            <w:vAlign w:val="center"/>
          </w:tcPr>
          <w:p w14:paraId="6F1ACD43" w14:textId="77777777" w:rsidR="00300C42" w:rsidRPr="001817C7" w:rsidRDefault="00300C42">
            <w:pPr>
              <w:spacing w:before="40" w:after="40"/>
              <w:jc w:val="center"/>
              <w:rPr>
                <w:rFonts w:cs="Arial"/>
                <w:sz w:val="20"/>
                <w:szCs w:val="20"/>
              </w:rPr>
            </w:pPr>
            <w:r w:rsidRPr="001817C7">
              <w:rPr>
                <w:rFonts w:cs="Arial"/>
                <w:sz w:val="20"/>
                <w:szCs w:val="20"/>
              </w:rPr>
              <w:t>2304</w:t>
            </w:r>
          </w:p>
        </w:tc>
        <w:tc>
          <w:tcPr>
            <w:tcW w:w="751" w:type="dxa"/>
            <w:tcBorders>
              <w:left w:val="double" w:sz="4" w:space="0" w:color="auto"/>
            </w:tcBorders>
            <w:vAlign w:val="center"/>
          </w:tcPr>
          <w:p w14:paraId="724180B1"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55F30228"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66A69C1C"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20BFC760"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7850623F"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3" w:type="dxa"/>
            <w:tcBorders>
              <w:left w:val="single" w:sz="4" w:space="0" w:color="auto"/>
              <w:right w:val="single" w:sz="4" w:space="0" w:color="auto"/>
            </w:tcBorders>
            <w:vAlign w:val="center"/>
          </w:tcPr>
          <w:p w14:paraId="3ED609D1"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34436560"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1894F489" w14:textId="77777777" w:rsidR="00300C42" w:rsidRPr="001817C7" w:rsidRDefault="00300C42">
            <w:pPr>
              <w:spacing w:before="40" w:after="40"/>
              <w:jc w:val="center"/>
              <w:rPr>
                <w:rFonts w:cs="Arial"/>
                <w:sz w:val="20"/>
                <w:szCs w:val="20"/>
              </w:rPr>
            </w:pPr>
            <w:r w:rsidRPr="001817C7">
              <w:rPr>
                <w:rFonts w:cs="Arial"/>
                <w:sz w:val="20"/>
                <w:szCs w:val="20"/>
              </w:rPr>
              <w:t>1.07</w:t>
            </w:r>
          </w:p>
        </w:tc>
      </w:tr>
      <w:tr w:rsidR="001817C7" w:rsidRPr="001817C7" w14:paraId="51FB5ECF" w14:textId="77777777">
        <w:tc>
          <w:tcPr>
            <w:tcW w:w="928" w:type="dxa"/>
            <w:tcBorders>
              <w:left w:val="single" w:sz="4" w:space="0" w:color="auto"/>
            </w:tcBorders>
            <w:vAlign w:val="center"/>
          </w:tcPr>
          <w:p w14:paraId="37D3F09C" w14:textId="77777777" w:rsidR="00300C42" w:rsidRPr="001817C7" w:rsidRDefault="00300C42">
            <w:pPr>
              <w:spacing w:before="40" w:after="40"/>
              <w:jc w:val="center"/>
              <w:rPr>
                <w:rFonts w:cs="Arial"/>
                <w:sz w:val="20"/>
                <w:szCs w:val="20"/>
              </w:rPr>
            </w:pPr>
            <w:r w:rsidRPr="001817C7">
              <w:rPr>
                <w:rFonts w:cs="Arial"/>
                <w:sz w:val="20"/>
                <w:szCs w:val="20"/>
              </w:rPr>
              <w:t>1536</w:t>
            </w:r>
          </w:p>
        </w:tc>
        <w:tc>
          <w:tcPr>
            <w:tcW w:w="751" w:type="dxa"/>
            <w:tcBorders>
              <w:left w:val="double" w:sz="4" w:space="0" w:color="auto"/>
            </w:tcBorders>
            <w:vAlign w:val="center"/>
          </w:tcPr>
          <w:p w14:paraId="58C25AA0"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331B90AE"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438A33E9"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27F63D2D"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2C959E6C" w14:textId="77777777" w:rsidR="00300C42" w:rsidRPr="001817C7" w:rsidRDefault="00300C42">
            <w:pPr>
              <w:spacing w:before="40" w:after="40"/>
              <w:jc w:val="center"/>
              <w:rPr>
                <w:rFonts w:cs="Arial"/>
                <w:sz w:val="20"/>
                <w:szCs w:val="20"/>
              </w:rPr>
            </w:pPr>
            <w:r w:rsidRPr="001817C7">
              <w:rPr>
                <w:rFonts w:cs="Arial"/>
                <w:sz w:val="20"/>
                <w:szCs w:val="20"/>
              </w:rPr>
              <w:t>6</w:t>
            </w:r>
          </w:p>
        </w:tc>
        <w:tc>
          <w:tcPr>
            <w:tcW w:w="753" w:type="dxa"/>
            <w:tcBorders>
              <w:left w:val="single" w:sz="4" w:space="0" w:color="auto"/>
              <w:right w:val="single" w:sz="4" w:space="0" w:color="auto"/>
            </w:tcBorders>
            <w:vAlign w:val="center"/>
          </w:tcPr>
          <w:p w14:paraId="02EB5C1F"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1A39BE4C"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34462375" w14:textId="77777777" w:rsidR="00300C42" w:rsidRPr="001817C7" w:rsidRDefault="00300C42">
            <w:pPr>
              <w:spacing w:before="40" w:after="40"/>
              <w:jc w:val="center"/>
              <w:rPr>
                <w:rFonts w:cs="Arial"/>
                <w:sz w:val="20"/>
                <w:szCs w:val="20"/>
              </w:rPr>
            </w:pPr>
            <w:r w:rsidRPr="001817C7">
              <w:rPr>
                <w:rFonts w:cs="Arial"/>
                <w:sz w:val="20"/>
                <w:szCs w:val="20"/>
              </w:rPr>
              <w:t>1.55</w:t>
            </w:r>
          </w:p>
        </w:tc>
      </w:tr>
      <w:tr w:rsidR="001817C7" w:rsidRPr="001817C7" w14:paraId="72853AAC" w14:textId="77777777">
        <w:tc>
          <w:tcPr>
            <w:tcW w:w="928" w:type="dxa"/>
            <w:tcBorders>
              <w:left w:val="single" w:sz="4" w:space="0" w:color="auto"/>
            </w:tcBorders>
            <w:vAlign w:val="center"/>
          </w:tcPr>
          <w:p w14:paraId="66984226" w14:textId="77777777" w:rsidR="00300C42" w:rsidRPr="001817C7" w:rsidRDefault="00300C42">
            <w:pPr>
              <w:spacing w:before="40" w:after="40"/>
              <w:jc w:val="center"/>
              <w:rPr>
                <w:rFonts w:cs="Arial"/>
                <w:sz w:val="20"/>
                <w:szCs w:val="20"/>
              </w:rPr>
            </w:pPr>
            <w:r w:rsidRPr="001817C7">
              <w:rPr>
                <w:rFonts w:cs="Arial"/>
                <w:sz w:val="20"/>
                <w:szCs w:val="20"/>
              </w:rPr>
              <w:t>768</w:t>
            </w:r>
          </w:p>
        </w:tc>
        <w:tc>
          <w:tcPr>
            <w:tcW w:w="751" w:type="dxa"/>
            <w:tcBorders>
              <w:left w:val="double" w:sz="4" w:space="0" w:color="auto"/>
            </w:tcBorders>
            <w:vAlign w:val="center"/>
          </w:tcPr>
          <w:p w14:paraId="7A2E9AB3"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68F1AF4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1ADE002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51B884F9"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2ED23620" w14:textId="77777777" w:rsidR="00300C42" w:rsidRPr="001817C7" w:rsidRDefault="00300C42">
            <w:pPr>
              <w:spacing w:before="40" w:after="40"/>
              <w:jc w:val="center"/>
              <w:rPr>
                <w:rFonts w:cs="Arial"/>
                <w:sz w:val="20"/>
                <w:szCs w:val="20"/>
              </w:rPr>
            </w:pPr>
            <w:r w:rsidRPr="001817C7">
              <w:rPr>
                <w:rFonts w:cs="Arial"/>
                <w:sz w:val="20"/>
                <w:szCs w:val="20"/>
              </w:rPr>
              <w:t>3</w:t>
            </w:r>
          </w:p>
        </w:tc>
        <w:tc>
          <w:tcPr>
            <w:tcW w:w="753" w:type="dxa"/>
            <w:tcBorders>
              <w:left w:val="single" w:sz="4" w:space="0" w:color="auto"/>
              <w:right w:val="single" w:sz="4" w:space="0" w:color="auto"/>
            </w:tcBorders>
            <w:vAlign w:val="center"/>
          </w:tcPr>
          <w:p w14:paraId="5173322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4B57FBC7"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0962D391" w14:textId="77777777" w:rsidR="00300C42" w:rsidRPr="001817C7" w:rsidRDefault="00300C42">
            <w:pPr>
              <w:spacing w:before="40" w:after="40"/>
              <w:jc w:val="center"/>
              <w:rPr>
                <w:rFonts w:cs="Arial"/>
                <w:sz w:val="20"/>
                <w:szCs w:val="20"/>
              </w:rPr>
            </w:pPr>
            <w:r w:rsidRPr="001817C7">
              <w:rPr>
                <w:rFonts w:cs="Arial"/>
                <w:sz w:val="20"/>
                <w:szCs w:val="20"/>
              </w:rPr>
              <w:t>2.16</w:t>
            </w:r>
          </w:p>
        </w:tc>
      </w:tr>
    </w:tbl>
    <w:p w14:paraId="56D0ED9C" w14:textId="77777777" w:rsidR="00300C42" w:rsidRDefault="00300C42" w:rsidP="00300C42"/>
    <w:p w14:paraId="28386EC9" w14:textId="69CA8224" w:rsidR="00300C42" w:rsidRPr="00194B5B" w:rsidRDefault="00300C42" w:rsidP="00300C42">
      <w:pPr>
        <w:pStyle w:val="Caption"/>
      </w:pPr>
      <w:bookmarkStart w:id="906" w:name="_Ref163134465"/>
      <w:r w:rsidRPr="00194B5B">
        <w:t xml:space="preserve">Table </w:t>
      </w:r>
      <w:r w:rsidR="00500110">
        <w:fldChar w:fldCharType="begin"/>
      </w:r>
      <w:r w:rsidR="00500110">
        <w:instrText xml:space="preserve"> SEQ Table \* ARABIC </w:instrText>
      </w:r>
      <w:r w:rsidR="00500110">
        <w:fldChar w:fldCharType="separate"/>
      </w:r>
      <w:r w:rsidR="00850DA1">
        <w:rPr>
          <w:noProof/>
        </w:rPr>
        <w:t>20</w:t>
      </w:r>
      <w:r w:rsidR="00500110">
        <w:rPr>
          <w:noProof/>
        </w:rPr>
        <w:fldChar w:fldCharType="end"/>
      </w:r>
      <w:bookmarkEnd w:id="906"/>
      <w:r w:rsidRPr="00194B5B">
        <w:t xml:space="preserve"> </w:t>
      </w:r>
      <w:r>
        <w:t xml:space="preserve">Complexity comparison for models with (1) 2-port CIR, (2) 1-port CIR, and (3) total </w:t>
      </w:r>
      <w:r w:rsidR="00F80181">
        <w:t xml:space="preserve">Rx power </w:t>
      </w:r>
      <w:r>
        <w:t>(1-port) PDP inputs</w:t>
      </w:r>
      <w:r w:rsidRPr="00194B5B">
        <w:t>.</w:t>
      </w:r>
    </w:p>
    <w:tbl>
      <w:tblPr>
        <w:tblStyle w:val="TableGrid"/>
        <w:tblW w:w="0" w:type="auto"/>
        <w:tblInd w:w="1705" w:type="dxa"/>
        <w:tblLook w:val="04A0" w:firstRow="1" w:lastRow="0" w:firstColumn="1" w:lastColumn="0" w:noHBand="0" w:noVBand="1"/>
      </w:tblPr>
      <w:tblGrid>
        <w:gridCol w:w="1134"/>
        <w:gridCol w:w="1089"/>
        <w:gridCol w:w="1027"/>
        <w:gridCol w:w="1027"/>
        <w:gridCol w:w="1140"/>
        <w:gridCol w:w="1079"/>
      </w:tblGrid>
      <w:tr w:rsidR="00300C42" w14:paraId="067C6BF7" w14:textId="77777777">
        <w:tc>
          <w:tcPr>
            <w:tcW w:w="2223" w:type="dxa"/>
            <w:gridSpan w:val="2"/>
            <w:vAlign w:val="center"/>
          </w:tcPr>
          <w:p w14:paraId="17FEEB31" w14:textId="77777777" w:rsidR="00300C42" w:rsidRPr="00510903" w:rsidRDefault="00300C42">
            <w:pPr>
              <w:spacing w:before="60" w:after="60"/>
              <w:jc w:val="center"/>
              <w:rPr>
                <w:sz w:val="20"/>
                <w:szCs w:val="20"/>
              </w:rPr>
            </w:pPr>
            <w:r w:rsidRPr="00510903">
              <w:rPr>
                <w:sz w:val="20"/>
                <w:szCs w:val="20"/>
              </w:rPr>
              <w:t>2-port CIR</w:t>
            </w:r>
          </w:p>
        </w:tc>
        <w:tc>
          <w:tcPr>
            <w:tcW w:w="2054" w:type="dxa"/>
            <w:gridSpan w:val="2"/>
            <w:vAlign w:val="center"/>
          </w:tcPr>
          <w:p w14:paraId="299165EF" w14:textId="77777777" w:rsidR="00300C42" w:rsidRPr="00510903" w:rsidRDefault="00300C42">
            <w:pPr>
              <w:spacing w:before="60" w:after="60"/>
              <w:jc w:val="center"/>
              <w:rPr>
                <w:sz w:val="20"/>
                <w:szCs w:val="20"/>
              </w:rPr>
            </w:pPr>
            <w:r w:rsidRPr="00510903">
              <w:rPr>
                <w:sz w:val="20"/>
                <w:szCs w:val="20"/>
              </w:rPr>
              <w:t>1-port CIR</w:t>
            </w:r>
          </w:p>
        </w:tc>
        <w:tc>
          <w:tcPr>
            <w:tcW w:w="2219" w:type="dxa"/>
            <w:gridSpan w:val="2"/>
            <w:vAlign w:val="center"/>
          </w:tcPr>
          <w:p w14:paraId="4A003EF7" w14:textId="5C652379" w:rsidR="00300C42" w:rsidRPr="00510903" w:rsidRDefault="00300C42">
            <w:pPr>
              <w:spacing w:before="60" w:after="60"/>
              <w:jc w:val="center"/>
              <w:rPr>
                <w:sz w:val="20"/>
                <w:szCs w:val="20"/>
              </w:rPr>
            </w:pPr>
            <w:r w:rsidRPr="00510903">
              <w:rPr>
                <w:sz w:val="20"/>
                <w:szCs w:val="20"/>
              </w:rPr>
              <w:t>(1-port</w:t>
            </w:r>
            <w:r w:rsidR="00D04AD9">
              <w:rPr>
                <w:sz w:val="20"/>
                <w:szCs w:val="20"/>
              </w:rPr>
              <w:t>/total</w:t>
            </w:r>
            <w:r w:rsidRPr="00510903">
              <w:rPr>
                <w:sz w:val="20"/>
                <w:szCs w:val="20"/>
              </w:rPr>
              <w:t>) PDP</w:t>
            </w:r>
          </w:p>
        </w:tc>
      </w:tr>
      <w:tr w:rsidR="00300C42" w14:paraId="4D5AE523" w14:textId="77777777">
        <w:tc>
          <w:tcPr>
            <w:tcW w:w="1134" w:type="dxa"/>
            <w:vAlign w:val="center"/>
          </w:tcPr>
          <w:p w14:paraId="6E469B39" w14:textId="77777777" w:rsidR="00300C42" w:rsidRPr="00510903" w:rsidRDefault="00300C42">
            <w:pPr>
              <w:spacing w:before="60" w:after="60"/>
              <w:jc w:val="center"/>
              <w:rPr>
                <w:sz w:val="20"/>
                <w:szCs w:val="20"/>
              </w:rPr>
            </w:pPr>
            <w:r w:rsidRPr="00510903">
              <w:rPr>
                <w:sz w:val="20"/>
                <w:szCs w:val="20"/>
              </w:rPr>
              <w:t># paras</w:t>
            </w:r>
          </w:p>
        </w:tc>
        <w:tc>
          <w:tcPr>
            <w:tcW w:w="1089" w:type="dxa"/>
            <w:vAlign w:val="center"/>
          </w:tcPr>
          <w:p w14:paraId="25BDD843" w14:textId="77777777" w:rsidR="00300C42" w:rsidRPr="00510903" w:rsidRDefault="00300C42">
            <w:pPr>
              <w:spacing w:before="60" w:after="60"/>
              <w:jc w:val="center"/>
              <w:rPr>
                <w:sz w:val="20"/>
                <w:szCs w:val="20"/>
              </w:rPr>
            </w:pPr>
            <w:r w:rsidRPr="00510903">
              <w:rPr>
                <w:sz w:val="20"/>
                <w:szCs w:val="20"/>
              </w:rPr>
              <w:t>FLOPs</w:t>
            </w:r>
          </w:p>
        </w:tc>
        <w:tc>
          <w:tcPr>
            <w:tcW w:w="1027" w:type="dxa"/>
            <w:vAlign w:val="center"/>
          </w:tcPr>
          <w:p w14:paraId="7F1E543C" w14:textId="77777777" w:rsidR="00300C42" w:rsidRPr="00510903" w:rsidRDefault="00300C42">
            <w:pPr>
              <w:spacing w:before="60" w:after="60"/>
              <w:jc w:val="center"/>
              <w:rPr>
                <w:sz w:val="20"/>
                <w:szCs w:val="20"/>
              </w:rPr>
            </w:pPr>
            <w:r w:rsidRPr="00510903">
              <w:rPr>
                <w:sz w:val="20"/>
                <w:szCs w:val="20"/>
              </w:rPr>
              <w:t># paras</w:t>
            </w:r>
          </w:p>
        </w:tc>
        <w:tc>
          <w:tcPr>
            <w:tcW w:w="1027" w:type="dxa"/>
            <w:vAlign w:val="center"/>
          </w:tcPr>
          <w:p w14:paraId="49927017" w14:textId="77777777" w:rsidR="00300C42" w:rsidRPr="00510903" w:rsidRDefault="00300C42">
            <w:pPr>
              <w:spacing w:before="60" w:after="60"/>
              <w:jc w:val="center"/>
              <w:rPr>
                <w:sz w:val="20"/>
                <w:szCs w:val="20"/>
              </w:rPr>
            </w:pPr>
            <w:r w:rsidRPr="00510903">
              <w:rPr>
                <w:sz w:val="20"/>
                <w:szCs w:val="20"/>
              </w:rPr>
              <w:t>FLOPs</w:t>
            </w:r>
          </w:p>
        </w:tc>
        <w:tc>
          <w:tcPr>
            <w:tcW w:w="1140" w:type="dxa"/>
            <w:vAlign w:val="center"/>
          </w:tcPr>
          <w:p w14:paraId="11E30A95" w14:textId="77777777" w:rsidR="00300C42" w:rsidRPr="00510903" w:rsidRDefault="00300C42">
            <w:pPr>
              <w:spacing w:before="60" w:after="60"/>
              <w:jc w:val="center"/>
              <w:rPr>
                <w:sz w:val="20"/>
                <w:szCs w:val="20"/>
              </w:rPr>
            </w:pPr>
            <w:r w:rsidRPr="00510903">
              <w:rPr>
                <w:sz w:val="20"/>
                <w:szCs w:val="20"/>
              </w:rPr>
              <w:t># paras</w:t>
            </w:r>
          </w:p>
        </w:tc>
        <w:tc>
          <w:tcPr>
            <w:tcW w:w="1079" w:type="dxa"/>
            <w:vAlign w:val="center"/>
          </w:tcPr>
          <w:p w14:paraId="4E19C301" w14:textId="77777777" w:rsidR="00300C42" w:rsidRPr="00510903" w:rsidRDefault="00300C42">
            <w:pPr>
              <w:spacing w:before="60" w:after="60"/>
              <w:jc w:val="center"/>
              <w:rPr>
                <w:sz w:val="20"/>
                <w:szCs w:val="20"/>
              </w:rPr>
            </w:pPr>
            <w:r w:rsidRPr="00510903">
              <w:rPr>
                <w:sz w:val="20"/>
                <w:szCs w:val="20"/>
              </w:rPr>
              <w:t>FLOPs</w:t>
            </w:r>
          </w:p>
        </w:tc>
      </w:tr>
      <w:tr w:rsidR="00300C42" w14:paraId="3230845F" w14:textId="77777777">
        <w:tc>
          <w:tcPr>
            <w:tcW w:w="1134" w:type="dxa"/>
            <w:vAlign w:val="center"/>
          </w:tcPr>
          <w:p w14:paraId="33155F82" w14:textId="77777777" w:rsidR="00300C42" w:rsidRPr="00510903" w:rsidRDefault="00300C42">
            <w:pPr>
              <w:spacing w:before="60" w:after="60"/>
              <w:jc w:val="center"/>
              <w:rPr>
                <w:sz w:val="20"/>
                <w:szCs w:val="20"/>
              </w:rPr>
            </w:pPr>
            <w:r w:rsidRPr="00510903">
              <w:rPr>
                <w:sz w:val="20"/>
                <w:szCs w:val="20"/>
              </w:rPr>
              <w:t>0.73 M</w:t>
            </w:r>
          </w:p>
        </w:tc>
        <w:tc>
          <w:tcPr>
            <w:tcW w:w="1089" w:type="dxa"/>
            <w:vAlign w:val="center"/>
          </w:tcPr>
          <w:p w14:paraId="55FDD85D" w14:textId="77777777" w:rsidR="00300C42" w:rsidRPr="00510903" w:rsidRDefault="00300C42">
            <w:pPr>
              <w:spacing w:before="60" w:after="60"/>
              <w:jc w:val="center"/>
              <w:rPr>
                <w:sz w:val="20"/>
                <w:szCs w:val="20"/>
              </w:rPr>
            </w:pPr>
            <w:r w:rsidRPr="00510903">
              <w:rPr>
                <w:sz w:val="20"/>
                <w:szCs w:val="20"/>
              </w:rPr>
              <w:t>32 M</w:t>
            </w:r>
          </w:p>
        </w:tc>
        <w:tc>
          <w:tcPr>
            <w:tcW w:w="1027" w:type="dxa"/>
          </w:tcPr>
          <w:p w14:paraId="06625556" w14:textId="77777777" w:rsidR="00300C42" w:rsidRPr="00510903" w:rsidRDefault="00300C42">
            <w:pPr>
              <w:spacing w:before="60" w:after="60"/>
              <w:jc w:val="center"/>
              <w:rPr>
                <w:sz w:val="20"/>
                <w:szCs w:val="20"/>
              </w:rPr>
            </w:pPr>
            <w:r w:rsidRPr="00510903">
              <w:rPr>
                <w:sz w:val="20"/>
                <w:szCs w:val="20"/>
              </w:rPr>
              <w:t>0.52 M</w:t>
            </w:r>
          </w:p>
        </w:tc>
        <w:tc>
          <w:tcPr>
            <w:tcW w:w="1027" w:type="dxa"/>
          </w:tcPr>
          <w:p w14:paraId="057066CA" w14:textId="77777777" w:rsidR="00300C42" w:rsidRPr="00510903" w:rsidRDefault="00300C42">
            <w:pPr>
              <w:spacing w:before="60" w:after="60"/>
              <w:jc w:val="center"/>
              <w:rPr>
                <w:sz w:val="20"/>
                <w:szCs w:val="20"/>
              </w:rPr>
            </w:pPr>
            <w:r w:rsidRPr="00510903">
              <w:rPr>
                <w:sz w:val="20"/>
                <w:szCs w:val="20"/>
              </w:rPr>
              <w:t>21 M</w:t>
            </w:r>
          </w:p>
        </w:tc>
        <w:tc>
          <w:tcPr>
            <w:tcW w:w="1140" w:type="dxa"/>
            <w:vAlign w:val="center"/>
          </w:tcPr>
          <w:p w14:paraId="4423FCBE" w14:textId="77777777" w:rsidR="00300C42" w:rsidRPr="00510903" w:rsidRDefault="00300C42">
            <w:pPr>
              <w:spacing w:before="60" w:after="60"/>
              <w:jc w:val="center"/>
              <w:rPr>
                <w:sz w:val="20"/>
                <w:szCs w:val="20"/>
              </w:rPr>
            </w:pPr>
            <w:r w:rsidRPr="00510903">
              <w:rPr>
                <w:sz w:val="20"/>
                <w:szCs w:val="20"/>
              </w:rPr>
              <w:t>0.36 M</w:t>
            </w:r>
          </w:p>
        </w:tc>
        <w:tc>
          <w:tcPr>
            <w:tcW w:w="1079" w:type="dxa"/>
            <w:vAlign w:val="center"/>
          </w:tcPr>
          <w:p w14:paraId="33A3E90E" w14:textId="77777777" w:rsidR="00300C42" w:rsidRPr="00510903" w:rsidRDefault="00300C42">
            <w:pPr>
              <w:spacing w:before="60" w:after="60"/>
              <w:jc w:val="center"/>
              <w:rPr>
                <w:sz w:val="20"/>
                <w:szCs w:val="20"/>
              </w:rPr>
            </w:pPr>
            <w:r w:rsidRPr="00510903">
              <w:rPr>
                <w:sz w:val="20"/>
                <w:szCs w:val="20"/>
              </w:rPr>
              <w:t>9 M</w:t>
            </w:r>
          </w:p>
        </w:tc>
      </w:tr>
    </w:tbl>
    <w:p w14:paraId="2B2ED97F" w14:textId="026CE697" w:rsidR="00300C42" w:rsidRPr="00E215F0" w:rsidRDefault="00300C42" w:rsidP="00300C42">
      <w:pPr>
        <w:pStyle w:val="Heading4"/>
        <w:rPr>
          <w:lang w:val="en-US"/>
        </w:rPr>
      </w:pPr>
      <w:bookmarkStart w:id="907" w:name="_Ref165982714"/>
      <w:bookmarkStart w:id="908" w:name="_Toc165990992"/>
      <w:bookmarkStart w:id="909" w:name="_Ref163048709"/>
      <w:bookmarkStart w:id="910" w:name="_Toc178961661"/>
      <w:r>
        <w:rPr>
          <w:lang w:val="en-US"/>
        </w:rPr>
        <w:t>S</w:t>
      </w:r>
      <w:r w:rsidRPr="00E215F0">
        <w:rPr>
          <w:lang w:val="en-US"/>
        </w:rPr>
        <w:t>ignaling size</w:t>
      </w:r>
      <w:r w:rsidR="00D01D0D">
        <w:rPr>
          <w:lang w:val="en-US"/>
        </w:rPr>
        <w:t>s</w:t>
      </w:r>
      <w:r w:rsidRPr="00E215F0">
        <w:rPr>
          <w:lang w:val="en-US"/>
        </w:rPr>
        <w:t xml:space="preserve"> based on </w:t>
      </w:r>
      <w:r w:rsidR="009E4CA2">
        <w:rPr>
          <w:lang w:val="en-US"/>
        </w:rPr>
        <w:t xml:space="preserve">simple </w:t>
      </w:r>
      <w:r w:rsidR="00CE69E6">
        <w:rPr>
          <w:lang w:val="en-US"/>
        </w:rPr>
        <w:t xml:space="preserve">direct sample timing </w:t>
      </w:r>
      <w:r w:rsidR="003B0187">
        <w:rPr>
          <w:lang w:val="en-US"/>
        </w:rPr>
        <w:t>bitmaps</w:t>
      </w:r>
      <w:bookmarkEnd w:id="907"/>
      <w:bookmarkEnd w:id="908"/>
      <w:bookmarkEnd w:id="909"/>
      <w:bookmarkEnd w:id="910"/>
    </w:p>
    <w:p w14:paraId="3F5A964F" w14:textId="77777777" w:rsidR="00300C42" w:rsidRPr="00E215F0" w:rsidRDefault="00300C42" w:rsidP="00300C42">
      <w:r w:rsidRPr="00E215F0">
        <w:t>The signaling of one TRP link for the DP input type consists of one part:</w:t>
      </w:r>
    </w:p>
    <w:p w14:paraId="11451EE2" w14:textId="77777777" w:rsidR="00300C42" w:rsidRPr="00E215F0" w:rsidRDefault="00300C42" w:rsidP="00D35F36">
      <w:pPr>
        <w:pStyle w:val="ListParagraph"/>
        <w:numPr>
          <w:ilvl w:val="0"/>
          <w:numId w:val="22"/>
        </w:numPr>
      </w:pPr>
      <w:r w:rsidRPr="00E215F0">
        <w:t>Part 1: a bitmap of length N</w:t>
      </w:r>
      <w:r w:rsidRPr="00DC32F9">
        <w:rPr>
          <w:vertAlign w:val="subscript"/>
        </w:rPr>
        <w:t>t</w:t>
      </w:r>
      <w:r w:rsidRPr="00E215F0" w:rsidDel="00DB440D">
        <w:t xml:space="preserve"> </w:t>
      </w:r>
      <w:r w:rsidRPr="00E215F0">
        <w:t>to indicate locations of non-zero samples</w:t>
      </w:r>
    </w:p>
    <w:p w14:paraId="23BE70D6" w14:textId="77777777" w:rsidR="00300C42" w:rsidRPr="00E215F0" w:rsidRDefault="00300C42" w:rsidP="00D35F36">
      <w:pPr>
        <w:pStyle w:val="ListParagraph"/>
        <w:numPr>
          <w:ilvl w:val="1"/>
          <w:numId w:val="22"/>
        </w:numPr>
      </w:pPr>
      <w:r w:rsidRPr="00E215F0">
        <w:t>This part is to support sub-sampling the TD measurement samples.</w:t>
      </w:r>
    </w:p>
    <w:p w14:paraId="5BFB8613" w14:textId="77777777" w:rsidR="00300C42" w:rsidRDefault="00300C42" w:rsidP="00D35F36">
      <w:pPr>
        <w:pStyle w:val="ListParagraph"/>
        <w:numPr>
          <w:ilvl w:val="2"/>
          <w:numId w:val="22"/>
        </w:numPr>
      </w:pPr>
      <w:r w:rsidRPr="00E215F0">
        <w:t>The number of indicated non-zero samples in this bitmap is denoted by N</w:t>
      </w:r>
      <w:r w:rsidRPr="00CD59F9">
        <w:rPr>
          <w:vertAlign w:val="subscript"/>
        </w:rPr>
        <w:t>t</w:t>
      </w:r>
      <w:r>
        <w:t>'</w:t>
      </w:r>
      <w:r w:rsidRPr="00E215F0">
        <w:t>.</w:t>
      </w:r>
    </w:p>
    <w:p w14:paraId="5B5379EA" w14:textId="77777777" w:rsidR="00300C42" w:rsidRPr="00E215F0" w:rsidRDefault="00300C42" w:rsidP="00D35F36">
      <w:pPr>
        <w:pStyle w:val="ListParagraph"/>
        <w:numPr>
          <w:ilvl w:val="1"/>
          <w:numId w:val="22"/>
        </w:numPr>
      </w:pPr>
      <w:r>
        <w:t xml:space="preserve">For PDP and CIR, if sub-sampling is not </w:t>
      </w:r>
      <w:r w:rsidRPr="00E215F0">
        <w:rPr>
          <w:rFonts w:cs="Arial"/>
        </w:rPr>
        <w:t>configured</w:t>
      </w:r>
      <w:r>
        <w:t xml:space="preserve">, then this part is not needed and </w:t>
      </w:r>
      <w:r w:rsidRPr="00E215F0">
        <w:t>N</w:t>
      </w:r>
      <w:r w:rsidRPr="00DC32F9">
        <w:rPr>
          <w:vertAlign w:val="subscript"/>
        </w:rPr>
        <w:t>t</w:t>
      </w:r>
      <w:r>
        <w:t>'=</w:t>
      </w:r>
      <w:r w:rsidRPr="00717C86">
        <w:t xml:space="preserve"> </w:t>
      </w:r>
      <w:r w:rsidRPr="00E215F0">
        <w:t>N</w:t>
      </w:r>
      <w:r w:rsidRPr="00DC32F9">
        <w:rPr>
          <w:vertAlign w:val="subscript"/>
        </w:rPr>
        <w:t>t</w:t>
      </w:r>
      <w:r w:rsidDel="00717C86">
        <w:t xml:space="preserve"> </w:t>
      </w:r>
      <w:r>
        <w:t>in the following.</w:t>
      </w:r>
    </w:p>
    <w:p w14:paraId="2C78FF3E" w14:textId="77777777" w:rsidR="00300C42" w:rsidRPr="00E215F0" w:rsidRDefault="00300C42" w:rsidP="00300C42">
      <w:r w:rsidRPr="00E215F0">
        <w:t xml:space="preserve">The signaling of one TRP link for the PDP input type consists of </w:t>
      </w:r>
      <w:r>
        <w:t>Part 1 as defined above and</w:t>
      </w:r>
    </w:p>
    <w:p w14:paraId="38E4C351" w14:textId="77777777" w:rsidR="00300C42" w:rsidRPr="00E215F0" w:rsidRDefault="00300C42" w:rsidP="00D35F36">
      <w:pPr>
        <w:pStyle w:val="ListParagraph"/>
        <w:numPr>
          <w:ilvl w:val="0"/>
          <w:numId w:val="22"/>
        </w:numPr>
      </w:pPr>
      <w:r w:rsidRPr="00E215F0">
        <w:t>Part 2: N</w:t>
      </w:r>
      <w:r w:rsidRPr="00DC32F9">
        <w:rPr>
          <w:vertAlign w:val="subscript"/>
        </w:rPr>
        <w:t>t</w:t>
      </w:r>
      <w:r>
        <w:t>'</w:t>
      </w:r>
      <w:r w:rsidRPr="00E215F0">
        <w:t xml:space="preserve"> powers (or magnitudes) of non-zero samples starting from the lowest tap indices.</w:t>
      </w:r>
    </w:p>
    <w:p w14:paraId="3B25D371" w14:textId="77777777" w:rsidR="00300C42" w:rsidRPr="00E215F0" w:rsidRDefault="00300C42" w:rsidP="00300C42">
      <w:r w:rsidRPr="00E215F0">
        <w:t xml:space="preserve">The signaling of one TRP link for the CIR input type consists of </w:t>
      </w:r>
      <w:r>
        <w:t>Part 1 and Part 2 as defined above as well as</w:t>
      </w:r>
    </w:p>
    <w:p w14:paraId="352D67CC" w14:textId="77777777" w:rsidR="00300C42" w:rsidRPr="00E215F0" w:rsidRDefault="00300C42" w:rsidP="00D35F36">
      <w:pPr>
        <w:pStyle w:val="ListParagraph"/>
        <w:numPr>
          <w:ilvl w:val="0"/>
          <w:numId w:val="22"/>
        </w:numPr>
      </w:pPr>
      <w:r w:rsidRPr="00E215F0">
        <w:t>Part 3: N</w:t>
      </w:r>
      <w:r w:rsidRPr="00DC32F9">
        <w:rPr>
          <w:vertAlign w:val="subscript"/>
        </w:rPr>
        <w:t>t</w:t>
      </w:r>
      <w:r>
        <w:t>'</w:t>
      </w:r>
      <w:r w:rsidRPr="00E215F0">
        <w:t xml:space="preserve"> phase of non-zero samples starting from the lowest tap indices.</w:t>
      </w:r>
    </w:p>
    <w:p w14:paraId="29F3DD78" w14:textId="77777777" w:rsidR="00300C42" w:rsidRPr="00E215F0" w:rsidRDefault="00300C42" w:rsidP="00300C42">
      <w:r>
        <w:t xml:space="preserve">If the signaling contains feedbacks for </w:t>
      </w:r>
      <w:r w:rsidRPr="00E215F0">
        <w:t>N</w:t>
      </w:r>
      <w:r w:rsidRPr="00E215F0">
        <w:rPr>
          <w:vertAlign w:val="subscript"/>
        </w:rPr>
        <w:t>TRP</w:t>
      </w:r>
      <w:r>
        <w:t xml:space="preserve"> links, the number of bits for each part is</w:t>
      </w:r>
    </w:p>
    <w:p w14:paraId="0B840EB4" w14:textId="77777777" w:rsidR="00300C42" w:rsidRPr="00E215F0" w:rsidRDefault="00300C42" w:rsidP="00D35F36">
      <w:pPr>
        <w:pStyle w:val="ListParagraph"/>
        <w:numPr>
          <w:ilvl w:val="0"/>
          <w:numId w:val="25"/>
        </w:numPr>
      </w:pPr>
      <w:r w:rsidRPr="00E215F0">
        <w:lastRenderedPageBreak/>
        <w:t>Part 1: N</w:t>
      </w:r>
      <w:r w:rsidRPr="00E215F0">
        <w:rPr>
          <w:vertAlign w:val="subscript"/>
        </w:rPr>
        <w:t>TRP</w:t>
      </w:r>
      <w:r w:rsidRPr="00E215F0">
        <w:t xml:space="preserve"> </w:t>
      </w:r>
      <w:r w:rsidRPr="00E215F0">
        <w:rPr>
          <w:rFonts w:cs="Arial"/>
        </w:rPr>
        <w:t>×</w:t>
      </w:r>
      <w:r w:rsidRPr="00E215F0">
        <w:t xml:space="preserve"> N</w:t>
      </w:r>
      <w:r w:rsidRPr="00DC32F9">
        <w:rPr>
          <w:vertAlign w:val="subscript"/>
        </w:rPr>
        <w:t>t</w:t>
      </w:r>
      <w:r w:rsidRPr="00E215F0" w:rsidDel="00717C86">
        <w:t xml:space="preserve"> </w:t>
      </w:r>
      <w:r w:rsidRPr="00E215F0">
        <w:t>bits</w:t>
      </w:r>
    </w:p>
    <w:p w14:paraId="6434B527" w14:textId="77777777" w:rsidR="00300C42" w:rsidRPr="00E215F0" w:rsidRDefault="00300C42" w:rsidP="00D35F36">
      <w:pPr>
        <w:pStyle w:val="ListParagraph"/>
        <w:numPr>
          <w:ilvl w:val="0"/>
          <w:numId w:val="25"/>
        </w:numPr>
      </w:pPr>
      <w:r w:rsidRPr="00E215F0">
        <w:t>Part 2: N</w:t>
      </w:r>
      <w:r w:rsidRPr="00E215F0">
        <w:rPr>
          <w:vertAlign w:val="subscript"/>
        </w:rPr>
        <w:t>TRP</w:t>
      </w:r>
      <w:r w:rsidRPr="00E215F0">
        <w:t xml:space="preserve"> </w:t>
      </w:r>
      <w:r w:rsidRPr="00E215F0">
        <w:rPr>
          <w:rFonts w:cs="Arial"/>
        </w:rPr>
        <w:t>×</w:t>
      </w:r>
      <w:r w:rsidRPr="00E215F0">
        <w:t xml:space="preserve"> N</w:t>
      </w:r>
      <w:r w:rsidRPr="00E215F0">
        <w:rPr>
          <w:vertAlign w:val="subscript"/>
        </w:rPr>
        <w:t>port</w:t>
      </w:r>
      <w:r w:rsidRPr="00E215F0">
        <w:t xml:space="preserve"> </w:t>
      </w:r>
      <w:r w:rsidRPr="00E215F0">
        <w:rPr>
          <w:rFonts w:cs="Arial"/>
        </w:rPr>
        <w:t xml:space="preserve">× </w:t>
      </w:r>
      <w:r w:rsidRPr="00E215F0">
        <w:t>N</w:t>
      </w:r>
      <w:r w:rsidRPr="00DC32F9">
        <w:rPr>
          <w:vertAlign w:val="subscript"/>
        </w:rPr>
        <w:t>t</w:t>
      </w:r>
      <w:r>
        <w:t>'</w:t>
      </w:r>
      <w:r w:rsidRPr="00E215F0">
        <w:rPr>
          <w:rFonts w:cs="Arial"/>
        </w:rPr>
        <w:t xml:space="preserve"> × </w:t>
      </w:r>
      <w:r w:rsidRPr="00E215F0">
        <w:t>B</w:t>
      </w:r>
      <w:r w:rsidRPr="00E215F0">
        <w:rPr>
          <w:vertAlign w:val="subscript"/>
        </w:rPr>
        <w:t>real</w:t>
      </w:r>
      <w:r w:rsidRPr="00E215F0">
        <w:t xml:space="preserve"> </w:t>
      </w:r>
      <w:r w:rsidRPr="00E215F0">
        <w:rPr>
          <w:rFonts w:cs="Arial"/>
        </w:rPr>
        <w:t>bits</w:t>
      </w:r>
    </w:p>
    <w:p w14:paraId="551687FC" w14:textId="77777777" w:rsidR="00300C42" w:rsidRPr="00E215F0" w:rsidRDefault="00300C42" w:rsidP="00D35F36">
      <w:pPr>
        <w:pStyle w:val="ListParagraph"/>
        <w:numPr>
          <w:ilvl w:val="0"/>
          <w:numId w:val="25"/>
        </w:numPr>
      </w:pPr>
      <w:r w:rsidRPr="00E215F0">
        <w:t>Part 3: N</w:t>
      </w:r>
      <w:r w:rsidRPr="00E215F0">
        <w:rPr>
          <w:vertAlign w:val="subscript"/>
        </w:rPr>
        <w:t>TRP</w:t>
      </w:r>
      <w:r w:rsidRPr="00E215F0">
        <w:t xml:space="preserve"> </w:t>
      </w:r>
      <w:r w:rsidRPr="00E215F0">
        <w:rPr>
          <w:rFonts w:cs="Arial"/>
        </w:rPr>
        <w:t>×</w:t>
      </w:r>
      <w:r w:rsidRPr="00E215F0">
        <w:t xml:space="preserve"> N</w:t>
      </w:r>
      <w:r w:rsidRPr="00E215F0">
        <w:rPr>
          <w:vertAlign w:val="subscript"/>
        </w:rPr>
        <w:t>port</w:t>
      </w:r>
      <w:r w:rsidRPr="00E215F0">
        <w:t xml:space="preserve"> </w:t>
      </w:r>
      <w:r w:rsidRPr="00E215F0">
        <w:rPr>
          <w:rFonts w:cs="Arial"/>
        </w:rPr>
        <w:t xml:space="preserve">× </w:t>
      </w:r>
      <w:r w:rsidRPr="00E215F0">
        <w:t>N</w:t>
      </w:r>
      <w:r w:rsidRPr="00DC32F9">
        <w:rPr>
          <w:vertAlign w:val="subscript"/>
        </w:rPr>
        <w:t>t</w:t>
      </w:r>
      <w:r>
        <w:t>'</w:t>
      </w:r>
      <w:r w:rsidRPr="00E215F0">
        <w:rPr>
          <w:rFonts w:cs="Arial"/>
        </w:rPr>
        <w:t xml:space="preserve"> × </w:t>
      </w:r>
      <w:r w:rsidRPr="00E215F0">
        <w:t>B</w:t>
      </w:r>
      <w:r w:rsidRPr="00E215F0">
        <w:rPr>
          <w:vertAlign w:val="subscript"/>
        </w:rPr>
        <w:t>real</w:t>
      </w:r>
      <w:r w:rsidRPr="00E215F0">
        <w:t xml:space="preserve"> </w:t>
      </w:r>
      <w:r w:rsidRPr="00E215F0">
        <w:rPr>
          <w:rFonts w:cs="Arial"/>
        </w:rPr>
        <w:t>bits</w:t>
      </w:r>
    </w:p>
    <w:p w14:paraId="5C6BC130" w14:textId="77777777" w:rsidR="00300C42" w:rsidRDefault="00300C42" w:rsidP="00300C42">
      <w:r>
        <w:t xml:space="preserve">where </w:t>
      </w:r>
    </w:p>
    <w:p w14:paraId="2CDF24D5" w14:textId="77777777" w:rsidR="00300C42" w:rsidRPr="00E215F0" w:rsidRDefault="00300C42" w:rsidP="00D35F36">
      <w:pPr>
        <w:pStyle w:val="ListParagraph"/>
        <w:numPr>
          <w:ilvl w:val="0"/>
          <w:numId w:val="24"/>
        </w:numPr>
      </w:pPr>
      <w:r w:rsidRPr="00E215F0">
        <w:t>N</w:t>
      </w:r>
      <w:r w:rsidRPr="00E215F0">
        <w:rPr>
          <w:vertAlign w:val="subscript"/>
        </w:rPr>
        <w:t>TRP</w:t>
      </w:r>
      <w:r w:rsidRPr="00E215F0">
        <w:t xml:space="preserve"> = 18 or dynamic TRP selection to 9, 6, 3 TRPs</w:t>
      </w:r>
    </w:p>
    <w:p w14:paraId="0794C36B" w14:textId="77777777" w:rsidR="00300C42" w:rsidRPr="00E215F0" w:rsidRDefault="00300C42" w:rsidP="00D35F36">
      <w:pPr>
        <w:pStyle w:val="ListParagraph"/>
        <w:numPr>
          <w:ilvl w:val="0"/>
          <w:numId w:val="24"/>
        </w:numPr>
      </w:pPr>
      <w:r w:rsidRPr="00E215F0">
        <w:t>N</w:t>
      </w:r>
      <w:r w:rsidRPr="00E215F0">
        <w:rPr>
          <w:vertAlign w:val="subscript"/>
        </w:rPr>
        <w:t>port</w:t>
      </w:r>
      <w:r w:rsidRPr="00E215F0">
        <w:t xml:space="preserve"> = 2 for </w:t>
      </w:r>
      <w:r>
        <w:t xml:space="preserve">2-port </w:t>
      </w:r>
      <w:r w:rsidRPr="00E215F0">
        <w:t>CIR and N</w:t>
      </w:r>
      <w:r w:rsidRPr="00E215F0">
        <w:rPr>
          <w:vertAlign w:val="subscript"/>
        </w:rPr>
        <w:t>port</w:t>
      </w:r>
      <w:r w:rsidRPr="00E215F0">
        <w:t xml:space="preserve"> = 1 for PDP</w:t>
      </w:r>
      <w:r>
        <w:t xml:space="preserve"> and 1</w:t>
      </w:r>
      <w:r w:rsidRPr="0028564E">
        <w:rPr>
          <w:vertAlign w:val="superscript"/>
        </w:rPr>
        <w:t>st</w:t>
      </w:r>
      <w:r>
        <w:t xml:space="preserve"> PC CIR</w:t>
      </w:r>
    </w:p>
    <w:p w14:paraId="711990A6" w14:textId="77777777" w:rsidR="00300C42" w:rsidRPr="00E215F0" w:rsidRDefault="00300C42" w:rsidP="00D35F36">
      <w:pPr>
        <w:pStyle w:val="ListParagraph"/>
        <w:numPr>
          <w:ilvl w:val="0"/>
          <w:numId w:val="25"/>
        </w:numPr>
      </w:pPr>
      <w:r w:rsidRPr="00E215F0">
        <w:t>B</w:t>
      </w:r>
      <w:r w:rsidRPr="00E215F0">
        <w:rPr>
          <w:vertAlign w:val="subscript"/>
        </w:rPr>
        <w:t>real</w:t>
      </w:r>
      <w:r w:rsidRPr="00E215F0">
        <w:t xml:space="preserve"> = 8 </w:t>
      </w:r>
      <w:r>
        <w:t>bits</w:t>
      </w:r>
    </w:p>
    <w:p w14:paraId="7CCF13A8" w14:textId="6EE6F553" w:rsidR="00300C42" w:rsidRPr="00E215F0" w:rsidRDefault="00300C42" w:rsidP="00300C42">
      <w:r w:rsidRPr="00E215F0">
        <w:t xml:space="preserve">That is, for one positioning request, the total numbers of feedback bits </w:t>
      </w:r>
      <w:r w:rsidR="00897377">
        <w:t>for reporting measurement</w:t>
      </w:r>
      <w:r w:rsidRPr="00E215F0">
        <w:t xml:space="preserve"> are</w:t>
      </w:r>
    </w:p>
    <w:p w14:paraId="2F320ED7" w14:textId="77777777" w:rsidR="00300C42" w:rsidRPr="00E215F0" w:rsidRDefault="00300C42" w:rsidP="00D35F36">
      <w:pPr>
        <w:pStyle w:val="ListParagraph"/>
        <w:numPr>
          <w:ilvl w:val="0"/>
          <w:numId w:val="26"/>
        </w:numPr>
        <w:tabs>
          <w:tab w:val="left" w:pos="1260"/>
        </w:tabs>
      </w:pPr>
      <w:r w:rsidRPr="00E215F0">
        <w:t>DP</w:t>
      </w:r>
    </w:p>
    <w:p w14:paraId="2E701CDB" w14:textId="77777777" w:rsidR="00300C42" w:rsidRDefault="00300C42"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N</w:t>
      </w:r>
      <w:r w:rsidRPr="00DC32F9">
        <w:rPr>
          <w:vertAlign w:val="subscript"/>
        </w:rPr>
        <w:t>t</w:t>
      </w:r>
      <w:r w:rsidRPr="00E215F0">
        <w:t xml:space="preserve"> bits</w:t>
      </w:r>
    </w:p>
    <w:p w14:paraId="1E0FD3BB" w14:textId="77777777" w:rsidR="00300C42" w:rsidRPr="00015788" w:rsidRDefault="00300C42" w:rsidP="00D35F36">
      <w:pPr>
        <w:pStyle w:val="ListParagraph"/>
        <w:numPr>
          <w:ilvl w:val="1"/>
          <w:numId w:val="26"/>
        </w:numPr>
        <w:tabs>
          <w:tab w:val="left" w:pos="1260"/>
        </w:tabs>
      </w:pPr>
      <w:r w:rsidRPr="00015788">
        <w:t>Optional: N</w:t>
      </w:r>
      <w:r w:rsidRPr="00015788">
        <w:rPr>
          <w:vertAlign w:val="subscript"/>
        </w:rPr>
        <w:t>TRP</w:t>
      </w:r>
      <w:r w:rsidRPr="00015788">
        <w:t xml:space="preserve"> </w:t>
      </w:r>
      <w:r w:rsidRPr="00015788">
        <w:rPr>
          <w:rFonts w:cs="Arial"/>
        </w:rPr>
        <w:t>×</w:t>
      </w:r>
      <w:r w:rsidRPr="00015788">
        <w:t xml:space="preserve"> </w:t>
      </w:r>
      <w:r>
        <w:t>(</w:t>
      </w:r>
      <w:r w:rsidRPr="00E215F0">
        <w:t>N</w:t>
      </w:r>
      <w:r w:rsidRPr="00DC32F9">
        <w:rPr>
          <w:vertAlign w:val="subscript"/>
        </w:rPr>
        <w:t>t</w:t>
      </w:r>
      <w:r w:rsidRPr="00015788" w:rsidDel="00717C86">
        <w:t xml:space="preserve"> </w:t>
      </w:r>
      <w:r w:rsidRPr="00015788">
        <w:t>+ B</w:t>
      </w:r>
      <w:r w:rsidRPr="00015788">
        <w:rPr>
          <w:vertAlign w:val="subscript"/>
        </w:rPr>
        <w:t>real</w:t>
      </w:r>
      <w:r>
        <w:t xml:space="preserve">) </w:t>
      </w:r>
      <w:r w:rsidRPr="00015788">
        <w:t>bits (including the RS RSRP for the TRP link</w:t>
      </w:r>
      <w:r>
        <w:t>s)</w:t>
      </w:r>
    </w:p>
    <w:p w14:paraId="603A5C10" w14:textId="77777777" w:rsidR="00300C42" w:rsidRPr="00E215F0" w:rsidRDefault="00300C42" w:rsidP="00D35F36">
      <w:pPr>
        <w:pStyle w:val="ListParagraph"/>
        <w:numPr>
          <w:ilvl w:val="0"/>
          <w:numId w:val="26"/>
        </w:numPr>
        <w:tabs>
          <w:tab w:val="left" w:pos="1260"/>
        </w:tabs>
      </w:pPr>
      <w:r w:rsidRPr="00E215F0">
        <w:t>PDP</w:t>
      </w:r>
    </w:p>
    <w:p w14:paraId="39EAB551" w14:textId="77777777" w:rsidR="00300C42" w:rsidRPr="00E215F0" w:rsidRDefault="00300C42" w:rsidP="00D35F36">
      <w:pPr>
        <w:pStyle w:val="ListParagraph"/>
        <w:numPr>
          <w:ilvl w:val="1"/>
          <w:numId w:val="26"/>
        </w:numPr>
        <w:tabs>
          <w:tab w:val="left" w:pos="1260"/>
        </w:tabs>
      </w:pPr>
      <w:r w:rsidRPr="00E215F0">
        <w:t>N</w:t>
      </w:r>
      <w:r w:rsidRPr="00E215F0">
        <w:rPr>
          <w:vertAlign w:val="subscript"/>
        </w:rPr>
        <w:t>TRP</w:t>
      </w:r>
      <w:r w:rsidRPr="00E215F0">
        <w:rPr>
          <w:rFonts w:cs="Arial"/>
        </w:rPr>
        <w:t xml:space="preserve"> × </w:t>
      </w:r>
      <w:r w:rsidRPr="00E215F0">
        <w:t>N</w:t>
      </w:r>
      <w:r w:rsidRPr="00DC32F9">
        <w:rPr>
          <w:vertAlign w:val="subscript"/>
        </w:rPr>
        <w:t>t</w:t>
      </w:r>
      <w:r w:rsidRPr="00E215F0" w:rsidDel="00717C86">
        <w:rPr>
          <w:rFonts w:cs="Arial"/>
        </w:rPr>
        <w:t xml:space="preserve"> </w:t>
      </w:r>
      <w:r w:rsidRPr="00E215F0">
        <w:rPr>
          <w:rFonts w:cs="Arial"/>
        </w:rPr>
        <w:t xml:space="preserve">× </w:t>
      </w:r>
      <w:r w:rsidRPr="00E215F0">
        <w:t>B</w:t>
      </w:r>
      <w:r w:rsidRPr="00E215F0">
        <w:rPr>
          <w:vertAlign w:val="subscript"/>
        </w:rPr>
        <w:t>real</w:t>
      </w:r>
      <w:r w:rsidRPr="00E215F0">
        <w:t xml:space="preserve"> </w:t>
      </w:r>
      <w:r w:rsidRPr="00E215F0">
        <w:rPr>
          <w:rFonts w:cs="Arial"/>
        </w:rPr>
        <w:t>bits if sub-sampling is not configured</w:t>
      </w:r>
    </w:p>
    <w:p w14:paraId="7C3AC6A7" w14:textId="77777777" w:rsidR="00300C42" w:rsidRPr="00E215F0" w:rsidRDefault="00300C42"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r>
        <w:t>(</w:t>
      </w:r>
      <w:r w:rsidRPr="00E215F0">
        <w:t>N</w:t>
      </w:r>
      <w:r w:rsidRPr="00DC32F9">
        <w:rPr>
          <w:vertAlign w:val="subscript"/>
        </w:rPr>
        <w:t>t</w:t>
      </w:r>
      <w:r w:rsidRPr="00E215F0" w:rsidDel="00717C86">
        <w:t xml:space="preserve"> </w:t>
      </w:r>
      <w:r w:rsidRPr="00E215F0">
        <w:rPr>
          <w:rFonts w:cs="Arial"/>
        </w:rPr>
        <w:t xml:space="preserve">+ </w:t>
      </w:r>
      <w:r w:rsidRPr="00E215F0">
        <w:t>N</w:t>
      </w:r>
      <w:r w:rsidRPr="00DC32F9">
        <w:rPr>
          <w:vertAlign w:val="subscript"/>
        </w:rPr>
        <w:t>t</w:t>
      </w:r>
      <w:r>
        <w:t>'</w:t>
      </w:r>
      <w:r w:rsidRPr="00E215F0">
        <w:rPr>
          <w:rFonts w:cs="Arial"/>
        </w:rPr>
        <w:t xml:space="preserve"> × </w:t>
      </w:r>
      <w:r w:rsidRPr="00E215F0">
        <w:t>B</w:t>
      </w:r>
      <w:r w:rsidRPr="00E215F0">
        <w:rPr>
          <w:vertAlign w:val="subscript"/>
        </w:rPr>
        <w:t>real</w:t>
      </w:r>
      <w:r>
        <w:t xml:space="preserve">) </w:t>
      </w:r>
      <w:r w:rsidRPr="00E215F0">
        <w:rPr>
          <w:rFonts w:cs="Arial"/>
        </w:rPr>
        <w:t>bits if sub-sampling is configured</w:t>
      </w:r>
    </w:p>
    <w:p w14:paraId="75E3F9E3" w14:textId="77777777" w:rsidR="00300C42" w:rsidRPr="00E215F0" w:rsidRDefault="00300C42" w:rsidP="00D35F36">
      <w:pPr>
        <w:pStyle w:val="ListParagraph"/>
        <w:numPr>
          <w:ilvl w:val="0"/>
          <w:numId w:val="26"/>
        </w:numPr>
        <w:tabs>
          <w:tab w:val="left" w:pos="1260"/>
        </w:tabs>
      </w:pPr>
      <w:r>
        <w:t xml:space="preserve">2-port </w:t>
      </w:r>
      <w:r w:rsidRPr="00E215F0">
        <w:t>CIR</w:t>
      </w:r>
    </w:p>
    <w:p w14:paraId="45F6782B" w14:textId="77777777" w:rsidR="00300C42" w:rsidRPr="00E215F0" w:rsidRDefault="00300C42" w:rsidP="00D35F36">
      <w:pPr>
        <w:pStyle w:val="ListParagraph"/>
        <w:numPr>
          <w:ilvl w:val="1"/>
          <w:numId w:val="26"/>
        </w:numPr>
        <w:tabs>
          <w:tab w:val="left" w:pos="1260"/>
        </w:tabs>
      </w:pPr>
      <w:r w:rsidRPr="00E215F0">
        <w:t>N</w:t>
      </w:r>
      <w:r w:rsidRPr="00E215F0">
        <w:rPr>
          <w:vertAlign w:val="subscript"/>
        </w:rPr>
        <w:t>TRP</w:t>
      </w:r>
      <w:r w:rsidRPr="00E215F0">
        <w:rPr>
          <w:rFonts w:cs="Arial"/>
        </w:rPr>
        <w:t xml:space="preserve"> × </w:t>
      </w:r>
      <w:r w:rsidRPr="00E215F0">
        <w:t xml:space="preserve">4 </w:t>
      </w:r>
      <w:r w:rsidRPr="00E215F0">
        <w:rPr>
          <w:rFonts w:cs="Arial"/>
        </w:rPr>
        <w:t xml:space="preserve">× </w:t>
      </w:r>
      <w:r w:rsidRPr="00E215F0">
        <w:t>N</w:t>
      </w:r>
      <w:r w:rsidRPr="00DC32F9">
        <w:rPr>
          <w:vertAlign w:val="subscript"/>
        </w:rPr>
        <w:t>t</w:t>
      </w:r>
      <w:r w:rsidRPr="00E215F0" w:rsidDel="00717C86">
        <w:rPr>
          <w:rFonts w:cs="Arial"/>
        </w:rPr>
        <w:t xml:space="preserve"> </w:t>
      </w:r>
      <w:r w:rsidRPr="00E215F0">
        <w:rPr>
          <w:rFonts w:cs="Arial"/>
        </w:rPr>
        <w:t xml:space="preserve">× </w:t>
      </w:r>
      <w:r w:rsidRPr="00E215F0">
        <w:t>B</w:t>
      </w:r>
      <w:r w:rsidRPr="00E215F0">
        <w:rPr>
          <w:vertAlign w:val="subscript"/>
        </w:rPr>
        <w:t>real</w:t>
      </w:r>
      <w:r w:rsidRPr="00E215F0">
        <w:t xml:space="preserve"> </w:t>
      </w:r>
      <w:r w:rsidRPr="00E215F0">
        <w:rPr>
          <w:rFonts w:cs="Arial"/>
        </w:rPr>
        <w:t>bits if sub-sampling is not configured</w:t>
      </w:r>
    </w:p>
    <w:p w14:paraId="1B6CE975" w14:textId="77777777" w:rsidR="00300C42" w:rsidRPr="00C2502A" w:rsidRDefault="00300C42"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r>
        <w:t>(</w:t>
      </w:r>
      <w:r w:rsidRPr="00E215F0">
        <w:t>N</w:t>
      </w:r>
      <w:r w:rsidRPr="00DC32F9">
        <w:rPr>
          <w:vertAlign w:val="subscript"/>
        </w:rPr>
        <w:t>t</w:t>
      </w:r>
      <w:r w:rsidRPr="00E215F0" w:rsidDel="00717C86">
        <w:t xml:space="preserve"> </w:t>
      </w:r>
      <w:r w:rsidRPr="00E215F0">
        <w:rPr>
          <w:rFonts w:cs="Arial"/>
        </w:rPr>
        <w:t xml:space="preserve">+ </w:t>
      </w:r>
      <w:r w:rsidRPr="00E215F0">
        <w:t xml:space="preserve">4 </w:t>
      </w:r>
      <w:r w:rsidRPr="00E215F0">
        <w:rPr>
          <w:rFonts w:cs="Arial"/>
        </w:rPr>
        <w:t xml:space="preserve">× </w:t>
      </w:r>
      <w:r w:rsidRPr="00E215F0">
        <w:t>N</w:t>
      </w:r>
      <w:r w:rsidRPr="00DC32F9">
        <w:rPr>
          <w:vertAlign w:val="subscript"/>
        </w:rPr>
        <w:t>t</w:t>
      </w:r>
      <w:r>
        <w:t>'</w:t>
      </w:r>
      <w:r w:rsidRPr="00E215F0">
        <w:rPr>
          <w:rFonts w:cs="Arial"/>
        </w:rPr>
        <w:t xml:space="preserve"> × </w:t>
      </w:r>
      <w:r w:rsidRPr="00E215F0">
        <w:t>B</w:t>
      </w:r>
      <w:r w:rsidRPr="00E215F0">
        <w:rPr>
          <w:vertAlign w:val="subscript"/>
        </w:rPr>
        <w:t>real</w:t>
      </w:r>
      <w:r>
        <w:t xml:space="preserve">) </w:t>
      </w:r>
      <w:r w:rsidRPr="00E215F0">
        <w:rPr>
          <w:rFonts w:cs="Arial"/>
        </w:rPr>
        <w:t>bits if sub-sampling is configured</w:t>
      </w:r>
    </w:p>
    <w:p w14:paraId="3C44ED32" w14:textId="77777777" w:rsidR="00300C42" w:rsidRDefault="00300C42" w:rsidP="00D35F36">
      <w:pPr>
        <w:pStyle w:val="ListParagraph"/>
        <w:numPr>
          <w:ilvl w:val="1"/>
          <w:numId w:val="26"/>
        </w:numPr>
        <w:tabs>
          <w:tab w:val="left" w:pos="1260"/>
        </w:tabs>
      </w:pPr>
      <w:r>
        <w:t>Note: factor 4 is used above since CIR uses 2-port and complex values</w:t>
      </w:r>
    </w:p>
    <w:p w14:paraId="3B4C59C7" w14:textId="77777777" w:rsidR="00300C42" w:rsidRPr="00E215F0" w:rsidRDefault="00300C42" w:rsidP="00D35F36">
      <w:pPr>
        <w:pStyle w:val="ListParagraph"/>
        <w:numPr>
          <w:ilvl w:val="0"/>
          <w:numId w:val="26"/>
        </w:numPr>
        <w:tabs>
          <w:tab w:val="left" w:pos="1260"/>
        </w:tabs>
      </w:pPr>
      <w:r>
        <w:t>1</w:t>
      </w:r>
      <w:r w:rsidRPr="006777DD">
        <w:rPr>
          <w:vertAlign w:val="superscript"/>
        </w:rPr>
        <w:t>st</w:t>
      </w:r>
      <w:r>
        <w:t xml:space="preserve"> PC </w:t>
      </w:r>
      <w:r w:rsidRPr="00E215F0">
        <w:t>CIR</w:t>
      </w:r>
    </w:p>
    <w:p w14:paraId="7B1CED1F" w14:textId="77777777" w:rsidR="00300C42" w:rsidRPr="00E215F0" w:rsidRDefault="00300C42" w:rsidP="00D35F36">
      <w:pPr>
        <w:pStyle w:val="ListParagraph"/>
        <w:numPr>
          <w:ilvl w:val="1"/>
          <w:numId w:val="26"/>
        </w:numPr>
        <w:tabs>
          <w:tab w:val="left" w:pos="1260"/>
        </w:tabs>
      </w:pPr>
      <w:r w:rsidRPr="00E215F0">
        <w:t>N</w:t>
      </w:r>
      <w:r w:rsidRPr="00E215F0">
        <w:rPr>
          <w:vertAlign w:val="subscript"/>
        </w:rPr>
        <w:t>TRP</w:t>
      </w:r>
      <w:r w:rsidRPr="00E215F0">
        <w:rPr>
          <w:rFonts w:cs="Arial"/>
        </w:rPr>
        <w:t xml:space="preserve"> × </w:t>
      </w:r>
      <w:r>
        <w:rPr>
          <w:rFonts w:cs="Arial"/>
        </w:rPr>
        <w:t>2</w:t>
      </w:r>
      <w:r w:rsidRPr="00E215F0">
        <w:t xml:space="preserve"> </w:t>
      </w:r>
      <w:r w:rsidRPr="00E215F0">
        <w:rPr>
          <w:rFonts w:cs="Arial"/>
        </w:rPr>
        <w:t xml:space="preserve">× </w:t>
      </w:r>
      <w:r w:rsidRPr="00E215F0">
        <w:t>N</w:t>
      </w:r>
      <w:r w:rsidRPr="00DC32F9">
        <w:rPr>
          <w:vertAlign w:val="subscript"/>
        </w:rPr>
        <w:t>t</w:t>
      </w:r>
      <w:r w:rsidRPr="00E215F0" w:rsidDel="00717C86">
        <w:rPr>
          <w:rFonts w:cs="Arial"/>
        </w:rPr>
        <w:t xml:space="preserve"> </w:t>
      </w:r>
      <w:r w:rsidRPr="00E215F0">
        <w:rPr>
          <w:rFonts w:cs="Arial"/>
        </w:rPr>
        <w:t xml:space="preserve">× </w:t>
      </w:r>
      <w:r w:rsidRPr="00E215F0">
        <w:t>B</w:t>
      </w:r>
      <w:r w:rsidRPr="00E215F0">
        <w:rPr>
          <w:vertAlign w:val="subscript"/>
        </w:rPr>
        <w:t>real</w:t>
      </w:r>
      <w:r w:rsidRPr="00E215F0">
        <w:t xml:space="preserve"> </w:t>
      </w:r>
      <w:r w:rsidRPr="00E215F0">
        <w:rPr>
          <w:rFonts w:cs="Arial"/>
        </w:rPr>
        <w:t>bits if sub-sampling is not configured</w:t>
      </w:r>
    </w:p>
    <w:p w14:paraId="1FC1C98E" w14:textId="77777777" w:rsidR="00300C42" w:rsidRPr="00C2502A" w:rsidRDefault="00300C42"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r>
        <w:t>(</w:t>
      </w:r>
      <w:r w:rsidRPr="00E215F0">
        <w:t>N</w:t>
      </w:r>
      <w:r w:rsidRPr="00DC32F9">
        <w:rPr>
          <w:vertAlign w:val="subscript"/>
        </w:rPr>
        <w:t>t</w:t>
      </w:r>
      <w:r w:rsidRPr="00E215F0" w:rsidDel="00717C86">
        <w:t xml:space="preserve"> </w:t>
      </w:r>
      <w:r w:rsidRPr="00E215F0">
        <w:rPr>
          <w:rFonts w:cs="Arial"/>
        </w:rPr>
        <w:t xml:space="preserve">+ </w:t>
      </w:r>
      <w:r>
        <w:rPr>
          <w:rFonts w:cs="Arial"/>
        </w:rPr>
        <w:t>2</w:t>
      </w:r>
      <w:r w:rsidRPr="00E215F0">
        <w:t xml:space="preserve"> </w:t>
      </w:r>
      <w:r w:rsidRPr="00E215F0">
        <w:rPr>
          <w:rFonts w:cs="Arial"/>
        </w:rPr>
        <w:t xml:space="preserve">× </w:t>
      </w:r>
      <w:r w:rsidRPr="00E215F0">
        <w:t>N</w:t>
      </w:r>
      <w:r w:rsidRPr="00DC32F9">
        <w:rPr>
          <w:vertAlign w:val="subscript"/>
        </w:rPr>
        <w:t>t</w:t>
      </w:r>
      <w:r>
        <w:t>'</w:t>
      </w:r>
      <w:r w:rsidRPr="00E215F0">
        <w:rPr>
          <w:rFonts w:cs="Arial"/>
        </w:rPr>
        <w:t xml:space="preserve"> × </w:t>
      </w:r>
      <w:r w:rsidRPr="00E215F0">
        <w:t>B</w:t>
      </w:r>
      <w:r w:rsidRPr="00E215F0">
        <w:rPr>
          <w:vertAlign w:val="subscript"/>
        </w:rPr>
        <w:t>real</w:t>
      </w:r>
      <w:r>
        <w:t xml:space="preserve">) </w:t>
      </w:r>
      <w:r w:rsidRPr="00E215F0">
        <w:rPr>
          <w:rFonts w:cs="Arial"/>
        </w:rPr>
        <w:t>bits if sub-sampling is configured</w:t>
      </w:r>
    </w:p>
    <w:p w14:paraId="685E19D6" w14:textId="77777777" w:rsidR="00300C42" w:rsidRPr="006777DD" w:rsidRDefault="00300C42" w:rsidP="00D35F36">
      <w:pPr>
        <w:pStyle w:val="ListParagraph"/>
        <w:numPr>
          <w:ilvl w:val="1"/>
          <w:numId w:val="26"/>
        </w:numPr>
        <w:tabs>
          <w:tab w:val="left" w:pos="1260"/>
        </w:tabs>
      </w:pPr>
      <w:r w:rsidRPr="006777DD">
        <w:t>Note: factor 2 is used above since CIR uses complex values</w:t>
      </w:r>
    </w:p>
    <w:p w14:paraId="7D120AFE" w14:textId="58D453D3" w:rsidR="00300C42" w:rsidRPr="00E215F0" w:rsidRDefault="00300C42" w:rsidP="00300C42">
      <w:r>
        <w:t xml:space="preserve">In </w:t>
      </w:r>
      <w:r w:rsidR="00500110">
        <w:fldChar w:fldCharType="begin"/>
      </w:r>
      <w:r w:rsidR="00500110">
        <w:instrText xml:space="preserve"> REF _Ref163134718 </w:instrText>
      </w:r>
      <w:r w:rsidR="00500110">
        <w:fldChar w:fldCharType="separate"/>
      </w:r>
      <w:r w:rsidR="00850DA1" w:rsidRPr="00E215F0">
        <w:t xml:space="preserve">Figure </w:t>
      </w:r>
      <w:r w:rsidR="00850DA1">
        <w:rPr>
          <w:noProof/>
        </w:rPr>
        <w:t>19</w:t>
      </w:r>
      <w:r w:rsidR="00500110">
        <w:rPr>
          <w:noProof/>
        </w:rPr>
        <w:fldChar w:fldCharType="end"/>
      </w:r>
      <w:r>
        <w:t xml:space="preserve">, we show the scatter plot of feedback sizes </w:t>
      </w:r>
      <w:r w:rsidR="00897377">
        <w:t xml:space="preserve">(i.e., number of bits to report measurements) </w:t>
      </w:r>
      <w:r>
        <w:t xml:space="preserve">and the achieved 90%tile 2D UE positioning errors for different AI/ML model input types with the following different combinations of lengths, sub-sampling sizes and TRP down-selection </w:t>
      </w:r>
      <w:r w:rsidRPr="00E215F0">
        <w:fldChar w:fldCharType="begin"/>
      </w:r>
      <w:r w:rsidRPr="00E215F0">
        <w:instrText xml:space="preserve"> REF _Ref158730650 \r \h </w:instrText>
      </w:r>
      <w:r w:rsidRPr="00E215F0">
        <w:fldChar w:fldCharType="separate"/>
      </w:r>
      <w:r w:rsidR="00850DA1">
        <w:t>[6]</w:t>
      </w:r>
      <w:r w:rsidRPr="00E215F0">
        <w:fldChar w:fldCharType="end"/>
      </w:r>
      <w:r>
        <w:t>:</w:t>
      </w:r>
    </w:p>
    <w:p w14:paraId="383CB3D3" w14:textId="77777777" w:rsidR="00300C42" w:rsidRPr="00E215F0" w:rsidRDefault="00300C42" w:rsidP="00D35F36">
      <w:pPr>
        <w:pStyle w:val="ListParagraph"/>
        <w:numPr>
          <w:ilvl w:val="0"/>
          <w:numId w:val="23"/>
        </w:numPr>
      </w:pPr>
      <w:r>
        <w:t>CIR/PDP</w:t>
      </w:r>
    </w:p>
    <w:p w14:paraId="0BCB81BE" w14:textId="77777777" w:rsidR="00300C42" w:rsidRPr="00E215F0" w:rsidRDefault="00300C42" w:rsidP="00D35F36">
      <w:pPr>
        <w:pStyle w:val="ListParagraph"/>
        <w:numPr>
          <w:ilvl w:val="1"/>
          <w:numId w:val="23"/>
        </w:numPr>
      </w:pPr>
      <w:r>
        <w:t xml:space="preserve">Truncation to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 xml:space="preserve">= </m:t>
        </m:r>
      </m:oMath>
      <w:r>
        <w:t>256, 128, 64, 32 taps without sub-sampling</w:t>
      </w:r>
    </w:p>
    <w:p w14:paraId="193D1291" w14:textId="77777777" w:rsidR="00300C42" w:rsidRPr="00E215F0" w:rsidRDefault="009C13C0" w:rsidP="00D35F36">
      <w:pPr>
        <w:pStyle w:val="ListParagraph"/>
        <w:numPr>
          <w:ilvl w:val="1"/>
          <w:numId w:val="23"/>
        </w:numPr>
      </w:pP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rsidR="00300C42">
        <w:t xml:space="preserve"> 256-sample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 xml:space="preserve">= </m:t>
        </m:r>
      </m:oMath>
      <w:r w:rsidR="00300C42">
        <w:t>128, 64, 32, 16, 9 sub-samples</w:t>
      </w:r>
    </w:p>
    <w:p w14:paraId="56FE1586" w14:textId="77777777" w:rsidR="00300C42" w:rsidRPr="00E215F0" w:rsidRDefault="009C13C0" w:rsidP="00D35F36">
      <w:pPr>
        <w:pStyle w:val="ListParagraph"/>
        <w:numPr>
          <w:ilvl w:val="1"/>
          <w:numId w:val="23"/>
        </w:numPr>
      </w:pP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rsidR="00300C42">
        <w:t xml:space="preserve"> 128-sample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m:t>
        </m:r>
      </m:oMath>
      <w:r w:rsidR="00300C42">
        <w:t xml:space="preserve"> 64, 32, 16, 9 sub-samples</w:t>
      </w:r>
    </w:p>
    <w:p w14:paraId="6C8C8F24" w14:textId="77777777" w:rsidR="00300C42" w:rsidRPr="00E215F0" w:rsidRDefault="009C13C0" w:rsidP="00D35F36">
      <w:pPr>
        <w:pStyle w:val="ListParagraph"/>
        <w:numPr>
          <w:ilvl w:val="1"/>
          <w:numId w:val="23"/>
        </w:numPr>
      </w:pP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rsidR="00300C42">
        <w:t xml:space="preserve"> 64-sample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m:t>
        </m:r>
      </m:oMath>
      <w:r w:rsidR="00300C42">
        <w:t xml:space="preserve"> 32, 16, 9 sub-samples</w:t>
      </w:r>
    </w:p>
    <w:p w14:paraId="675C53A2" w14:textId="77777777" w:rsidR="00300C42" w:rsidRPr="00E215F0" w:rsidRDefault="00300C42" w:rsidP="00D35F36">
      <w:pPr>
        <w:pStyle w:val="ListParagraph"/>
        <w:numPr>
          <w:ilvl w:val="0"/>
          <w:numId w:val="23"/>
        </w:numPr>
      </w:pPr>
      <w:r>
        <w:t>DP</w:t>
      </w:r>
    </w:p>
    <w:p w14:paraId="5C015BEB" w14:textId="77777777" w:rsidR="00300C42" w:rsidRDefault="00300C42" w:rsidP="00D35F36">
      <w:pPr>
        <w:pStyle w:val="ListParagraph"/>
        <w:numPr>
          <w:ilvl w:val="1"/>
          <w:numId w:val="23"/>
        </w:numPr>
      </w:pPr>
      <w:r>
        <w:t xml:space="preserve">Truncation to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t xml:space="preserve">256, 128, 64 taps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non-zero samples</w:t>
      </w:r>
    </w:p>
    <w:p w14:paraId="3B30400E" w14:textId="77777777" w:rsidR="00300C42" w:rsidRPr="00E215F0" w:rsidRDefault="00300C42" w:rsidP="00D35F36">
      <w:pPr>
        <w:pStyle w:val="ListParagraph"/>
        <w:numPr>
          <w:ilvl w:val="1"/>
          <w:numId w:val="23"/>
        </w:numPr>
      </w:pPr>
      <w:r>
        <w:t>With magnitude 1 or optionally with RS RSRP</w:t>
      </w:r>
    </w:p>
    <w:p w14:paraId="45163253" w14:textId="77777777" w:rsidR="00300C42" w:rsidRDefault="00300C42" w:rsidP="00D35F36">
      <w:pPr>
        <w:pStyle w:val="ListParagraph"/>
        <w:numPr>
          <w:ilvl w:val="0"/>
          <w:numId w:val="23"/>
        </w:numPr>
      </w:pPr>
      <w:r>
        <w:t xml:space="preserve">Dynamic TRP selection to 9, 6, 3 TRPs with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m:rPr>
            <m:sty m:val="p"/>
          </m:rPr>
          <w:rPr>
            <w:rFonts w:ascii="Cambria Math"/>
          </w:rPr>
          <m:t xml:space="preserve">= </m:t>
        </m:r>
      </m:oMath>
      <w:r>
        <w:t>256.</w:t>
      </w:r>
    </w:p>
    <w:p w14:paraId="7F9580CD" w14:textId="77777777" w:rsidR="00300C42" w:rsidRDefault="00300C42" w:rsidP="00300C42"/>
    <w:p w14:paraId="257B32D5" w14:textId="77777777" w:rsidR="00300C42" w:rsidRPr="00E215F0" w:rsidRDefault="00300C42" w:rsidP="00300C42">
      <w:r w:rsidRPr="00E215F0">
        <w:t xml:space="preserve">From the </w:t>
      </w:r>
      <w:r>
        <w:t>figure</w:t>
      </w:r>
      <w:r w:rsidRPr="00E215F0">
        <w:t>, we make the following observations:</w:t>
      </w:r>
    </w:p>
    <w:p w14:paraId="0259E0B0" w14:textId="77777777" w:rsidR="00300C42" w:rsidRPr="00A67F60" w:rsidRDefault="00300C42" w:rsidP="00D35F36">
      <w:pPr>
        <w:pStyle w:val="ListParagraph"/>
        <w:numPr>
          <w:ilvl w:val="0"/>
          <w:numId w:val="30"/>
        </w:numPr>
      </w:pPr>
      <w:r w:rsidRPr="00E215F0">
        <w:t>For small or moderate signaling sizes, PDP samples can achieve better positioning accuracy than 2-port CIR samples at the same or smaller signaling sizes. Using PDP samples, a 90%tile 2D positioning error of 0.52 m can be achieved.</w:t>
      </w:r>
    </w:p>
    <w:p w14:paraId="4D0D621B" w14:textId="77777777" w:rsidR="00300C42" w:rsidRDefault="00300C42" w:rsidP="00D35F36">
      <w:pPr>
        <w:pStyle w:val="ListParagraph"/>
        <w:numPr>
          <w:ilvl w:val="0"/>
          <w:numId w:val="30"/>
        </w:numPr>
      </w:pPr>
      <w:r w:rsidRPr="00E215F0">
        <w:t xml:space="preserve">The higher positioning accuracy achieved by 2-port CIR is only possible with very large signaling sizes. </w:t>
      </w:r>
    </w:p>
    <w:p w14:paraId="1579790F" w14:textId="77777777" w:rsidR="00300C42" w:rsidRPr="00A67F60" w:rsidRDefault="00300C42" w:rsidP="00D35F36">
      <w:pPr>
        <w:pStyle w:val="ListParagraph"/>
        <w:numPr>
          <w:ilvl w:val="0"/>
          <w:numId w:val="30"/>
        </w:numPr>
      </w:pPr>
      <w:r>
        <w:t xml:space="preserve">For most given </w:t>
      </w:r>
      <w:r w:rsidRPr="00194B5B">
        <w:t>90%tile 2D UE positioning error</w:t>
      </w:r>
      <w:r>
        <w:t xml:space="preserve"> requirements, the DP samples requires the smallest signaling sizes.</w:t>
      </w:r>
    </w:p>
    <w:p w14:paraId="7025F75C" w14:textId="77777777" w:rsidR="00300C42" w:rsidRDefault="00300C42" w:rsidP="00300C42">
      <w:pPr>
        <w:jc w:val="center"/>
      </w:pPr>
      <w:r w:rsidRPr="0011394E">
        <w:rPr>
          <w:noProof/>
        </w:rPr>
        <w:lastRenderedPageBreak/>
        <w:drawing>
          <wp:inline distT="0" distB="0" distL="0" distR="0" wp14:anchorId="0FDB7514" wp14:editId="71273011">
            <wp:extent cx="5327650" cy="39954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7650" cy="3995420"/>
                    </a:xfrm>
                    <a:prstGeom prst="rect">
                      <a:avLst/>
                    </a:prstGeom>
                    <a:noFill/>
                    <a:ln>
                      <a:noFill/>
                    </a:ln>
                  </pic:spPr>
                </pic:pic>
              </a:graphicData>
            </a:graphic>
          </wp:inline>
        </w:drawing>
      </w:r>
    </w:p>
    <w:p w14:paraId="02FBB6C2" w14:textId="28CE9547" w:rsidR="009066E6" w:rsidRDefault="00300C42" w:rsidP="002A4E1A">
      <w:pPr>
        <w:pStyle w:val="Caption"/>
      </w:pPr>
      <w:bookmarkStart w:id="911" w:name="_Ref163134718"/>
      <w:r w:rsidRPr="00E215F0">
        <w:t xml:space="preserve">Figure </w:t>
      </w:r>
      <w:r w:rsidR="00500110">
        <w:fldChar w:fldCharType="begin"/>
      </w:r>
      <w:r w:rsidR="00500110">
        <w:instrText xml:space="preserve"> SEQ Figure \* ARABIC </w:instrText>
      </w:r>
      <w:r w:rsidR="00500110">
        <w:fldChar w:fldCharType="separate"/>
      </w:r>
      <w:r w:rsidR="00850DA1">
        <w:rPr>
          <w:noProof/>
        </w:rPr>
        <w:t>19</w:t>
      </w:r>
      <w:r w:rsidR="00500110">
        <w:rPr>
          <w:noProof/>
        </w:rPr>
        <w:fldChar w:fldCharType="end"/>
      </w:r>
      <w:bookmarkEnd w:id="911"/>
      <w:r w:rsidRPr="00E215F0">
        <w:t xml:space="preserve"> </w:t>
      </w:r>
      <w:r>
        <w:t xml:space="preserve">Scatter plot of feedback sizes and the achieved 90%tile 2D UE positioning errors </w:t>
      </w:r>
      <w:r w:rsidRPr="00E215F0">
        <w:t xml:space="preserve">in the </w:t>
      </w:r>
      <w:r w:rsidRPr="00E215F0">
        <w:rPr>
          <w:lang w:eastAsia="ja-JP"/>
        </w:rPr>
        <w:t>{60%, 6m, 2m} InF-DH scenario</w:t>
      </w:r>
      <w:r>
        <w:t xml:space="preserve"> for different AI/ML model input types with different combinations of lengths, sub-sampling sizes and TRP down-selection using the regular sampling grid signaling approach.</w:t>
      </w:r>
      <w:r w:rsidRPr="00D64679">
        <w:t xml:space="preserve"> </w:t>
      </w:r>
      <w:r w:rsidRPr="00E215F0">
        <w:t xml:space="preserve">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850DA1">
        <w:t>[6]</w:t>
      </w:r>
      <w:r w:rsidRPr="00E215F0">
        <w:fldChar w:fldCharType="end"/>
      </w:r>
      <w:r w:rsidRPr="00E215F0">
        <w:t>.</w:t>
      </w:r>
    </w:p>
    <w:p w14:paraId="734B24DF" w14:textId="3CE01877" w:rsidR="00CC120E" w:rsidRPr="00E215F0" w:rsidRDefault="00827836" w:rsidP="00CC120E">
      <w:pPr>
        <w:pStyle w:val="Heading2"/>
        <w:rPr>
          <w:lang w:val="en-US"/>
        </w:rPr>
      </w:pPr>
      <w:bookmarkStart w:id="912" w:name="_Toc158978326"/>
      <w:bookmarkStart w:id="913" w:name="_Toc158978371"/>
      <w:bookmarkStart w:id="914" w:name="_Toc159073353"/>
      <w:bookmarkStart w:id="915" w:name="_Ref158896756"/>
      <w:bookmarkStart w:id="916" w:name="_Toc165990994"/>
      <w:bookmarkStart w:id="917" w:name="_Toc178961662"/>
      <w:bookmarkEnd w:id="912"/>
      <w:bookmarkEnd w:id="913"/>
      <w:bookmarkEnd w:id="914"/>
      <w:r>
        <w:rPr>
          <w:lang w:val="en-US"/>
        </w:rPr>
        <w:t>Reference Time for t</w:t>
      </w:r>
      <w:r w:rsidRPr="00E215F0">
        <w:rPr>
          <w:lang w:val="en-US"/>
        </w:rPr>
        <w:t xml:space="preserve">iming info </w:t>
      </w:r>
      <w:r>
        <w:rPr>
          <w:lang w:val="en-US"/>
        </w:rPr>
        <w:t>of</w:t>
      </w:r>
      <w:r w:rsidRPr="00E215F0">
        <w:rPr>
          <w:lang w:val="en-US"/>
        </w:rPr>
        <w:t xml:space="preserve"> PDP and DP</w:t>
      </w:r>
      <w:bookmarkEnd w:id="915"/>
      <w:bookmarkEnd w:id="916"/>
      <w:bookmarkEnd w:id="917"/>
    </w:p>
    <w:p w14:paraId="0E0025E0" w14:textId="5AED5C2C" w:rsidR="00A46F37" w:rsidRPr="00A46F37" w:rsidRDefault="00827836" w:rsidP="00A46F37">
      <w:r>
        <w:t>In this section, we discuss the reference time for timing information of PDP and DP.</w:t>
      </w:r>
    </w:p>
    <w:p w14:paraId="53D41C4E" w14:textId="3F6050F7" w:rsidR="007A19E0" w:rsidRDefault="007A19E0" w:rsidP="007A19E0">
      <w:r>
        <w:t>During RAN1#116</w:t>
      </w:r>
      <w:r w:rsidR="00CD5371">
        <w:t>bis</w:t>
      </w:r>
      <w:r>
        <w:t>, the following agreement</w:t>
      </w:r>
      <w:r w:rsidR="003814E3">
        <w:t xml:space="preserve"> was made</w:t>
      </w:r>
      <w:r>
        <w:t>:</w:t>
      </w:r>
    </w:p>
    <w:tbl>
      <w:tblPr>
        <w:tblStyle w:val="TableGrid"/>
        <w:tblW w:w="0" w:type="auto"/>
        <w:tblLook w:val="04A0" w:firstRow="1" w:lastRow="0" w:firstColumn="1" w:lastColumn="0" w:noHBand="0" w:noVBand="1"/>
      </w:tblPr>
      <w:tblGrid>
        <w:gridCol w:w="9962"/>
      </w:tblGrid>
      <w:tr w:rsidR="00E960FA" w:rsidRPr="00CD5371" w14:paraId="0058C549" w14:textId="77777777" w:rsidTr="00E960FA">
        <w:tc>
          <w:tcPr>
            <w:tcW w:w="9962" w:type="dxa"/>
          </w:tcPr>
          <w:p w14:paraId="7FF823F7" w14:textId="77777777" w:rsidR="00CD5371" w:rsidRPr="00CD5371" w:rsidRDefault="00CD5371" w:rsidP="00CD5371">
            <w:pPr>
              <w:rPr>
                <w:rFonts w:ascii="Times" w:eastAsia="DengXian" w:hAnsi="Times"/>
                <w:sz w:val="20"/>
                <w:highlight w:val="green"/>
                <w:lang w:val="en-GB"/>
              </w:rPr>
            </w:pPr>
            <w:r w:rsidRPr="00CD5371">
              <w:rPr>
                <w:rFonts w:ascii="Times" w:eastAsia="DengXian" w:hAnsi="Times" w:hint="eastAsia"/>
                <w:sz w:val="20"/>
                <w:highlight w:val="green"/>
                <w:lang w:val="en-GB"/>
              </w:rPr>
              <w:t>Agreement</w:t>
            </w:r>
          </w:p>
          <w:p w14:paraId="6D88B4F0" w14:textId="77777777" w:rsidR="00CD5371" w:rsidRPr="00CD5371" w:rsidRDefault="00CD5371" w:rsidP="00CD5371">
            <w:pPr>
              <w:rPr>
                <w:rFonts w:ascii="Times" w:eastAsia="DengXian" w:hAnsi="Times" w:cs="DengXian"/>
                <w:sz w:val="20"/>
                <w:lang w:val="en-GB"/>
              </w:rPr>
            </w:pPr>
            <w:r w:rsidRPr="00CD5371">
              <w:rPr>
                <w:rFonts w:ascii="Times" w:eastAsia="Batang" w:hAnsi="Times" w:cs="DengXian"/>
                <w:sz w:val="20"/>
                <w:lang w:val="en-GB"/>
              </w:rPr>
              <w:t xml:space="preserve">For AI/ML based positioning Case 3b, for gNB channel measurements reported to LMF, the timing information is represented relative to the existing UL RTOA reference time </w:t>
            </w:r>
            <w:r w:rsidRPr="00CD5371">
              <w:rPr>
                <w:rFonts w:ascii="Times" w:eastAsia="Batang" w:hAnsi="Times"/>
                <w:sz w:val="20"/>
                <w:lang w:val="en-GB" w:eastAsia="en-GB"/>
              </w:rPr>
              <w:t>T</w:t>
            </w:r>
            <w:r w:rsidRPr="00CD5371">
              <w:rPr>
                <w:rFonts w:ascii="Times" w:eastAsia="Batang" w:hAnsi="Times"/>
                <w:sz w:val="20"/>
                <w:vertAlign w:val="subscript"/>
                <w:lang w:val="en-GB" w:eastAsia="en-GB"/>
              </w:rPr>
              <w:t>0</w:t>
            </w:r>
            <w:r w:rsidRPr="00CD5371">
              <w:rPr>
                <w:rFonts w:ascii="Times" w:eastAsia="Batang" w:hAnsi="Times"/>
                <w:sz w:val="20"/>
                <w:lang w:val="en-GB" w:eastAsia="en-GB"/>
              </w:rPr>
              <w:t>+t</w:t>
            </w:r>
            <w:r w:rsidRPr="00CD5371">
              <w:rPr>
                <w:rFonts w:ascii="Times" w:eastAsia="Batang" w:hAnsi="Times"/>
                <w:sz w:val="20"/>
                <w:vertAlign w:val="subscript"/>
                <w:lang w:val="en-GB" w:eastAsia="en-GB"/>
              </w:rPr>
              <w:t>SRS</w:t>
            </w:r>
            <w:r w:rsidRPr="00CD5371">
              <w:rPr>
                <w:rFonts w:ascii="Times" w:eastAsia="Batang" w:hAnsi="Times" w:cs="DengXian"/>
                <w:sz w:val="20"/>
                <w:lang w:val="en-GB"/>
              </w:rPr>
              <w:t xml:space="preserve"> as defined in TS 38.215. </w:t>
            </w:r>
          </w:p>
          <w:p w14:paraId="4DDBB26C" w14:textId="31739593" w:rsidR="00E960FA" w:rsidRPr="000F1DBB" w:rsidRDefault="00CD5371" w:rsidP="000F1DBB">
            <w:pPr>
              <w:rPr>
                <w:rFonts w:ascii="Times" w:eastAsia="DengXian" w:hAnsi="Times" w:cs="DengXian"/>
                <w:sz w:val="20"/>
                <w:lang w:val="en-GB"/>
              </w:rPr>
            </w:pPr>
            <w:r w:rsidRPr="00CD5371">
              <w:rPr>
                <w:rFonts w:ascii="Times" w:eastAsia="DengXian" w:hAnsi="Times" w:cs="DengXian" w:hint="eastAsia"/>
                <w:sz w:val="20"/>
                <w:lang w:val="en-GB"/>
              </w:rPr>
              <w:t xml:space="preserve">FFS: </w:t>
            </w:r>
            <w:r w:rsidRPr="00CD5371">
              <w:rPr>
                <w:rFonts w:ascii="Times" w:eastAsia="DengXian" w:hAnsi="Times" w:cs="DengXian"/>
                <w:sz w:val="20"/>
                <w:lang w:val="en-GB"/>
              </w:rPr>
              <w:t>whether</w:t>
            </w:r>
            <w:r w:rsidRPr="00CD5371">
              <w:rPr>
                <w:rFonts w:ascii="Times" w:eastAsia="DengXian" w:hAnsi="Times" w:cs="DengXian" w:hint="eastAsia"/>
                <w:sz w:val="20"/>
                <w:lang w:val="en-GB"/>
              </w:rPr>
              <w:t xml:space="preserve"> it is applicable when Case 3b is used to support multi-RTT </w:t>
            </w:r>
          </w:p>
        </w:tc>
      </w:tr>
    </w:tbl>
    <w:p w14:paraId="67677A3B" w14:textId="77777777" w:rsidR="007A19E0" w:rsidRPr="007A19E0" w:rsidRDefault="007A19E0" w:rsidP="007A19E0"/>
    <w:p w14:paraId="63A607E4" w14:textId="213A2B19" w:rsidR="002D6CC6" w:rsidRDefault="00CD5371" w:rsidP="009A3131">
      <w:pPr>
        <w:rPr>
          <w:szCs w:val="18"/>
          <w:lang w:eastAsia="en-GB"/>
        </w:rPr>
      </w:pPr>
      <w:r>
        <w:rPr>
          <w:szCs w:val="18"/>
          <w:lang w:eastAsia="en-GB"/>
        </w:rPr>
        <w:t xml:space="preserve">As discussed in </w:t>
      </w:r>
      <w:r w:rsidR="002D6CC6">
        <w:rPr>
          <w:szCs w:val="18"/>
          <w:lang w:eastAsia="en-GB"/>
        </w:rPr>
        <w:t>RAN1#117</w:t>
      </w:r>
      <w:r>
        <w:rPr>
          <w:szCs w:val="18"/>
          <w:lang w:eastAsia="en-GB"/>
        </w:rPr>
        <w:t>,</w:t>
      </w:r>
      <w:r w:rsidR="002D6CC6">
        <w:rPr>
          <w:szCs w:val="18"/>
          <w:lang w:eastAsia="en-GB"/>
        </w:rPr>
        <w:t xml:space="preserve"> </w:t>
      </w:r>
      <w:r w:rsidR="002D6CC6">
        <w:t>the commonly acknowledged way forward is:</w:t>
      </w:r>
      <w:r>
        <w:rPr>
          <w:szCs w:val="18"/>
          <w:lang w:eastAsia="en-GB"/>
        </w:rPr>
        <w:t xml:space="preserve"> </w:t>
      </w:r>
    </w:p>
    <w:p w14:paraId="081C2B4C" w14:textId="77777777" w:rsidR="002D6CC6" w:rsidRPr="008D4820" w:rsidRDefault="002D6CC6" w:rsidP="002D6CC6">
      <w:pPr>
        <w:ind w:left="567"/>
        <w:rPr>
          <w:i/>
          <w:iCs/>
        </w:rPr>
      </w:pPr>
      <w:r w:rsidRPr="008D4820">
        <w:rPr>
          <w:i/>
          <w:iCs/>
        </w:rPr>
        <w:t xml:space="preserve">RAN1 proceed with the investigation assuming each case is deployed individually, unless RAN plenary expand the scope of the WID to explicitly support certain combination of cases.  </w:t>
      </w:r>
    </w:p>
    <w:p w14:paraId="604B341F" w14:textId="78AD0BF0" w:rsidR="009200C9" w:rsidRDefault="002D6CC6" w:rsidP="009A3131">
      <w:pPr>
        <w:rPr>
          <w:szCs w:val="18"/>
          <w:lang w:eastAsia="en-GB"/>
        </w:rPr>
      </w:pPr>
      <w:r>
        <w:rPr>
          <w:szCs w:val="18"/>
          <w:lang w:eastAsia="en-GB"/>
        </w:rPr>
        <w:t>Since RAN</w:t>
      </w:r>
      <w:r w:rsidR="000F1DBB">
        <w:rPr>
          <w:szCs w:val="18"/>
          <w:lang w:eastAsia="en-GB"/>
        </w:rPr>
        <w:t xml:space="preserve"> plenary meetings</w:t>
      </w:r>
      <w:r w:rsidR="00AC7F97">
        <w:rPr>
          <w:szCs w:val="18"/>
          <w:lang w:eastAsia="en-GB"/>
        </w:rPr>
        <w:t xml:space="preserve"> didn't update the WID to explicitly support multi-RTT, RAN1 does not need to consider the support of multi-RTT in discussions.</w:t>
      </w:r>
      <w:r w:rsidR="00CD5371">
        <w:rPr>
          <w:szCs w:val="18"/>
          <w:lang w:eastAsia="en-GB"/>
        </w:rPr>
        <w:t xml:space="preserve"> Thus the FFS bullet in the agreement above should be deleted. </w:t>
      </w:r>
    </w:p>
    <w:p w14:paraId="5D154203" w14:textId="589780E2" w:rsidR="00AC7F97" w:rsidRPr="002A4E1A" w:rsidRDefault="00AC7F97" w:rsidP="009A3131">
      <w:pPr>
        <w:pStyle w:val="Proposal"/>
        <w:rPr>
          <w:lang w:eastAsia="en-GB"/>
        </w:rPr>
      </w:pPr>
      <w:bookmarkStart w:id="918" w:name="_Toc178961899"/>
      <w:r>
        <w:rPr>
          <w:lang w:eastAsia="en-GB"/>
        </w:rPr>
        <w:t>Update the agreement for Case 3b channel measurement reference time by deleting the FFS.</w:t>
      </w:r>
      <w:bookmarkEnd w:id="918"/>
    </w:p>
    <w:p w14:paraId="78D47D52" w14:textId="3288361B" w:rsidR="00CD5371" w:rsidRDefault="00CD5371" w:rsidP="009A3131">
      <w:pPr>
        <w:rPr>
          <w:szCs w:val="18"/>
          <w:lang w:eastAsia="en-GB"/>
        </w:rPr>
      </w:pPr>
      <w:r>
        <w:rPr>
          <w:szCs w:val="18"/>
          <w:lang w:eastAsia="en-GB"/>
        </w:rPr>
        <w:t>Furthermore, Case 3a may require channel measurements</w:t>
      </w:r>
      <w:r w:rsidR="00DA41C7">
        <w:rPr>
          <w:szCs w:val="18"/>
          <w:lang w:eastAsia="en-GB"/>
        </w:rPr>
        <w:t xml:space="preserve"> for model input</w:t>
      </w:r>
      <w:r>
        <w:rPr>
          <w:szCs w:val="18"/>
          <w:lang w:eastAsia="en-GB"/>
        </w:rPr>
        <w:t xml:space="preserve"> to be reported over a standardized interface (i.e., F1-AP) as well. If so, Case </w:t>
      </w:r>
      <w:r w:rsidR="00B820AA">
        <w:rPr>
          <w:szCs w:val="18"/>
          <w:lang w:eastAsia="en-GB"/>
        </w:rPr>
        <w:t xml:space="preserve">3a </w:t>
      </w:r>
      <w:r>
        <w:rPr>
          <w:szCs w:val="18"/>
          <w:lang w:eastAsia="en-GB"/>
        </w:rPr>
        <w:t>should use the same reference time as that of Case 3b</w:t>
      </w:r>
      <w:r w:rsidR="004F11BD">
        <w:rPr>
          <w:szCs w:val="18"/>
          <w:lang w:eastAsia="en-GB"/>
        </w:rPr>
        <w:t>.</w:t>
      </w:r>
      <w:r w:rsidR="001C5899">
        <w:rPr>
          <w:szCs w:val="18"/>
          <w:lang w:eastAsia="en-GB"/>
        </w:rPr>
        <w:t xml:space="preserve"> That is, f</w:t>
      </w:r>
      <w:r w:rsidR="001C5899" w:rsidRPr="00AB53D0">
        <w:rPr>
          <w:lang w:eastAsia="en-GB"/>
        </w:rPr>
        <w:t xml:space="preserve">or </w:t>
      </w:r>
      <w:r w:rsidR="001C5899">
        <w:rPr>
          <w:lang w:eastAsia="en-GB"/>
        </w:rPr>
        <w:t xml:space="preserve">uplink channel </w:t>
      </w:r>
      <w:r w:rsidR="001C5899">
        <w:rPr>
          <w:lang w:eastAsia="en-GB"/>
        </w:rPr>
        <w:lastRenderedPageBreak/>
        <w:t>measurements corresponding to model input (Case 3a/3b), the timing information of DP and PDP is always represented relative to t</w:t>
      </w:r>
      <w:r w:rsidR="001C5899" w:rsidRPr="00972B4B">
        <w:rPr>
          <w:lang w:eastAsia="en-GB"/>
        </w:rPr>
        <w:t xml:space="preserve">he UL RTOA reference </w:t>
      </w:r>
      <w:r w:rsidR="001C5899">
        <w:rPr>
          <w:lang w:eastAsia="en-GB"/>
        </w:rPr>
        <w:t xml:space="preserve">time </w:t>
      </w:r>
      <w:r w:rsidR="001C5899" w:rsidRPr="00CD5371">
        <w:rPr>
          <w:lang w:eastAsia="en-GB"/>
        </w:rPr>
        <w:t>T</w:t>
      </w:r>
      <w:r w:rsidR="001C5899" w:rsidRPr="00CD5371">
        <w:rPr>
          <w:vertAlign w:val="subscript"/>
          <w:lang w:eastAsia="en-GB"/>
        </w:rPr>
        <w:t>0</w:t>
      </w:r>
      <w:r w:rsidR="001C5899" w:rsidRPr="00CD5371">
        <w:rPr>
          <w:lang w:eastAsia="en-GB"/>
        </w:rPr>
        <w:t>+t</w:t>
      </w:r>
      <w:r w:rsidR="001C5899" w:rsidRPr="00CD5371">
        <w:rPr>
          <w:vertAlign w:val="subscript"/>
          <w:lang w:eastAsia="en-GB"/>
        </w:rPr>
        <w:t>SRS</w:t>
      </w:r>
      <w:r w:rsidR="001C5899" w:rsidRPr="00CD5371">
        <w:rPr>
          <w:lang w:eastAsia="en-GB"/>
        </w:rPr>
        <w:t xml:space="preserve"> as defined in TS 38.215</w:t>
      </w:r>
      <w:r w:rsidR="001C5899">
        <w:rPr>
          <w:lang w:eastAsia="en-GB"/>
        </w:rPr>
        <w:t>.</w:t>
      </w:r>
    </w:p>
    <w:p w14:paraId="0886C96E" w14:textId="78953BC6" w:rsidR="001B03A8" w:rsidRDefault="00AB53D0" w:rsidP="00024894">
      <w:pPr>
        <w:pStyle w:val="Proposal"/>
        <w:rPr>
          <w:lang w:eastAsia="en-GB"/>
        </w:rPr>
      </w:pPr>
      <w:bookmarkStart w:id="919" w:name="_Toc178961900"/>
      <w:r w:rsidRPr="00AB53D0">
        <w:rPr>
          <w:lang w:eastAsia="en-GB"/>
        </w:rPr>
        <w:t xml:space="preserve">For </w:t>
      </w:r>
      <w:r w:rsidR="001C5899" w:rsidRPr="001C5899">
        <w:rPr>
          <w:lang w:eastAsia="en-GB"/>
        </w:rPr>
        <w:t>AI/ML based positioning Case 3</w:t>
      </w:r>
      <w:r w:rsidR="001C5899">
        <w:rPr>
          <w:lang w:eastAsia="en-GB"/>
        </w:rPr>
        <w:t>a, the reference time for</w:t>
      </w:r>
      <w:r w:rsidR="001C5899" w:rsidRPr="001C5899">
        <w:rPr>
          <w:lang w:eastAsia="en-GB"/>
        </w:rPr>
        <w:t xml:space="preserve"> </w:t>
      </w:r>
      <w:r w:rsidR="00CD5371">
        <w:rPr>
          <w:lang w:eastAsia="en-GB"/>
        </w:rPr>
        <w:t xml:space="preserve">uplink channel measurements </w:t>
      </w:r>
      <w:r w:rsidR="001C5899">
        <w:rPr>
          <w:lang w:eastAsia="en-GB"/>
        </w:rPr>
        <w:t xml:space="preserve">is the same as </w:t>
      </w:r>
      <w:r w:rsidR="00C875C1">
        <w:rPr>
          <w:lang w:eastAsia="en-GB"/>
        </w:rPr>
        <w:t xml:space="preserve">that of </w:t>
      </w:r>
      <w:r w:rsidR="001C5899">
        <w:rPr>
          <w:lang w:eastAsia="en-GB"/>
        </w:rPr>
        <w:t>Case 3b, i.e.,</w:t>
      </w:r>
      <w:r w:rsidR="00CD5371">
        <w:rPr>
          <w:lang w:eastAsia="en-GB"/>
        </w:rPr>
        <w:t xml:space="preserve"> </w:t>
      </w:r>
      <w:r w:rsidR="00882307">
        <w:rPr>
          <w:lang w:eastAsia="en-GB"/>
        </w:rPr>
        <w:t xml:space="preserve">the </w:t>
      </w:r>
      <w:r w:rsidR="00972B4B">
        <w:rPr>
          <w:lang w:eastAsia="en-GB"/>
        </w:rPr>
        <w:t>timing information of DP and PDP is represented relative to t</w:t>
      </w:r>
      <w:r w:rsidR="00972B4B" w:rsidRPr="00972B4B">
        <w:rPr>
          <w:lang w:eastAsia="en-GB"/>
        </w:rPr>
        <w:t xml:space="preserve">he UL RTOA reference </w:t>
      </w:r>
      <w:r w:rsidR="00636891">
        <w:rPr>
          <w:lang w:eastAsia="en-GB"/>
        </w:rPr>
        <w:t>time</w:t>
      </w:r>
      <w:r w:rsidR="008A7F4D">
        <w:rPr>
          <w:lang w:eastAsia="en-GB"/>
        </w:rPr>
        <w:t xml:space="preserve"> </w:t>
      </w:r>
      <w:r w:rsidR="008A7F4D" w:rsidRPr="00CD5371">
        <w:rPr>
          <w:lang w:val="en-GB" w:eastAsia="en-GB"/>
        </w:rPr>
        <w:t>T</w:t>
      </w:r>
      <w:r w:rsidR="008A7F4D" w:rsidRPr="00CD5371">
        <w:rPr>
          <w:vertAlign w:val="subscript"/>
          <w:lang w:val="en-GB" w:eastAsia="en-GB"/>
        </w:rPr>
        <w:t>0</w:t>
      </w:r>
      <w:r w:rsidR="008A7F4D" w:rsidRPr="00CD5371">
        <w:rPr>
          <w:lang w:val="en-GB" w:eastAsia="en-GB"/>
        </w:rPr>
        <w:t>+t</w:t>
      </w:r>
      <w:r w:rsidR="008A7F4D" w:rsidRPr="00CD5371">
        <w:rPr>
          <w:vertAlign w:val="subscript"/>
          <w:lang w:val="en-GB" w:eastAsia="en-GB"/>
        </w:rPr>
        <w:t>SRS</w:t>
      </w:r>
      <w:r w:rsidR="008A7F4D" w:rsidRPr="00CD5371">
        <w:rPr>
          <w:lang w:val="en-GB" w:eastAsia="en-GB"/>
        </w:rPr>
        <w:t xml:space="preserve"> as defined in TS 38.215</w:t>
      </w:r>
      <w:r w:rsidR="00636891">
        <w:rPr>
          <w:lang w:eastAsia="en-GB"/>
        </w:rPr>
        <w:t>.</w:t>
      </w:r>
      <w:bookmarkEnd w:id="919"/>
      <w:r w:rsidR="00636891">
        <w:rPr>
          <w:lang w:eastAsia="en-GB"/>
        </w:rPr>
        <w:t xml:space="preserve"> </w:t>
      </w:r>
      <w:r w:rsidR="00440869">
        <w:rPr>
          <w:lang w:eastAsia="en-GB"/>
        </w:rPr>
        <w:t xml:space="preserve"> </w:t>
      </w:r>
    </w:p>
    <w:p w14:paraId="12A9EC15" w14:textId="3E639736" w:rsidR="00007B9F" w:rsidRPr="004157FD" w:rsidRDefault="000E46CF" w:rsidP="00007B9F">
      <w:pPr>
        <w:pStyle w:val="Heading2"/>
        <w:rPr>
          <w:lang w:val="en-US"/>
        </w:rPr>
      </w:pPr>
      <w:bookmarkStart w:id="920" w:name="_Toc178705168"/>
      <w:bookmarkStart w:id="921" w:name="_Toc178706070"/>
      <w:bookmarkStart w:id="922" w:name="_Toc178709048"/>
      <w:bookmarkStart w:id="923" w:name="_Toc178772770"/>
      <w:bookmarkStart w:id="924" w:name="_Toc178705175"/>
      <w:bookmarkStart w:id="925" w:name="_Toc178706077"/>
      <w:bookmarkStart w:id="926" w:name="_Toc178709055"/>
      <w:bookmarkStart w:id="927" w:name="_Toc178772777"/>
      <w:bookmarkStart w:id="928" w:name="_Toc178705176"/>
      <w:bookmarkStart w:id="929" w:name="_Toc178706078"/>
      <w:bookmarkStart w:id="930" w:name="_Toc178709056"/>
      <w:bookmarkStart w:id="931" w:name="_Toc178772778"/>
      <w:bookmarkStart w:id="932" w:name="_Toc178705177"/>
      <w:bookmarkStart w:id="933" w:name="_Toc178706079"/>
      <w:bookmarkStart w:id="934" w:name="_Toc178709057"/>
      <w:bookmarkStart w:id="935" w:name="_Toc178772779"/>
      <w:bookmarkStart w:id="936" w:name="_Toc178705178"/>
      <w:bookmarkStart w:id="937" w:name="_Toc178706080"/>
      <w:bookmarkStart w:id="938" w:name="_Toc178709058"/>
      <w:bookmarkStart w:id="939" w:name="_Toc178772780"/>
      <w:bookmarkStart w:id="940" w:name="_Toc178705179"/>
      <w:bookmarkStart w:id="941" w:name="_Toc178706081"/>
      <w:bookmarkStart w:id="942" w:name="_Toc178709059"/>
      <w:bookmarkStart w:id="943" w:name="_Toc178772781"/>
      <w:bookmarkStart w:id="944" w:name="_Toc178705180"/>
      <w:bookmarkStart w:id="945" w:name="_Toc178706082"/>
      <w:bookmarkStart w:id="946" w:name="_Toc178709060"/>
      <w:bookmarkStart w:id="947" w:name="_Toc178772782"/>
      <w:bookmarkStart w:id="948" w:name="_Toc178705181"/>
      <w:bookmarkStart w:id="949" w:name="_Toc178706083"/>
      <w:bookmarkStart w:id="950" w:name="_Toc178709061"/>
      <w:bookmarkStart w:id="951" w:name="_Toc178772783"/>
      <w:bookmarkStart w:id="952" w:name="_Toc173850929"/>
      <w:bookmarkStart w:id="953" w:name="_Toc173940681"/>
      <w:bookmarkStart w:id="954" w:name="_Toc173850930"/>
      <w:bookmarkStart w:id="955" w:name="_Toc173940682"/>
      <w:bookmarkStart w:id="956" w:name="_Toc178705182"/>
      <w:bookmarkStart w:id="957" w:name="_Toc178706084"/>
      <w:bookmarkStart w:id="958" w:name="_Toc178709062"/>
      <w:bookmarkStart w:id="959" w:name="_Toc178772784"/>
      <w:bookmarkStart w:id="960" w:name="_Toc178705183"/>
      <w:bookmarkStart w:id="961" w:name="_Toc178706085"/>
      <w:bookmarkStart w:id="962" w:name="_Toc178709063"/>
      <w:bookmarkStart w:id="963" w:name="_Toc178772785"/>
      <w:bookmarkStart w:id="964" w:name="_Toc178705184"/>
      <w:bookmarkStart w:id="965" w:name="_Toc178706086"/>
      <w:bookmarkStart w:id="966" w:name="_Toc178709064"/>
      <w:bookmarkStart w:id="967" w:name="_Toc178772786"/>
      <w:bookmarkStart w:id="968" w:name="_Toc178705185"/>
      <w:bookmarkStart w:id="969" w:name="_Toc178706087"/>
      <w:bookmarkStart w:id="970" w:name="_Toc178709065"/>
      <w:bookmarkStart w:id="971" w:name="_Toc178772787"/>
      <w:bookmarkStart w:id="972" w:name="_Toc178705186"/>
      <w:bookmarkStart w:id="973" w:name="_Toc178706088"/>
      <w:bookmarkStart w:id="974" w:name="_Toc178709066"/>
      <w:bookmarkStart w:id="975" w:name="_Toc178772788"/>
      <w:bookmarkStart w:id="976" w:name="_Toc178705187"/>
      <w:bookmarkStart w:id="977" w:name="_Toc178706089"/>
      <w:bookmarkStart w:id="978" w:name="_Toc178709067"/>
      <w:bookmarkStart w:id="979" w:name="_Toc178772789"/>
      <w:bookmarkStart w:id="980" w:name="_Toc178705188"/>
      <w:bookmarkStart w:id="981" w:name="_Toc178706090"/>
      <w:bookmarkStart w:id="982" w:name="_Toc178709068"/>
      <w:bookmarkStart w:id="983" w:name="_Toc178772790"/>
      <w:bookmarkStart w:id="984" w:name="_Toc178705189"/>
      <w:bookmarkStart w:id="985" w:name="_Toc178706091"/>
      <w:bookmarkStart w:id="986" w:name="_Toc178709069"/>
      <w:bookmarkStart w:id="987" w:name="_Toc178772791"/>
      <w:bookmarkStart w:id="988" w:name="_Toc178705190"/>
      <w:bookmarkStart w:id="989" w:name="_Toc178706092"/>
      <w:bookmarkStart w:id="990" w:name="_Toc178709070"/>
      <w:bookmarkStart w:id="991" w:name="_Toc178772792"/>
      <w:bookmarkStart w:id="992" w:name="_Toc178705191"/>
      <w:bookmarkStart w:id="993" w:name="_Toc178706093"/>
      <w:bookmarkStart w:id="994" w:name="_Toc178709071"/>
      <w:bookmarkStart w:id="995" w:name="_Toc178772793"/>
      <w:bookmarkStart w:id="996" w:name="_Toc178705192"/>
      <w:bookmarkStart w:id="997" w:name="_Toc178706094"/>
      <w:bookmarkStart w:id="998" w:name="_Toc178709072"/>
      <w:bookmarkStart w:id="999" w:name="_Toc178772794"/>
      <w:bookmarkStart w:id="1000" w:name="_Toc178705193"/>
      <w:bookmarkStart w:id="1001" w:name="_Toc178706095"/>
      <w:bookmarkStart w:id="1002" w:name="_Toc178709073"/>
      <w:bookmarkStart w:id="1003" w:name="_Toc178772795"/>
      <w:bookmarkStart w:id="1004" w:name="_Toc178705194"/>
      <w:bookmarkStart w:id="1005" w:name="_Toc178706096"/>
      <w:bookmarkStart w:id="1006" w:name="_Toc178709074"/>
      <w:bookmarkStart w:id="1007" w:name="_Toc178772796"/>
      <w:bookmarkStart w:id="1008" w:name="_Toc178705195"/>
      <w:bookmarkStart w:id="1009" w:name="_Toc178706097"/>
      <w:bookmarkStart w:id="1010" w:name="_Toc178709075"/>
      <w:bookmarkStart w:id="1011" w:name="_Toc178772797"/>
      <w:bookmarkStart w:id="1012" w:name="_Toc178705205"/>
      <w:bookmarkStart w:id="1013" w:name="_Toc178706107"/>
      <w:bookmarkStart w:id="1014" w:name="_Toc178709085"/>
      <w:bookmarkStart w:id="1015" w:name="_Toc178772807"/>
      <w:bookmarkStart w:id="1016" w:name="_Toc178705206"/>
      <w:bookmarkStart w:id="1017" w:name="_Toc178706108"/>
      <w:bookmarkStart w:id="1018" w:name="_Toc178709086"/>
      <w:bookmarkStart w:id="1019" w:name="_Toc178772808"/>
      <w:bookmarkStart w:id="1020" w:name="_Toc178705207"/>
      <w:bookmarkStart w:id="1021" w:name="_Toc178706109"/>
      <w:bookmarkStart w:id="1022" w:name="_Toc178709087"/>
      <w:bookmarkStart w:id="1023" w:name="_Toc178772809"/>
      <w:bookmarkStart w:id="1024" w:name="_Toc178705208"/>
      <w:bookmarkStart w:id="1025" w:name="_Toc178706110"/>
      <w:bookmarkStart w:id="1026" w:name="_Toc178709088"/>
      <w:bookmarkStart w:id="1027" w:name="_Toc178772810"/>
      <w:bookmarkStart w:id="1028" w:name="_Toc178705209"/>
      <w:bookmarkStart w:id="1029" w:name="_Toc178706111"/>
      <w:bookmarkStart w:id="1030" w:name="_Toc178709089"/>
      <w:bookmarkStart w:id="1031" w:name="_Toc178772811"/>
      <w:bookmarkStart w:id="1032" w:name="_Toc178705210"/>
      <w:bookmarkStart w:id="1033" w:name="_Toc178706112"/>
      <w:bookmarkStart w:id="1034" w:name="_Toc178709090"/>
      <w:bookmarkStart w:id="1035" w:name="_Toc178772812"/>
      <w:bookmarkStart w:id="1036" w:name="_Toc178705211"/>
      <w:bookmarkStart w:id="1037" w:name="_Toc178706113"/>
      <w:bookmarkStart w:id="1038" w:name="_Toc178709091"/>
      <w:bookmarkStart w:id="1039" w:name="_Toc178772813"/>
      <w:bookmarkStart w:id="1040" w:name="_Toc178705212"/>
      <w:bookmarkStart w:id="1041" w:name="_Toc178706114"/>
      <w:bookmarkStart w:id="1042" w:name="_Toc178709092"/>
      <w:bookmarkStart w:id="1043" w:name="_Toc178772814"/>
      <w:bookmarkStart w:id="1044" w:name="_Toc178705213"/>
      <w:bookmarkStart w:id="1045" w:name="_Toc178706115"/>
      <w:bookmarkStart w:id="1046" w:name="_Toc178709093"/>
      <w:bookmarkStart w:id="1047" w:name="_Toc178772815"/>
      <w:bookmarkStart w:id="1048" w:name="_Toc178705214"/>
      <w:bookmarkStart w:id="1049" w:name="_Toc178706116"/>
      <w:bookmarkStart w:id="1050" w:name="_Toc178709094"/>
      <w:bookmarkStart w:id="1051" w:name="_Toc178772816"/>
      <w:bookmarkStart w:id="1052" w:name="_Toc178705215"/>
      <w:bookmarkStart w:id="1053" w:name="_Toc178706117"/>
      <w:bookmarkStart w:id="1054" w:name="_Toc178709095"/>
      <w:bookmarkStart w:id="1055" w:name="_Toc178772817"/>
      <w:bookmarkStart w:id="1056" w:name="_Toc178705216"/>
      <w:bookmarkStart w:id="1057" w:name="_Toc178706118"/>
      <w:bookmarkStart w:id="1058" w:name="_Toc178709096"/>
      <w:bookmarkStart w:id="1059" w:name="_Toc178772818"/>
      <w:bookmarkStart w:id="1060" w:name="_Toc178705217"/>
      <w:bookmarkStart w:id="1061" w:name="_Toc178706119"/>
      <w:bookmarkStart w:id="1062" w:name="_Toc178709097"/>
      <w:bookmarkStart w:id="1063" w:name="_Toc178772819"/>
      <w:bookmarkStart w:id="1064" w:name="_Toc178705218"/>
      <w:bookmarkStart w:id="1065" w:name="_Toc178706120"/>
      <w:bookmarkStart w:id="1066" w:name="_Toc178709098"/>
      <w:bookmarkStart w:id="1067" w:name="_Toc178772820"/>
      <w:bookmarkStart w:id="1068" w:name="_Toc178705219"/>
      <w:bookmarkStart w:id="1069" w:name="_Toc178706121"/>
      <w:bookmarkStart w:id="1070" w:name="_Toc178709099"/>
      <w:bookmarkStart w:id="1071" w:name="_Toc178772821"/>
      <w:bookmarkStart w:id="1072" w:name="_Toc178705220"/>
      <w:bookmarkStart w:id="1073" w:name="_Toc178706122"/>
      <w:bookmarkStart w:id="1074" w:name="_Toc178709100"/>
      <w:bookmarkStart w:id="1075" w:name="_Toc178772822"/>
      <w:bookmarkStart w:id="1076" w:name="_Toc178705221"/>
      <w:bookmarkStart w:id="1077" w:name="_Toc178706123"/>
      <w:bookmarkStart w:id="1078" w:name="_Toc178709101"/>
      <w:bookmarkStart w:id="1079" w:name="_Toc178772823"/>
      <w:bookmarkStart w:id="1080" w:name="_Toc178705222"/>
      <w:bookmarkStart w:id="1081" w:name="_Toc178706124"/>
      <w:bookmarkStart w:id="1082" w:name="_Toc178709102"/>
      <w:bookmarkStart w:id="1083" w:name="_Toc178772824"/>
      <w:bookmarkStart w:id="1084" w:name="_Toc178705223"/>
      <w:bookmarkStart w:id="1085" w:name="_Toc178706125"/>
      <w:bookmarkStart w:id="1086" w:name="_Toc178709103"/>
      <w:bookmarkStart w:id="1087" w:name="_Toc178772825"/>
      <w:bookmarkStart w:id="1088" w:name="_Toc178705224"/>
      <w:bookmarkStart w:id="1089" w:name="_Toc178706126"/>
      <w:bookmarkStart w:id="1090" w:name="_Toc178709104"/>
      <w:bookmarkStart w:id="1091" w:name="_Toc178772826"/>
      <w:bookmarkStart w:id="1092" w:name="_Toc178705236"/>
      <w:bookmarkStart w:id="1093" w:name="_Toc178706138"/>
      <w:bookmarkStart w:id="1094" w:name="_Toc178709116"/>
      <w:bookmarkStart w:id="1095" w:name="_Toc178772838"/>
      <w:bookmarkStart w:id="1096" w:name="_Toc178705246"/>
      <w:bookmarkStart w:id="1097" w:name="_Toc178706148"/>
      <w:bookmarkStart w:id="1098" w:name="_Toc178709126"/>
      <w:bookmarkStart w:id="1099" w:name="_Toc178772848"/>
      <w:bookmarkStart w:id="1100" w:name="_Toc178705247"/>
      <w:bookmarkStart w:id="1101" w:name="_Toc178706149"/>
      <w:bookmarkStart w:id="1102" w:name="_Toc178709127"/>
      <w:bookmarkStart w:id="1103" w:name="_Toc178772849"/>
      <w:bookmarkStart w:id="1104" w:name="_Toc178705248"/>
      <w:bookmarkStart w:id="1105" w:name="_Toc178706150"/>
      <w:bookmarkStart w:id="1106" w:name="_Toc178709128"/>
      <w:bookmarkStart w:id="1107" w:name="_Toc178772850"/>
      <w:bookmarkStart w:id="1108" w:name="_Toc178705249"/>
      <w:bookmarkStart w:id="1109" w:name="_Toc178706151"/>
      <w:bookmarkStart w:id="1110" w:name="_Toc178709129"/>
      <w:bookmarkStart w:id="1111" w:name="_Toc178772851"/>
      <w:bookmarkStart w:id="1112" w:name="_Toc178705250"/>
      <w:bookmarkStart w:id="1113" w:name="_Toc178706152"/>
      <w:bookmarkStart w:id="1114" w:name="_Toc178709130"/>
      <w:bookmarkStart w:id="1115" w:name="_Toc178772852"/>
      <w:bookmarkStart w:id="1116" w:name="_Toc178705251"/>
      <w:bookmarkStart w:id="1117" w:name="_Toc178706153"/>
      <w:bookmarkStart w:id="1118" w:name="_Toc178709131"/>
      <w:bookmarkStart w:id="1119" w:name="_Toc178772853"/>
      <w:bookmarkStart w:id="1120" w:name="_Toc178705252"/>
      <w:bookmarkStart w:id="1121" w:name="_Toc178706154"/>
      <w:bookmarkStart w:id="1122" w:name="_Toc178709132"/>
      <w:bookmarkStart w:id="1123" w:name="_Toc178772854"/>
      <w:bookmarkStart w:id="1124" w:name="_Toc178705253"/>
      <w:bookmarkStart w:id="1125" w:name="_Toc178706155"/>
      <w:bookmarkStart w:id="1126" w:name="_Toc178709133"/>
      <w:bookmarkStart w:id="1127" w:name="_Toc178772855"/>
      <w:bookmarkStart w:id="1128" w:name="_Toc178705254"/>
      <w:bookmarkStart w:id="1129" w:name="_Toc178706156"/>
      <w:bookmarkStart w:id="1130" w:name="_Toc178709134"/>
      <w:bookmarkStart w:id="1131" w:name="_Toc178772856"/>
      <w:bookmarkStart w:id="1132" w:name="_Toc178705271"/>
      <w:bookmarkStart w:id="1133" w:name="_Toc178706173"/>
      <w:bookmarkStart w:id="1134" w:name="_Toc178709151"/>
      <w:bookmarkStart w:id="1135" w:name="_Toc178772873"/>
      <w:bookmarkStart w:id="1136" w:name="_Toc178705272"/>
      <w:bookmarkStart w:id="1137" w:name="_Toc178706174"/>
      <w:bookmarkStart w:id="1138" w:name="_Toc178709152"/>
      <w:bookmarkStart w:id="1139" w:name="_Toc178772874"/>
      <w:bookmarkStart w:id="1140" w:name="_Toc178705273"/>
      <w:bookmarkStart w:id="1141" w:name="_Toc178706175"/>
      <w:bookmarkStart w:id="1142" w:name="_Toc178709153"/>
      <w:bookmarkStart w:id="1143" w:name="_Toc178772875"/>
      <w:bookmarkStart w:id="1144" w:name="_Toc178705274"/>
      <w:bookmarkStart w:id="1145" w:name="_Toc178706176"/>
      <w:bookmarkStart w:id="1146" w:name="_Toc178709154"/>
      <w:bookmarkStart w:id="1147" w:name="_Toc178772876"/>
      <w:bookmarkStart w:id="1148" w:name="_Toc178705275"/>
      <w:bookmarkStart w:id="1149" w:name="_Toc178706177"/>
      <w:bookmarkStart w:id="1150" w:name="_Toc178709155"/>
      <w:bookmarkStart w:id="1151" w:name="_Toc178772877"/>
      <w:bookmarkStart w:id="1152" w:name="_Toc178705276"/>
      <w:bookmarkStart w:id="1153" w:name="_Toc178706178"/>
      <w:bookmarkStart w:id="1154" w:name="_Toc178709156"/>
      <w:bookmarkStart w:id="1155" w:name="_Toc178772878"/>
      <w:bookmarkStart w:id="1156" w:name="_Toc178705277"/>
      <w:bookmarkStart w:id="1157" w:name="_Toc178706179"/>
      <w:bookmarkStart w:id="1158" w:name="_Toc178709157"/>
      <w:bookmarkStart w:id="1159" w:name="_Toc178772879"/>
      <w:bookmarkStart w:id="1160" w:name="_Toc178705278"/>
      <w:bookmarkStart w:id="1161" w:name="_Toc178706180"/>
      <w:bookmarkStart w:id="1162" w:name="_Toc178709158"/>
      <w:bookmarkStart w:id="1163" w:name="_Toc178772880"/>
      <w:bookmarkStart w:id="1164" w:name="_Toc178705279"/>
      <w:bookmarkStart w:id="1165" w:name="_Toc178706181"/>
      <w:bookmarkStart w:id="1166" w:name="_Toc178709159"/>
      <w:bookmarkStart w:id="1167" w:name="_Toc178772881"/>
      <w:bookmarkStart w:id="1168" w:name="_Toc178705280"/>
      <w:bookmarkStart w:id="1169" w:name="_Toc178706182"/>
      <w:bookmarkStart w:id="1170" w:name="_Toc178709160"/>
      <w:bookmarkStart w:id="1171" w:name="_Toc178772882"/>
      <w:bookmarkStart w:id="1172" w:name="_Toc178705296"/>
      <w:bookmarkStart w:id="1173" w:name="_Toc178706198"/>
      <w:bookmarkStart w:id="1174" w:name="_Toc178709176"/>
      <w:bookmarkStart w:id="1175" w:name="_Toc178772898"/>
      <w:bookmarkStart w:id="1176" w:name="_Toc178705297"/>
      <w:bookmarkStart w:id="1177" w:name="_Toc178706199"/>
      <w:bookmarkStart w:id="1178" w:name="_Toc178709177"/>
      <w:bookmarkStart w:id="1179" w:name="_Toc178772899"/>
      <w:bookmarkStart w:id="1180" w:name="_Toc178705298"/>
      <w:bookmarkStart w:id="1181" w:name="_Toc178706200"/>
      <w:bookmarkStart w:id="1182" w:name="_Toc178709178"/>
      <w:bookmarkStart w:id="1183" w:name="_Toc178772900"/>
      <w:bookmarkStart w:id="1184" w:name="_Toc178705299"/>
      <w:bookmarkStart w:id="1185" w:name="_Toc178706201"/>
      <w:bookmarkStart w:id="1186" w:name="_Toc178709179"/>
      <w:bookmarkStart w:id="1187" w:name="_Toc178772901"/>
      <w:bookmarkStart w:id="1188" w:name="_Toc178705300"/>
      <w:bookmarkStart w:id="1189" w:name="_Toc178706202"/>
      <w:bookmarkStart w:id="1190" w:name="_Toc178709180"/>
      <w:bookmarkStart w:id="1191" w:name="_Toc178772902"/>
      <w:bookmarkStart w:id="1192" w:name="_Toc178705301"/>
      <w:bookmarkStart w:id="1193" w:name="_Toc178706203"/>
      <w:bookmarkStart w:id="1194" w:name="_Toc178709181"/>
      <w:bookmarkStart w:id="1195" w:name="_Toc178772903"/>
      <w:bookmarkStart w:id="1196" w:name="_Toc178705302"/>
      <w:bookmarkStart w:id="1197" w:name="_Toc178706204"/>
      <w:bookmarkStart w:id="1198" w:name="_Toc178709182"/>
      <w:bookmarkStart w:id="1199" w:name="_Toc178772904"/>
      <w:bookmarkStart w:id="1200" w:name="_Toc178705303"/>
      <w:bookmarkStart w:id="1201" w:name="_Toc178706205"/>
      <w:bookmarkStart w:id="1202" w:name="_Toc178709183"/>
      <w:bookmarkStart w:id="1203" w:name="_Toc178772905"/>
      <w:bookmarkStart w:id="1204" w:name="_Toc178705304"/>
      <w:bookmarkStart w:id="1205" w:name="_Toc178706206"/>
      <w:bookmarkStart w:id="1206" w:name="_Toc178709184"/>
      <w:bookmarkStart w:id="1207" w:name="_Toc178772906"/>
      <w:bookmarkStart w:id="1208" w:name="_Toc178705305"/>
      <w:bookmarkStart w:id="1209" w:name="_Toc178706207"/>
      <w:bookmarkStart w:id="1210" w:name="_Toc178709185"/>
      <w:bookmarkStart w:id="1211" w:name="_Toc178772907"/>
      <w:bookmarkStart w:id="1212" w:name="_Toc178705306"/>
      <w:bookmarkStart w:id="1213" w:name="_Toc178706208"/>
      <w:bookmarkStart w:id="1214" w:name="_Toc178709186"/>
      <w:bookmarkStart w:id="1215" w:name="_Toc178772908"/>
      <w:bookmarkStart w:id="1216" w:name="_Toc178705307"/>
      <w:bookmarkStart w:id="1217" w:name="_Toc178706209"/>
      <w:bookmarkStart w:id="1218" w:name="_Toc178709187"/>
      <w:bookmarkStart w:id="1219" w:name="_Toc178772909"/>
      <w:bookmarkStart w:id="1220" w:name="_Toc178705308"/>
      <w:bookmarkStart w:id="1221" w:name="_Toc178706210"/>
      <w:bookmarkStart w:id="1222" w:name="_Toc178709188"/>
      <w:bookmarkStart w:id="1223" w:name="_Toc178772910"/>
      <w:bookmarkStart w:id="1224" w:name="_Toc178705329"/>
      <w:bookmarkStart w:id="1225" w:name="_Toc178706231"/>
      <w:bookmarkStart w:id="1226" w:name="_Toc178709209"/>
      <w:bookmarkStart w:id="1227" w:name="_Toc178772931"/>
      <w:bookmarkStart w:id="1228" w:name="_Toc178705330"/>
      <w:bookmarkStart w:id="1229" w:name="_Toc178706232"/>
      <w:bookmarkStart w:id="1230" w:name="_Toc178709210"/>
      <w:bookmarkStart w:id="1231" w:name="_Toc178772932"/>
      <w:bookmarkStart w:id="1232" w:name="_Toc178705331"/>
      <w:bookmarkStart w:id="1233" w:name="_Toc178706233"/>
      <w:bookmarkStart w:id="1234" w:name="_Toc178709211"/>
      <w:bookmarkStart w:id="1235" w:name="_Toc178772933"/>
      <w:bookmarkStart w:id="1236" w:name="_Toc173850935"/>
      <w:bookmarkStart w:id="1237" w:name="_Toc173940687"/>
      <w:bookmarkStart w:id="1238" w:name="_Toc173850936"/>
      <w:bookmarkStart w:id="1239" w:name="_Toc173940688"/>
      <w:bookmarkStart w:id="1240" w:name="_Toc173850937"/>
      <w:bookmarkStart w:id="1241" w:name="_Toc173940689"/>
      <w:bookmarkStart w:id="1242" w:name="_Toc173850949"/>
      <w:bookmarkStart w:id="1243" w:name="_Toc173940701"/>
      <w:bookmarkStart w:id="1244" w:name="_Toc173850950"/>
      <w:bookmarkStart w:id="1245" w:name="_Toc173940702"/>
      <w:bookmarkStart w:id="1246" w:name="_Toc173850951"/>
      <w:bookmarkStart w:id="1247" w:name="_Toc173940703"/>
      <w:bookmarkStart w:id="1248" w:name="_Toc173850952"/>
      <w:bookmarkStart w:id="1249" w:name="_Toc173940704"/>
      <w:bookmarkStart w:id="1250" w:name="_Toc173850953"/>
      <w:bookmarkStart w:id="1251" w:name="_Toc173940705"/>
      <w:bookmarkStart w:id="1252" w:name="_Toc173850954"/>
      <w:bookmarkStart w:id="1253" w:name="_Toc173940706"/>
      <w:bookmarkStart w:id="1254" w:name="_Toc173850955"/>
      <w:bookmarkStart w:id="1255" w:name="_Toc173940707"/>
      <w:bookmarkStart w:id="1256" w:name="_Toc173850956"/>
      <w:bookmarkStart w:id="1257" w:name="_Toc173940708"/>
      <w:bookmarkStart w:id="1258" w:name="_Toc173850957"/>
      <w:bookmarkStart w:id="1259" w:name="_Toc173940709"/>
      <w:bookmarkStart w:id="1260" w:name="_Toc173850958"/>
      <w:bookmarkStart w:id="1261" w:name="_Toc173940710"/>
      <w:bookmarkStart w:id="1262" w:name="_Toc173850959"/>
      <w:bookmarkStart w:id="1263" w:name="_Toc173940711"/>
      <w:bookmarkStart w:id="1264" w:name="_Toc173850960"/>
      <w:bookmarkStart w:id="1265" w:name="_Toc173940712"/>
      <w:bookmarkStart w:id="1266" w:name="_Toc173850961"/>
      <w:bookmarkStart w:id="1267" w:name="_Toc173940713"/>
      <w:bookmarkStart w:id="1268" w:name="_Toc173850962"/>
      <w:bookmarkStart w:id="1269" w:name="_Toc173940714"/>
      <w:bookmarkStart w:id="1270" w:name="_Toc173850963"/>
      <w:bookmarkStart w:id="1271" w:name="_Toc173940715"/>
      <w:bookmarkStart w:id="1272" w:name="_Toc173850964"/>
      <w:bookmarkStart w:id="1273" w:name="_Toc173940716"/>
      <w:bookmarkStart w:id="1274" w:name="_Toc173850965"/>
      <w:bookmarkStart w:id="1275" w:name="_Toc173940717"/>
      <w:bookmarkStart w:id="1276" w:name="_Toc173850966"/>
      <w:bookmarkStart w:id="1277" w:name="_Toc173940718"/>
      <w:bookmarkStart w:id="1278" w:name="_Toc173850967"/>
      <w:bookmarkStart w:id="1279" w:name="_Toc173940719"/>
      <w:bookmarkStart w:id="1280" w:name="_Toc173850968"/>
      <w:bookmarkStart w:id="1281" w:name="_Toc173940720"/>
      <w:bookmarkStart w:id="1282" w:name="_Toc173850969"/>
      <w:bookmarkStart w:id="1283" w:name="_Toc173940721"/>
      <w:bookmarkStart w:id="1284" w:name="_Toc173850970"/>
      <w:bookmarkStart w:id="1285" w:name="_Toc173940722"/>
      <w:bookmarkStart w:id="1286" w:name="_Toc173850971"/>
      <w:bookmarkStart w:id="1287" w:name="_Toc173940723"/>
      <w:bookmarkStart w:id="1288" w:name="_Toc173850972"/>
      <w:bookmarkStart w:id="1289" w:name="_Toc173940724"/>
      <w:bookmarkStart w:id="1290" w:name="_Toc173850973"/>
      <w:bookmarkStart w:id="1291" w:name="_Toc173940725"/>
      <w:bookmarkStart w:id="1292" w:name="_Toc173850974"/>
      <w:bookmarkStart w:id="1293" w:name="_Toc173940726"/>
      <w:bookmarkStart w:id="1294" w:name="_Toc173850975"/>
      <w:bookmarkStart w:id="1295" w:name="_Toc173940727"/>
      <w:bookmarkStart w:id="1296" w:name="_Toc173850976"/>
      <w:bookmarkStart w:id="1297" w:name="_Toc173940728"/>
      <w:bookmarkStart w:id="1298" w:name="_Toc173850977"/>
      <w:bookmarkStart w:id="1299" w:name="_Toc173940729"/>
      <w:bookmarkStart w:id="1300" w:name="_Toc173850978"/>
      <w:bookmarkStart w:id="1301" w:name="_Toc173940730"/>
      <w:bookmarkStart w:id="1302" w:name="_Toc173850979"/>
      <w:bookmarkStart w:id="1303" w:name="_Toc173940731"/>
      <w:bookmarkStart w:id="1304" w:name="_Toc173850980"/>
      <w:bookmarkStart w:id="1305" w:name="_Toc173940732"/>
      <w:bookmarkStart w:id="1306" w:name="_Toc173850981"/>
      <w:bookmarkStart w:id="1307" w:name="_Toc173940733"/>
      <w:bookmarkStart w:id="1308" w:name="_Toc173850982"/>
      <w:bookmarkStart w:id="1309" w:name="_Toc173940734"/>
      <w:bookmarkStart w:id="1310" w:name="_Toc173850983"/>
      <w:bookmarkStart w:id="1311" w:name="_Toc173940735"/>
      <w:bookmarkStart w:id="1312" w:name="_Toc158978328"/>
      <w:bookmarkStart w:id="1313" w:name="_Toc173850984"/>
      <w:bookmarkStart w:id="1314" w:name="_Toc173940736"/>
      <w:bookmarkStart w:id="1315" w:name="_Toc173850985"/>
      <w:bookmarkStart w:id="1316" w:name="_Toc173940737"/>
      <w:bookmarkStart w:id="1317" w:name="_Toc173850986"/>
      <w:bookmarkStart w:id="1318" w:name="_Toc173940738"/>
      <w:bookmarkStart w:id="1319" w:name="_Toc173850987"/>
      <w:bookmarkStart w:id="1320" w:name="_Toc173940739"/>
      <w:bookmarkStart w:id="1321" w:name="_Toc173850988"/>
      <w:bookmarkStart w:id="1322" w:name="_Toc173940740"/>
      <w:bookmarkStart w:id="1323" w:name="_Toc173850989"/>
      <w:bookmarkStart w:id="1324" w:name="_Toc173940741"/>
      <w:bookmarkStart w:id="1325" w:name="_Toc173850990"/>
      <w:bookmarkStart w:id="1326" w:name="_Toc173940742"/>
      <w:bookmarkStart w:id="1327" w:name="_Toc173850991"/>
      <w:bookmarkStart w:id="1328" w:name="_Toc173940743"/>
      <w:bookmarkStart w:id="1329" w:name="_Toc173851011"/>
      <w:bookmarkStart w:id="1330" w:name="_Toc173940763"/>
      <w:bookmarkStart w:id="1331" w:name="_Toc173851012"/>
      <w:bookmarkStart w:id="1332" w:name="_Toc173940764"/>
      <w:bookmarkStart w:id="1333" w:name="_Toc173851013"/>
      <w:bookmarkStart w:id="1334" w:name="_Toc173940765"/>
      <w:bookmarkStart w:id="1335" w:name="_Toc173851014"/>
      <w:bookmarkStart w:id="1336" w:name="_Toc173940766"/>
      <w:bookmarkStart w:id="1337" w:name="_Toc173851015"/>
      <w:bookmarkStart w:id="1338" w:name="_Toc173940767"/>
      <w:bookmarkStart w:id="1339" w:name="_Toc173851016"/>
      <w:bookmarkStart w:id="1340" w:name="_Toc173940768"/>
      <w:bookmarkStart w:id="1341" w:name="_Toc173851017"/>
      <w:bookmarkStart w:id="1342" w:name="_Toc173940769"/>
      <w:bookmarkStart w:id="1343" w:name="_Toc173851018"/>
      <w:bookmarkStart w:id="1344" w:name="_Toc173940770"/>
      <w:bookmarkStart w:id="1345" w:name="_Toc173851019"/>
      <w:bookmarkStart w:id="1346" w:name="_Toc173940771"/>
      <w:bookmarkStart w:id="1347" w:name="_Toc173851020"/>
      <w:bookmarkStart w:id="1348" w:name="_Toc173940772"/>
      <w:bookmarkStart w:id="1349" w:name="_Toc173851021"/>
      <w:bookmarkStart w:id="1350" w:name="_Toc173940773"/>
      <w:bookmarkStart w:id="1351" w:name="_Toc173851022"/>
      <w:bookmarkStart w:id="1352" w:name="_Toc173940774"/>
      <w:bookmarkStart w:id="1353" w:name="_Toc173851023"/>
      <w:bookmarkStart w:id="1354" w:name="_Toc173940775"/>
      <w:bookmarkStart w:id="1355" w:name="_Toc165990999"/>
      <w:bookmarkStart w:id="1356" w:name="_Toc178961663"/>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r w:rsidRPr="004157FD">
        <w:rPr>
          <w:lang w:val="en-US"/>
        </w:rPr>
        <w:t xml:space="preserve">Additional information </w:t>
      </w:r>
      <w:r w:rsidR="0083433D" w:rsidRPr="004157FD">
        <w:rPr>
          <w:lang w:val="en-US"/>
        </w:rPr>
        <w:t>included in the measurement report</w:t>
      </w:r>
      <w:bookmarkEnd w:id="1355"/>
      <w:bookmarkEnd w:id="1356"/>
    </w:p>
    <w:p w14:paraId="43BC6578" w14:textId="31CC68B2" w:rsidR="00B170CF" w:rsidRPr="00E215F0" w:rsidRDefault="007002C8" w:rsidP="00B170CF">
      <w:r>
        <w:t>I</w:t>
      </w:r>
      <w:r w:rsidR="00166F82" w:rsidRPr="00E215F0">
        <w:t xml:space="preserve">n legacy positioning, measurement reports </w:t>
      </w:r>
      <w:r w:rsidR="0086166C" w:rsidRPr="00E215F0">
        <w:t xml:space="preserve">contain </w:t>
      </w:r>
      <w:r w:rsidR="00EE0578" w:rsidRPr="00E215F0">
        <w:t xml:space="preserve">additional information </w:t>
      </w:r>
      <w:r w:rsidR="00F15A43" w:rsidRPr="00E215F0">
        <w:t>detailing the main measurement</w:t>
      </w:r>
      <w:r w:rsidR="00FB5FA3">
        <w:t>s</w:t>
      </w:r>
      <w:r w:rsidR="00F15A43" w:rsidRPr="00E215F0">
        <w:t xml:space="preserve">. </w:t>
      </w:r>
      <w:r w:rsidR="006E12EA" w:rsidRPr="00E215F0">
        <w:t>For example, the IE used to report RSTD in DL-TDOA</w:t>
      </w:r>
      <w:r w:rsidR="00B05CC2" w:rsidRPr="00E215F0">
        <w:t xml:space="preserve"> also provide </w:t>
      </w:r>
      <w:r w:rsidR="00507F50" w:rsidRPr="00E215F0">
        <w:t>the origin of the measurement (PRS resource, resource set and PFL ID</w:t>
      </w:r>
      <w:r w:rsidR="00DD3418">
        <w:t>,</w:t>
      </w:r>
      <w:r w:rsidR="00507F50" w:rsidRPr="00E215F0">
        <w:t xml:space="preserve">) </w:t>
      </w:r>
      <w:r w:rsidR="00B05CC2" w:rsidRPr="00E215F0">
        <w:t xml:space="preserve">quality index, power (RSRP/RSRPP) measurements, time stamp of the measurements, </w:t>
      </w:r>
      <w:r w:rsidR="00B84BE3" w:rsidRPr="00E215F0">
        <w:t xml:space="preserve">and TEG information. </w:t>
      </w:r>
      <w:r w:rsidR="00B170CF" w:rsidRPr="00E215F0">
        <w:t>Some auxiliary information can be used as model input as well, e.g., TRP ID which was studied in TRP reduction in Rel-18 study item stage.</w:t>
      </w:r>
      <w:r w:rsidR="00E90E8B" w:rsidRPr="00E215F0">
        <w:t xml:space="preserve"> </w:t>
      </w:r>
      <w:r w:rsidR="00E66874" w:rsidRPr="00E215F0">
        <w:t xml:space="preserve">At the minimum, </w:t>
      </w:r>
      <w:r w:rsidR="00A761C7" w:rsidRPr="00E215F0">
        <w:t xml:space="preserve">measurements </w:t>
      </w:r>
      <w:r w:rsidR="00C8011B" w:rsidRPr="00E215F0">
        <w:t>reported for the input to the AI/ML model should always be associated with</w:t>
      </w:r>
      <w:r w:rsidR="0014074F" w:rsidRPr="00E215F0">
        <w:t xml:space="preserve"> the configuration details of the signals used to perform the measurements (</w:t>
      </w:r>
      <w:r w:rsidR="001443E2" w:rsidRPr="00E215F0">
        <w:t xml:space="preserve">as provided in </w:t>
      </w:r>
      <w:r w:rsidR="001443E2" w:rsidRPr="00CD59F9">
        <w:rPr>
          <w:i/>
          <w:iCs/>
        </w:rPr>
        <w:t>NR-DL-TDOA-MeasElement</w:t>
      </w:r>
      <w:r w:rsidR="00955B8B" w:rsidRPr="00E215F0">
        <w:t xml:space="preserve"> </w:t>
      </w:r>
      <w:r w:rsidR="000C0767" w:rsidRPr="00E215F0">
        <w:t xml:space="preserve">for example </w:t>
      </w:r>
      <w:r w:rsidR="001443E2" w:rsidRPr="00E215F0">
        <w:t>for DL TDOA measurement reports</w:t>
      </w:r>
      <w:r w:rsidR="000C0767" w:rsidRPr="00E215F0">
        <w:t>)</w:t>
      </w:r>
      <w:r w:rsidR="00DD3418">
        <w:t>.</w:t>
      </w:r>
    </w:p>
    <w:p w14:paraId="1A53FDFE" w14:textId="71D173F5" w:rsidR="00166F82" w:rsidRDefault="00671325" w:rsidP="00007B9F">
      <w:r>
        <w:t>The following is currently supported for time-based methods in legacy positioning:</w:t>
      </w:r>
    </w:p>
    <w:p w14:paraId="18F14161" w14:textId="77777777" w:rsidR="001C23C9" w:rsidRDefault="001C23C9" w:rsidP="00007B9F"/>
    <w:tbl>
      <w:tblPr>
        <w:tblStyle w:val="TableGrid"/>
        <w:tblW w:w="0" w:type="auto"/>
        <w:jc w:val="center"/>
        <w:tblLook w:val="04A0" w:firstRow="1" w:lastRow="0" w:firstColumn="1" w:lastColumn="0" w:noHBand="0" w:noVBand="1"/>
      </w:tblPr>
      <w:tblGrid>
        <w:gridCol w:w="1838"/>
        <w:gridCol w:w="5812"/>
      </w:tblGrid>
      <w:tr w:rsidR="00671325" w:rsidRPr="009E11DD" w14:paraId="1BC1E239" w14:textId="77777777" w:rsidTr="001C23C9">
        <w:trPr>
          <w:jc w:val="center"/>
        </w:trPr>
        <w:tc>
          <w:tcPr>
            <w:tcW w:w="1838" w:type="dxa"/>
          </w:tcPr>
          <w:p w14:paraId="683AEA95" w14:textId="782D1E15" w:rsidR="00671325" w:rsidRPr="008929FC" w:rsidRDefault="00350FC3" w:rsidP="00007B9F">
            <w:pPr>
              <w:rPr>
                <w:b/>
                <w:bCs/>
                <w:sz w:val="13"/>
                <w:szCs w:val="13"/>
              </w:rPr>
            </w:pPr>
            <w:r w:rsidRPr="008929FC">
              <w:rPr>
                <w:b/>
                <w:bCs/>
                <w:sz w:val="13"/>
                <w:szCs w:val="13"/>
              </w:rPr>
              <w:t>Method</w:t>
            </w:r>
          </w:p>
        </w:tc>
        <w:tc>
          <w:tcPr>
            <w:tcW w:w="5812" w:type="dxa"/>
          </w:tcPr>
          <w:p w14:paraId="3746373D" w14:textId="5F83B0AF" w:rsidR="00671325" w:rsidRPr="008929FC" w:rsidRDefault="00350FC3" w:rsidP="00007B9F">
            <w:pPr>
              <w:rPr>
                <w:b/>
                <w:bCs/>
                <w:sz w:val="13"/>
                <w:szCs w:val="13"/>
              </w:rPr>
            </w:pPr>
            <w:r w:rsidRPr="008929FC">
              <w:rPr>
                <w:b/>
                <w:bCs/>
                <w:sz w:val="13"/>
                <w:szCs w:val="13"/>
              </w:rPr>
              <w:t>Report content</w:t>
            </w:r>
          </w:p>
        </w:tc>
      </w:tr>
      <w:tr w:rsidR="00671325" w:rsidRPr="009E11DD" w14:paraId="3BDFDB09" w14:textId="77777777" w:rsidTr="001C23C9">
        <w:trPr>
          <w:jc w:val="center"/>
        </w:trPr>
        <w:tc>
          <w:tcPr>
            <w:tcW w:w="1838" w:type="dxa"/>
          </w:tcPr>
          <w:p w14:paraId="78106DFC" w14:textId="4DBB9486" w:rsidR="00671325" w:rsidRPr="009E11DD" w:rsidRDefault="00671325" w:rsidP="00007B9F">
            <w:pPr>
              <w:rPr>
                <w:sz w:val="13"/>
                <w:szCs w:val="13"/>
              </w:rPr>
            </w:pPr>
            <w:r w:rsidRPr="009E11DD">
              <w:rPr>
                <w:sz w:val="13"/>
                <w:szCs w:val="13"/>
              </w:rPr>
              <w:t>Uplink: UL-TDOA method</w:t>
            </w:r>
            <w:r w:rsidR="005B3822">
              <w:rPr>
                <w:sz w:val="13"/>
                <w:szCs w:val="13"/>
              </w:rPr>
              <w:t xml:space="preserve"> or Multi RTT (gnB leg) method</w:t>
            </w:r>
          </w:p>
        </w:tc>
        <w:tc>
          <w:tcPr>
            <w:tcW w:w="5812" w:type="dxa"/>
          </w:tcPr>
          <w:p w14:paraId="4D759FAB" w14:textId="5D98A0FE" w:rsidR="00350FC3" w:rsidRPr="009E11DD" w:rsidRDefault="00350FC3"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(see Table 8.13.2.2-1 in 38.305)</w:t>
            </w:r>
          </w:p>
          <w:p w14:paraId="0F9D75CC" w14:textId="5A1E0A15" w:rsidR="00F845B2" w:rsidRPr="009E11DD" w:rsidRDefault="00F845B2"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Measurements:</w:t>
            </w:r>
          </w:p>
          <w:p w14:paraId="38C8B7C6" w14:textId="3D5DABE1" w:rsidR="005B3822" w:rsidRPr="000C3631"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UL-RTOA</w:t>
            </w:r>
            <w:r w:rsidR="005B3822" w:rsidRPr="000C3631">
              <w:rPr>
                <w:rFonts w:cs="Arial"/>
                <w:color w:val="000000"/>
                <w:sz w:val="13"/>
                <w:szCs w:val="13"/>
                <w:lang w:val="en-GB" w:eastAsia="en-GB"/>
              </w:rPr>
              <w:t xml:space="preserve"> /  gNB Rx-Tx time difference measurement</w:t>
            </w:r>
          </w:p>
          <w:p w14:paraId="1390450F" w14:textId="30EDC2A0" w:rsidR="002D4DE4" w:rsidRPr="000C3631"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UL-SRS-RSRP</w:t>
            </w:r>
          </w:p>
          <w:p w14:paraId="20B61336" w14:textId="2C0A3AE6" w:rsidR="002D4DE4" w:rsidRPr="000C3631"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UL-SRS-RSRPP</w:t>
            </w:r>
          </w:p>
          <w:p w14:paraId="040BD264" w14:textId="44B76DB2" w:rsidR="002D4DE4" w:rsidRPr="000C3631"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UL-RSCP measurement</w:t>
            </w:r>
          </w:p>
          <w:p w14:paraId="1B9B7243" w14:textId="73D05F22" w:rsidR="007534CA" w:rsidRPr="000C3631" w:rsidRDefault="007534C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when used with UL-AoA for hybrid positioning:</w:t>
            </w:r>
          </w:p>
          <w:p w14:paraId="25F36098" w14:textId="31CD6815" w:rsidR="002D4DE4" w:rsidRPr="00892AF7" w:rsidRDefault="00977A65" w:rsidP="00D35F36">
            <w:pPr>
              <w:pStyle w:val="ListParagraph"/>
              <w:numPr>
                <w:ilvl w:val="1"/>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 xml:space="preserve">Single/multiple </w:t>
            </w:r>
            <w:r w:rsidR="002D4DE4" w:rsidRPr="009E11DD">
              <w:rPr>
                <w:rFonts w:cs="Arial"/>
                <w:color w:val="000000"/>
                <w:sz w:val="13"/>
                <w:szCs w:val="13"/>
                <w:lang w:val="en-GB" w:eastAsia="en-GB"/>
              </w:rPr>
              <w:t xml:space="preserve">UL Angle of Arrival </w:t>
            </w:r>
          </w:p>
          <w:p w14:paraId="35CC0496" w14:textId="781DC241" w:rsidR="00F96A49" w:rsidRPr="009E11DD" w:rsidRDefault="00F96A49" w:rsidP="00F96A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8396E3C" w14:textId="77777777" w:rsidR="00F845B2" w:rsidRDefault="00F845B2"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NCGI and TRP ID of the measurement</w:t>
            </w:r>
          </w:p>
          <w:p w14:paraId="3D53B8E2" w14:textId="43B5B2E3" w:rsidR="00084160" w:rsidRPr="009E11DD" w:rsidRDefault="00084160"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Pr>
                <w:rFonts w:cs="Arial"/>
                <w:color w:val="000000"/>
                <w:sz w:val="13"/>
                <w:szCs w:val="13"/>
                <w:lang w:val="en-GB" w:eastAsia="en-GB"/>
              </w:rPr>
              <w:t>TRP Rx TEG</w:t>
            </w:r>
          </w:p>
          <w:p w14:paraId="04CD7D77" w14:textId="0FF39778" w:rsidR="002D4DE4"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SRS Resource Type</w:t>
            </w:r>
          </w:p>
          <w:p w14:paraId="5A52F454" w14:textId="77777777" w:rsidR="002D4DE4"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Time stamp of the measurement</w:t>
            </w:r>
          </w:p>
          <w:p w14:paraId="3B7419E6" w14:textId="77777777" w:rsidR="002D4DE4"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Quality for each measurement</w:t>
            </w:r>
          </w:p>
          <w:p w14:paraId="70126F28" w14:textId="2350BBA1" w:rsidR="002D4DE4"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Beam Information for each measurement</w:t>
            </w:r>
            <w:r w:rsidR="00977A65" w:rsidRPr="009E11DD">
              <w:rPr>
                <w:rFonts w:cs="Arial"/>
                <w:color w:val="000000"/>
                <w:sz w:val="13"/>
                <w:szCs w:val="13"/>
                <w:lang w:val="en-GB" w:eastAsia="en-GB"/>
              </w:rPr>
              <w:t xml:space="preserve"> (spatial correspondence) </w:t>
            </w:r>
          </w:p>
          <w:p w14:paraId="0E3F533C" w14:textId="776C4F55" w:rsidR="002D4DE4" w:rsidRPr="009E11DD" w:rsidRDefault="00703205"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Pr>
                <w:rFonts w:cs="Arial"/>
                <w:color w:val="000000"/>
                <w:sz w:val="13"/>
                <w:szCs w:val="13"/>
                <w:lang w:val="en-GB" w:eastAsia="en-GB"/>
              </w:rPr>
              <w:t>LOS/NLOS</w:t>
            </w:r>
            <w:r w:rsidR="002D4DE4" w:rsidRPr="009E11DD">
              <w:rPr>
                <w:rFonts w:cs="Arial"/>
                <w:color w:val="000000"/>
                <w:sz w:val="13"/>
                <w:szCs w:val="13"/>
                <w:lang w:val="en-GB" w:eastAsia="en-GB"/>
              </w:rPr>
              <w:t xml:space="preserve"> information for each measurement</w:t>
            </w:r>
          </w:p>
          <w:p w14:paraId="29584F1D" w14:textId="771BD1D1" w:rsidR="00671325"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ARP ID of the measurement</w:t>
            </w:r>
          </w:p>
        </w:tc>
      </w:tr>
      <w:tr w:rsidR="002D4DE4" w:rsidRPr="009E11DD" w14:paraId="09BB4CB1" w14:textId="77777777" w:rsidTr="001C23C9">
        <w:trPr>
          <w:jc w:val="center"/>
        </w:trPr>
        <w:tc>
          <w:tcPr>
            <w:tcW w:w="1838" w:type="dxa"/>
          </w:tcPr>
          <w:p w14:paraId="03382CD8" w14:textId="77777777" w:rsidR="00962C59" w:rsidRDefault="00977883" w:rsidP="00007B9F">
            <w:pPr>
              <w:rPr>
                <w:sz w:val="13"/>
                <w:szCs w:val="13"/>
              </w:rPr>
            </w:pPr>
            <w:r w:rsidRPr="009E11DD">
              <w:rPr>
                <w:sz w:val="13"/>
                <w:szCs w:val="13"/>
              </w:rPr>
              <w:t>Downlink: DL-TDOA method</w:t>
            </w:r>
            <w:r>
              <w:rPr>
                <w:sz w:val="13"/>
                <w:szCs w:val="13"/>
              </w:rPr>
              <w:t xml:space="preserve">, UE assisted </w:t>
            </w:r>
            <w:r w:rsidR="00962C59" w:rsidRPr="009E11DD">
              <w:rPr>
                <w:sz w:val="13"/>
                <w:szCs w:val="13"/>
              </w:rPr>
              <w:t>Multi-RTT (UE leg) method</w:t>
            </w:r>
            <w:r w:rsidR="00962C59">
              <w:rPr>
                <w:sz w:val="13"/>
                <w:szCs w:val="13"/>
              </w:rPr>
              <w:t xml:space="preserve"> </w:t>
            </w:r>
          </w:p>
          <w:p w14:paraId="5CBAC80C" w14:textId="1D1D0541" w:rsidR="00977883" w:rsidRDefault="00977883" w:rsidP="00007B9F">
            <w:pPr>
              <w:rPr>
                <w:sz w:val="13"/>
                <w:szCs w:val="13"/>
              </w:rPr>
            </w:pPr>
            <w:r>
              <w:rPr>
                <w:sz w:val="13"/>
                <w:szCs w:val="13"/>
              </w:rPr>
              <w:t>note: UE based does not report measurements to the LMF, only the location is reported)</w:t>
            </w:r>
          </w:p>
          <w:p w14:paraId="7B1FC346" w14:textId="5AAF8C15" w:rsidR="002D4DE4" w:rsidRPr="009E11DD" w:rsidRDefault="002D4DE4" w:rsidP="00007B9F">
            <w:pPr>
              <w:rPr>
                <w:sz w:val="13"/>
                <w:szCs w:val="13"/>
              </w:rPr>
            </w:pPr>
            <w:r w:rsidRPr="009E11DD">
              <w:rPr>
                <w:sz w:val="13"/>
                <w:szCs w:val="13"/>
              </w:rPr>
              <w:t xml:space="preserve"> </w:t>
            </w:r>
          </w:p>
        </w:tc>
        <w:tc>
          <w:tcPr>
            <w:tcW w:w="5812" w:type="dxa"/>
          </w:tcPr>
          <w:p w14:paraId="1F855EBA" w14:textId="0A34EAD1" w:rsidR="00455F0B" w:rsidRPr="00DC6763" w:rsidRDefault="00455F0B"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Measurements:</w:t>
            </w:r>
          </w:p>
          <w:p w14:paraId="62BBDB7A" w14:textId="77777777" w:rsidR="00C451EA" w:rsidRPr="00DC6763" w:rsidRDefault="00C451E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 xml:space="preserve">DL RSTD or </w:t>
            </w:r>
            <w:r w:rsidRPr="00DC6763">
              <w:rPr>
                <w:rFonts w:cs="Arial"/>
                <w:color w:val="000000"/>
                <w:sz w:val="13"/>
                <w:szCs w:val="13"/>
                <w:lang w:val="en-GB" w:eastAsia="en-GB"/>
              </w:rPr>
              <w:t>UE Rx-Tx time difference measurement</w:t>
            </w:r>
          </w:p>
          <w:p w14:paraId="6C313E04" w14:textId="449FC3E3" w:rsidR="00C451EA" w:rsidRPr="00892AF7" w:rsidRDefault="00455F0B"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892AF7">
              <w:rPr>
                <w:rFonts w:cs="Arial"/>
                <w:color w:val="000000"/>
                <w:sz w:val="13"/>
                <w:szCs w:val="13"/>
                <w:lang w:val="en-GB" w:eastAsia="en-GB"/>
              </w:rPr>
              <w:t>DL-PRS-RSRP measurement</w:t>
            </w:r>
            <w:r w:rsidR="00C451EA" w:rsidRPr="00892AF7">
              <w:rPr>
                <w:rFonts w:cs="Arial"/>
                <w:color w:val="000000"/>
                <w:sz w:val="13"/>
                <w:szCs w:val="13"/>
                <w:lang w:val="en-GB" w:eastAsia="en-GB"/>
              </w:rPr>
              <w:t xml:space="preserve"> or DL-RSCPD measurement</w:t>
            </w:r>
          </w:p>
          <w:p w14:paraId="41482C9A" w14:textId="5761B20C" w:rsidR="00455F0B" w:rsidRPr="00DC6763" w:rsidRDefault="00455F0B"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DL-RSCP measurement</w:t>
            </w:r>
          </w:p>
          <w:p w14:paraId="32FC08F7" w14:textId="77777777" w:rsidR="00455F0B" w:rsidRPr="00DC6763" w:rsidRDefault="00455F0B"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DL-PRS-RSRPP measurement</w:t>
            </w:r>
          </w:p>
          <w:p w14:paraId="5ED11673" w14:textId="1CDCE0D9" w:rsidR="00455F0B" w:rsidRPr="00892AF7" w:rsidRDefault="00455F0B"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TA offset used by UE</w:t>
            </w:r>
          </w:p>
          <w:p w14:paraId="1396FAEE" w14:textId="77777777" w:rsidR="00DC6763" w:rsidRPr="009E11DD" w:rsidRDefault="00DC6763"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2FBCBFB" w14:textId="18A089AE"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 xml:space="preserve">PCI, GCI, and PRS ID, ARFCN, PRS resource ID, PRS resource set ID </w:t>
            </w:r>
            <w:r w:rsidR="00324DF2">
              <w:rPr>
                <w:rFonts w:cs="Arial"/>
                <w:color w:val="000000"/>
                <w:sz w:val="13"/>
                <w:szCs w:val="13"/>
                <w:lang w:val="en-GB" w:eastAsia="en-GB"/>
              </w:rPr>
              <w:t xml:space="preserve"> </w:t>
            </w:r>
          </w:p>
          <w:p w14:paraId="5C6368F9" w14:textId="77777777"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Time stamp of the measurement</w:t>
            </w:r>
          </w:p>
          <w:p w14:paraId="765368E8" w14:textId="77777777"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Quality for each measurement</w:t>
            </w:r>
          </w:p>
          <w:p w14:paraId="1E6AE625" w14:textId="785862C1"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 xml:space="preserve">UE Rx TEG IDs, UE Tx TEG IDs, and UE RxTx TEG IDs </w:t>
            </w:r>
            <w:r w:rsidR="00977883">
              <w:rPr>
                <w:rFonts w:cs="Arial"/>
                <w:color w:val="000000"/>
                <w:sz w:val="13"/>
                <w:szCs w:val="13"/>
                <w:lang w:val="en-GB" w:eastAsia="en-GB"/>
              </w:rPr>
              <w:t>for UE RxTx measurements, or</w:t>
            </w:r>
            <w:r w:rsidR="00324DF2">
              <w:rPr>
                <w:rFonts w:cs="Arial"/>
                <w:color w:val="000000"/>
                <w:sz w:val="13"/>
                <w:szCs w:val="13"/>
                <w:lang w:val="en-GB" w:eastAsia="en-GB"/>
              </w:rPr>
              <w:t xml:space="preserve"> </w:t>
            </w:r>
            <w:r w:rsidR="00977883" w:rsidRPr="000C3631">
              <w:rPr>
                <w:rFonts w:cs="Arial"/>
                <w:color w:val="000000"/>
                <w:sz w:val="13"/>
                <w:szCs w:val="13"/>
                <w:lang w:val="en-GB" w:eastAsia="en-GB"/>
              </w:rPr>
              <w:t xml:space="preserve">UE Rx TEG IDs for DL RSTD measurements  </w:t>
            </w:r>
          </w:p>
          <w:p w14:paraId="104AC7D2" w14:textId="77777777"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LOS/NLOS information for UE measurements</w:t>
            </w:r>
          </w:p>
          <w:p w14:paraId="7DC64F7E" w14:textId="17B4CDCE"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The association of UE Tx TEG ID and SRS</w:t>
            </w:r>
            <w:r w:rsidR="00052D5E">
              <w:rPr>
                <w:rFonts w:cs="Arial"/>
                <w:color w:val="000000"/>
                <w:sz w:val="13"/>
                <w:szCs w:val="13"/>
                <w:lang w:val="en-GB" w:eastAsia="en-GB"/>
              </w:rPr>
              <w:t xml:space="preserve"> (RTT only)</w:t>
            </w:r>
          </w:p>
          <w:p w14:paraId="47C19432" w14:textId="0DACC15F" w:rsidR="007E67FA" w:rsidRPr="00637F2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637F23">
              <w:rPr>
                <w:rFonts w:cs="Arial"/>
                <w:color w:val="000000"/>
                <w:sz w:val="13"/>
                <w:szCs w:val="13"/>
                <w:lang w:val="en-GB" w:eastAsia="en-GB"/>
              </w:rPr>
              <w:t>Indication that DL-PRS bandwidth aggregation has been used for UE Rx-Tx time difference measurement</w:t>
            </w:r>
            <w:r w:rsidR="00BB613A" w:rsidRPr="00637F23">
              <w:rPr>
                <w:rFonts w:cs="Arial"/>
                <w:color w:val="000000"/>
                <w:sz w:val="13"/>
                <w:szCs w:val="13"/>
                <w:lang w:val="en-GB" w:eastAsia="en-GB"/>
              </w:rPr>
              <w:t xml:space="preserve"> </w:t>
            </w:r>
            <w:r w:rsidR="00E63E58" w:rsidRPr="00637F23">
              <w:rPr>
                <w:rFonts w:cs="Arial"/>
                <w:color w:val="000000"/>
                <w:sz w:val="13"/>
                <w:szCs w:val="13"/>
                <w:lang w:val="en-GB" w:eastAsia="en-GB"/>
              </w:rPr>
              <w:t xml:space="preserve">or </w:t>
            </w:r>
            <w:r w:rsidR="00BB613A" w:rsidRPr="00637F23">
              <w:rPr>
                <w:rFonts w:cs="Arial"/>
                <w:color w:val="000000"/>
                <w:sz w:val="13"/>
                <w:szCs w:val="13"/>
                <w:lang w:val="en-GB" w:eastAsia="en-GB"/>
              </w:rPr>
              <w:t xml:space="preserve">Indication that DL-PRS bandwidth aggregation has been used for DL RSTD measurement </w:t>
            </w:r>
          </w:p>
          <w:p w14:paraId="2391463C" w14:textId="77777777"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Indication that the reported measurements are based on receiving single or multiple hops of DL-PRS</w:t>
            </w:r>
          </w:p>
          <w:p w14:paraId="16AB3C2D" w14:textId="59C7B723"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UE Rx – Tx time difference subframe offset</w:t>
            </w:r>
            <w:r w:rsidR="00637F23">
              <w:rPr>
                <w:rFonts w:cs="Arial"/>
                <w:color w:val="000000"/>
                <w:sz w:val="13"/>
                <w:szCs w:val="13"/>
                <w:lang w:val="en-GB" w:eastAsia="en-GB"/>
              </w:rPr>
              <w:t xml:space="preserve"> (RTT only)</w:t>
            </w:r>
          </w:p>
          <w:p w14:paraId="50DD2C85" w14:textId="76B78CE5"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DL timing drift</w:t>
            </w:r>
            <w:r w:rsidR="00637F23">
              <w:rPr>
                <w:rFonts w:cs="Arial"/>
                <w:color w:val="000000"/>
                <w:sz w:val="13"/>
                <w:szCs w:val="13"/>
                <w:lang w:val="en-GB" w:eastAsia="en-GB"/>
              </w:rPr>
              <w:t xml:space="preserve"> (RTT only)</w:t>
            </w:r>
          </w:p>
          <w:p w14:paraId="0C934B45" w14:textId="2FB2F65B" w:rsidR="002D4DE4" w:rsidRPr="00DC6763" w:rsidRDefault="00E0538A"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 xml:space="preserve"> </w:t>
            </w:r>
          </w:p>
        </w:tc>
      </w:tr>
    </w:tbl>
    <w:p w14:paraId="729EBC62" w14:textId="77777777" w:rsidR="00671325" w:rsidRDefault="00671325" w:rsidP="00007B9F"/>
    <w:p w14:paraId="39379798" w14:textId="77777777" w:rsidR="00671325" w:rsidRPr="00E215F0" w:rsidRDefault="00671325" w:rsidP="00007B9F"/>
    <w:p w14:paraId="4FC14BD0" w14:textId="4C2B2A2C" w:rsidR="000A6FC7" w:rsidRPr="00E215F0" w:rsidRDefault="005524BF" w:rsidP="000A6FC7">
      <w:r>
        <w:t>To support model input</w:t>
      </w:r>
      <w:r w:rsidR="00CF069E">
        <w:t xml:space="preserve"> in case 2b and 3b</w:t>
      </w:r>
      <w:r>
        <w:t xml:space="preserve">, </w:t>
      </w:r>
      <w:r w:rsidR="00CF4266">
        <w:t>the measurement</w:t>
      </w:r>
      <w:r w:rsidR="00CF069E">
        <w:t>s</w:t>
      </w:r>
      <w:r w:rsidR="00CF4266">
        <w:t xml:space="preserve"> should also be followed with similar information regarding the reference signal the measurement is based on, as well as the time the measurement was a</w:t>
      </w:r>
      <w:r w:rsidR="009D5E2B">
        <w:t>c</w:t>
      </w:r>
      <w:r w:rsidR="00CF4266">
        <w:t xml:space="preserve">quired. </w:t>
      </w:r>
      <w:r w:rsidR="00A7541A">
        <w:t xml:space="preserve">Further, the </w:t>
      </w:r>
      <w:r w:rsidR="00232955">
        <w:lastRenderedPageBreak/>
        <w:t xml:space="preserve">measurement report should also include quality indicator for each of the measurements, e.g. for the quality of the </w:t>
      </w:r>
      <w:r w:rsidR="002235AE">
        <w:t xml:space="preserve">path/sample power as well as the quality of the time measurement (e.g. the path TOA measurement or the </w:t>
      </w:r>
      <w:r w:rsidR="00587714">
        <w:t xml:space="preserve">initial time reference for sample measurements). </w:t>
      </w:r>
      <w:r w:rsidR="003562B1">
        <w:t>T</w:t>
      </w:r>
      <w:r w:rsidR="000E1C7E">
        <w:t xml:space="preserve">he accuracy of the measurement is also </w:t>
      </w:r>
      <w:r w:rsidR="003562B1">
        <w:t xml:space="preserve">up </w:t>
      </w:r>
      <w:r w:rsidR="000E1C7E">
        <w:t xml:space="preserve">to RAN4 </w:t>
      </w:r>
      <w:r w:rsidR="003562B1">
        <w:t>discussion</w:t>
      </w:r>
      <w:r w:rsidR="000E1C7E">
        <w:t>, similar to previous release positioning measurements.</w:t>
      </w:r>
    </w:p>
    <w:p w14:paraId="458645D3" w14:textId="07CDC5EB" w:rsidR="000A6FC7" w:rsidRPr="00E215F0" w:rsidRDefault="000A6FC7" w:rsidP="002938DE">
      <w:pPr>
        <w:pStyle w:val="Proposal"/>
      </w:pPr>
      <w:bookmarkStart w:id="1357" w:name="_Toc178961901"/>
      <w:r w:rsidRPr="00E215F0">
        <w:t xml:space="preserve">For </w:t>
      </w:r>
      <w:r>
        <w:t>C</w:t>
      </w:r>
      <w:r w:rsidRPr="00E215F0">
        <w:t xml:space="preserve">ase </w:t>
      </w:r>
      <w:r w:rsidR="00666BD9">
        <w:t>2b/3b</w:t>
      </w:r>
      <w:r w:rsidR="003562B1">
        <w:t>, the</w:t>
      </w:r>
      <w:r w:rsidR="00666BD9" w:rsidRPr="00E215F0">
        <w:t xml:space="preserve"> </w:t>
      </w:r>
      <w:r w:rsidR="00666BD9">
        <w:t>m</w:t>
      </w:r>
      <w:r w:rsidRPr="00E215F0">
        <w:t xml:space="preserve">easurement reported for input to the AI/ML model </w:t>
      </w:r>
      <w:r w:rsidR="0052778C">
        <w:t xml:space="preserve">inference </w:t>
      </w:r>
      <w:r w:rsidRPr="00E215F0">
        <w:t>should include at least the following side information:</w:t>
      </w:r>
      <w:bookmarkEnd w:id="1357"/>
    </w:p>
    <w:p w14:paraId="4B3192A2" w14:textId="0B906231" w:rsidR="000A6FC7" w:rsidRPr="00E215F0" w:rsidRDefault="000A6FC7" w:rsidP="00D35F36">
      <w:pPr>
        <w:pStyle w:val="Proposal"/>
        <w:numPr>
          <w:ilvl w:val="0"/>
          <w:numId w:val="77"/>
        </w:numPr>
        <w:tabs>
          <w:tab w:val="clear" w:pos="1304"/>
        </w:tabs>
        <w:ind w:left="1710" w:hanging="584"/>
      </w:pPr>
      <w:bookmarkStart w:id="1358" w:name="_Toc178961902"/>
      <w:r w:rsidRPr="00E215F0">
        <w:t xml:space="preserve">Source of the </w:t>
      </w:r>
      <w:r w:rsidR="003562B1">
        <w:t>measurement</w:t>
      </w:r>
      <w:r w:rsidR="003562B1" w:rsidRPr="00E215F0">
        <w:t xml:space="preserve"> </w:t>
      </w:r>
      <w:r w:rsidRPr="00E215F0">
        <w:t>(TRP ID, PRS resource and resource set ID, PFL ID in the downlink, UL SRS resource and resource set ID</w:t>
      </w:r>
      <w:r w:rsidRPr="00E215F0" w:rsidDel="00DD3418">
        <w:t xml:space="preserve"> </w:t>
      </w:r>
      <w:r w:rsidRPr="00E215F0">
        <w:t>in the uplink)</w:t>
      </w:r>
      <w:bookmarkEnd w:id="1358"/>
    </w:p>
    <w:p w14:paraId="47D328AB" w14:textId="77777777" w:rsidR="000A6FC7" w:rsidRPr="00E215F0" w:rsidRDefault="000A6FC7" w:rsidP="00D35F36">
      <w:pPr>
        <w:pStyle w:val="Proposal"/>
        <w:numPr>
          <w:ilvl w:val="0"/>
          <w:numId w:val="77"/>
        </w:numPr>
        <w:tabs>
          <w:tab w:val="clear" w:pos="1304"/>
        </w:tabs>
        <w:ind w:left="1710" w:hanging="584"/>
      </w:pPr>
      <w:bookmarkStart w:id="1359" w:name="_Toc178961903"/>
      <w:r w:rsidRPr="00E215F0">
        <w:t>Time stamp of the measurement</w:t>
      </w:r>
      <w:bookmarkEnd w:id="1359"/>
    </w:p>
    <w:p w14:paraId="0ACBFD78" w14:textId="5EF38662" w:rsidR="000A6FC7" w:rsidRPr="00EE73AF" w:rsidRDefault="000A6FC7" w:rsidP="00D35F36">
      <w:pPr>
        <w:pStyle w:val="Proposal"/>
        <w:numPr>
          <w:ilvl w:val="0"/>
          <w:numId w:val="77"/>
        </w:numPr>
        <w:tabs>
          <w:tab w:val="clear" w:pos="1304"/>
        </w:tabs>
        <w:ind w:left="1710" w:hanging="584"/>
      </w:pPr>
      <w:bookmarkStart w:id="1360" w:name="_Toc178961904"/>
      <w:r w:rsidRPr="00E215F0">
        <w:t>Measurement quality ind</w:t>
      </w:r>
      <w:r>
        <w:t>icator</w:t>
      </w:r>
      <w:r w:rsidR="004757B6">
        <w:t xml:space="preserve"> for </w:t>
      </w:r>
      <w:r w:rsidR="009F0079">
        <w:t>the power information</w:t>
      </w:r>
      <w:r w:rsidR="009B28D8">
        <w:t xml:space="preserve"> (for PDP)</w:t>
      </w:r>
      <w:r w:rsidR="0069409D">
        <w:t xml:space="preserve"> </w:t>
      </w:r>
      <w:r w:rsidR="00F10167">
        <w:t xml:space="preserve">and </w:t>
      </w:r>
      <w:r w:rsidR="0069409D">
        <w:t>timing information</w:t>
      </w:r>
      <w:r w:rsidR="00C30129">
        <w:t xml:space="preserve"> (for PDP, DP)</w:t>
      </w:r>
      <w:r w:rsidR="00F10167">
        <w:t>, f</w:t>
      </w:r>
      <w:r w:rsidR="00EB019A">
        <w:t>or the reported path/samples</w:t>
      </w:r>
      <w:r w:rsidR="00762173">
        <w:t>.</w:t>
      </w:r>
      <w:bookmarkEnd w:id="1360"/>
    </w:p>
    <w:p w14:paraId="635893BE" w14:textId="77777777" w:rsidR="001644EA" w:rsidRDefault="001644EA" w:rsidP="00007B9F"/>
    <w:p w14:paraId="52A1264B" w14:textId="6621552F" w:rsidR="00C9518E" w:rsidRPr="00C9518E" w:rsidRDefault="00C9518E" w:rsidP="00007B9F">
      <w:pPr>
        <w:rPr>
          <w:i/>
          <w:iCs/>
          <w:u w:val="single"/>
        </w:rPr>
      </w:pPr>
      <w:r w:rsidRPr="00C9518E">
        <w:rPr>
          <w:i/>
          <w:iCs/>
          <w:u w:val="single"/>
        </w:rPr>
        <w:t>Use of TEG indication:</w:t>
      </w:r>
    </w:p>
    <w:p w14:paraId="48E45C3C" w14:textId="40FDF1B0" w:rsidR="002B23D3" w:rsidRDefault="00C9518E" w:rsidP="00007B9F">
      <w:r>
        <w:t>TEGs (timing error groups) were introduce</w:t>
      </w:r>
      <w:r w:rsidR="00DD1B63">
        <w:t>d</w:t>
      </w:r>
      <w:r>
        <w:t xml:space="preserve"> in </w:t>
      </w:r>
      <w:r w:rsidR="008A20A8">
        <w:t>Rel-17</w:t>
      </w:r>
      <w:r>
        <w:t xml:space="preserve"> as a way for the LMF t</w:t>
      </w:r>
      <w:r w:rsidR="000434C4">
        <w:t>o group measurements reported according to their relative consistency. Measurements with the same Tx TEGs and Rx TEGs were</w:t>
      </w:r>
      <w:r w:rsidR="002A09DC">
        <w:t xml:space="preserve"> assumed to be consistent in terms of timing error. </w:t>
      </w:r>
      <w:r w:rsidR="004935D2">
        <w:t xml:space="preserve">The Tx TEGs are associated with RS transmissions (e.g. </w:t>
      </w:r>
      <w:r w:rsidR="008A20A8">
        <w:t>the</w:t>
      </w:r>
      <w:r w:rsidR="004935D2">
        <w:t xml:space="preserve"> DL PRS Tx TEGs in the </w:t>
      </w:r>
      <w:r w:rsidR="00CA0DFB">
        <w:t xml:space="preserve">TRP, the UL SRS tx TEGs in the UE) and are thus found in assistance data information. </w:t>
      </w:r>
      <w:r w:rsidR="002A0CD8">
        <w:t>T</w:t>
      </w:r>
      <w:r w:rsidR="00CA0DFB">
        <w:t>he Rx TEGs are mapped to measurements</w:t>
      </w:r>
      <w:r w:rsidR="00847A3D">
        <w:t xml:space="preserve"> and the UE </w:t>
      </w:r>
      <w:r w:rsidR="00A60DB8">
        <w:t>can optionally provide a UE Rx TEG ID as part of a measurement element</w:t>
      </w:r>
      <w:r w:rsidR="00847A3D">
        <w:t xml:space="preserve"> in a measurement report</w:t>
      </w:r>
      <w:r w:rsidR="00CA0DFB">
        <w:t>.</w:t>
      </w:r>
      <w:r w:rsidR="002B23D3">
        <w:t xml:space="preserve"> </w:t>
      </w:r>
      <w:r w:rsidR="00FD7336">
        <w:t xml:space="preserve">The principle is that two measurements with the same UE Rx TEG ID have the same timing error margin, and </w:t>
      </w:r>
      <w:r w:rsidR="00460F48">
        <w:t>could</w:t>
      </w:r>
      <w:r w:rsidR="00FD7336">
        <w:t xml:space="preserve"> therefore be combined </w:t>
      </w:r>
      <w:r w:rsidR="001865C8">
        <w:t>by the LMF</w:t>
      </w:r>
      <w:r w:rsidR="00803DEA">
        <w:t xml:space="preserve">. </w:t>
      </w:r>
      <w:r w:rsidR="00BC306F">
        <w:t xml:space="preserve"> </w:t>
      </w:r>
    </w:p>
    <w:p w14:paraId="1EE8F441" w14:textId="3B51CEEA" w:rsidR="00C9518E" w:rsidRDefault="002B23D3" w:rsidP="00007B9F">
      <w:r>
        <w:t>While the TEG was useful for geometry-based location calculation,</w:t>
      </w:r>
      <w:r w:rsidR="00BC306F">
        <w:t xml:space="preserve"> AI</w:t>
      </w:r>
      <w:r>
        <w:t xml:space="preserve">/ML based positioning does not follow the same principle. Rel-17 TEG was suggested to be considered in the beginning of the Rel-18 study item. However, this information was not used in companies' AI/ML evaluations throughout Rel-18 SI. The AI/ML model follows the finger-printing principle, hence TEG is implicitly incorporated in the radio finger-print by the model. </w:t>
      </w:r>
      <w:r w:rsidR="00BC306F">
        <w:t>For AI</w:t>
      </w:r>
      <w:r w:rsidR="00703205">
        <w:t>/</w:t>
      </w:r>
      <w:r w:rsidR="00BC306F">
        <w:t>ML</w:t>
      </w:r>
      <w:r w:rsidR="00CC20E1">
        <w:t xml:space="preserve"> </w:t>
      </w:r>
      <w:r>
        <w:t>based</w:t>
      </w:r>
      <w:r w:rsidR="00CC20E1">
        <w:t xml:space="preserve">  positioning, the </w:t>
      </w:r>
      <w:r w:rsidR="00113EF6">
        <w:t xml:space="preserve">most important aspect is that there must be consistency between </w:t>
      </w:r>
      <w:r w:rsidR="0007169A">
        <w:t>data</w:t>
      </w:r>
      <w:r w:rsidR="00113EF6">
        <w:t xml:space="preserve"> </w:t>
      </w:r>
      <w:r w:rsidR="0007169A">
        <w:t xml:space="preserve">collected during </w:t>
      </w:r>
      <w:r w:rsidR="001E6B99">
        <w:t xml:space="preserve">training </w:t>
      </w:r>
      <w:r w:rsidR="0007169A">
        <w:t xml:space="preserve">data collection and data present in reported measurement for model </w:t>
      </w:r>
      <w:r>
        <w:t>inference</w:t>
      </w:r>
      <w:r w:rsidR="0007169A">
        <w:t>.</w:t>
      </w:r>
      <w:r w:rsidR="00382A23">
        <w:t xml:space="preserve"> Data collected for training and the </w:t>
      </w:r>
      <w:r w:rsidR="00DD6913">
        <w:t xml:space="preserve">gNB (or </w:t>
      </w:r>
      <w:r w:rsidR="00382A23">
        <w:t>UE</w:t>
      </w:r>
      <w:r w:rsidR="00DD6913">
        <w:t>)</w:t>
      </w:r>
      <w:r w:rsidR="00382A23">
        <w:t xml:space="preserve"> measurement reports </w:t>
      </w:r>
      <w:r w:rsidR="00DD6913">
        <w:t>for inference</w:t>
      </w:r>
      <w:r w:rsidR="00382A23">
        <w:t xml:space="preserve"> </w:t>
      </w:r>
      <w:r w:rsidR="00CC79D4">
        <w:t xml:space="preserve">are in all likelihood not even </w:t>
      </w:r>
      <w:r w:rsidR="00DD6913">
        <w:t xml:space="preserve">associated with </w:t>
      </w:r>
      <w:r w:rsidR="00CC79D4">
        <w:t>the same devic</w:t>
      </w:r>
      <w:r w:rsidR="00CE7AAB">
        <w:t xml:space="preserve">e, hence TEGs are not useful </w:t>
      </w:r>
      <w:r w:rsidR="00EB110F">
        <w:t>for aligning data between model training and model inference</w:t>
      </w:r>
      <w:r w:rsidR="00F0583F">
        <w:t>.</w:t>
      </w:r>
      <w:r w:rsidR="00705D5A">
        <w:t xml:space="preserve"> Moreover, the information in AI</w:t>
      </w:r>
      <w:r w:rsidR="00EB110F">
        <w:t>/</w:t>
      </w:r>
      <w:r w:rsidR="00705D5A">
        <w:t xml:space="preserve"> ML is carried by the </w:t>
      </w:r>
      <w:r w:rsidR="00C764D5">
        <w:t xml:space="preserve">inter-arrival time </w:t>
      </w:r>
      <w:r w:rsidR="00EB110F">
        <w:t>(and power if PDP)</w:t>
      </w:r>
      <w:r w:rsidR="00C764D5">
        <w:t xml:space="preserve"> of the channel </w:t>
      </w:r>
      <w:r w:rsidR="00EB110F">
        <w:t>samples/</w:t>
      </w:r>
      <w:r w:rsidR="00C764D5">
        <w:t>path</w:t>
      </w:r>
      <w:r w:rsidR="00131D31">
        <w:t xml:space="preserve">s for each TRP-UE link. This information is </w:t>
      </w:r>
      <w:r w:rsidR="00C23874">
        <w:t xml:space="preserve">thus not </w:t>
      </w:r>
      <w:r w:rsidR="00B27259">
        <w:t xml:space="preserve">subject to the UE/TRP timing changes. </w:t>
      </w:r>
      <w:r w:rsidR="008B2849">
        <w:t>Hence, we do not think it is valuable to include TEG information in AI</w:t>
      </w:r>
      <w:r w:rsidR="00703205">
        <w:t>/</w:t>
      </w:r>
      <w:r w:rsidR="008B2849">
        <w:t>ML measurement reports.</w:t>
      </w:r>
    </w:p>
    <w:p w14:paraId="05A18056" w14:textId="1940A76C" w:rsidR="008B2849" w:rsidRPr="004157FD" w:rsidRDefault="008B2849" w:rsidP="002938DE">
      <w:pPr>
        <w:pStyle w:val="Proposal"/>
      </w:pPr>
      <w:bookmarkStart w:id="1361" w:name="_Toc178961905"/>
      <w:r w:rsidRPr="004157FD">
        <w:t>For Case 2b/3b measurement</w:t>
      </w:r>
      <w:r w:rsidR="00201C66" w:rsidRPr="004157FD">
        <w:t>s</w:t>
      </w:r>
      <w:r w:rsidRPr="004157FD">
        <w:t xml:space="preserve"> reported for input to the </w:t>
      </w:r>
      <w:r w:rsidR="00EB110F" w:rsidRPr="004157FD">
        <w:t xml:space="preserve">LMF-side </w:t>
      </w:r>
      <w:r w:rsidRPr="004157FD">
        <w:t xml:space="preserve">AI/ML model, </w:t>
      </w:r>
      <w:r w:rsidR="00201C66" w:rsidRPr="004157FD">
        <w:t>do not include TEG information.</w:t>
      </w:r>
      <w:bookmarkEnd w:id="1361"/>
    </w:p>
    <w:p w14:paraId="31BA4622" w14:textId="77777777" w:rsidR="004363E9" w:rsidRDefault="004363E9" w:rsidP="004363E9"/>
    <w:p w14:paraId="7B8B7FFF" w14:textId="25EE2E5C" w:rsidR="004363E9" w:rsidRDefault="004363E9" w:rsidP="00007B9F">
      <w:r>
        <w:t xml:space="preserve">To secure consistency between </w:t>
      </w:r>
      <w:r w:rsidR="00EB110F">
        <w:t>measurements</w:t>
      </w:r>
      <w:r>
        <w:t xml:space="preserve"> used for model in</w:t>
      </w:r>
      <w:r w:rsidR="00EB110F">
        <w:t>ference</w:t>
      </w:r>
      <w:r>
        <w:t xml:space="preserve"> and the data collected for model training, it is important that</w:t>
      </w:r>
      <w:r w:rsidR="00D518DF">
        <w:t xml:space="preserve"> the </w:t>
      </w:r>
      <w:r w:rsidR="00F67BE1">
        <w:t xml:space="preserve">model input is based on </w:t>
      </w:r>
      <w:r w:rsidR="00EB110F">
        <w:t xml:space="preserve">reference </w:t>
      </w:r>
      <w:r w:rsidR="00F67BE1">
        <w:t xml:space="preserve">signals either identical or very close to </w:t>
      </w:r>
      <w:r w:rsidR="00EB110F">
        <w:t xml:space="preserve">reference </w:t>
      </w:r>
      <w:r w:rsidR="00F67BE1">
        <w:t>signals used for model training</w:t>
      </w:r>
      <w:r>
        <w:t>. We provide our view on the issue in section 6.3</w:t>
      </w:r>
      <w:r w:rsidR="00F67BE1">
        <w:t>.</w:t>
      </w:r>
    </w:p>
    <w:p w14:paraId="4F104AC5" w14:textId="77777777" w:rsidR="000640D8" w:rsidRPr="00E215F0" w:rsidRDefault="000640D8" w:rsidP="000640D8">
      <w:pPr>
        <w:pStyle w:val="Heading2"/>
        <w:rPr>
          <w:lang w:val="en-US"/>
        </w:rPr>
      </w:pPr>
      <w:bookmarkStart w:id="1362" w:name="_Toc165991000"/>
      <w:bookmarkStart w:id="1363" w:name="_Toc178961664"/>
      <w:r w:rsidRPr="00194B5B">
        <w:rPr>
          <w:lang w:val="en-US"/>
        </w:rPr>
        <w:t>I</w:t>
      </w:r>
      <w:r w:rsidRPr="00E215F0">
        <w:rPr>
          <w:lang w:val="en-US"/>
        </w:rPr>
        <w:t xml:space="preserve">mpact of AI/ML model location for </w:t>
      </w:r>
      <w:r>
        <w:rPr>
          <w:lang w:val="en-US"/>
        </w:rPr>
        <w:t>C</w:t>
      </w:r>
      <w:r w:rsidRPr="00E215F0">
        <w:rPr>
          <w:lang w:val="en-US"/>
        </w:rPr>
        <w:t>ase 3a</w:t>
      </w:r>
      <w:bookmarkEnd w:id="1362"/>
      <w:bookmarkEnd w:id="1363"/>
    </w:p>
    <w:p w14:paraId="3F113A10" w14:textId="77777777" w:rsidR="000640D8" w:rsidRDefault="000640D8" w:rsidP="000640D8">
      <w:r>
        <w:t>F</w:t>
      </w:r>
      <w:r w:rsidRPr="00DC32F9">
        <w:t xml:space="preserve">or </w:t>
      </w:r>
      <w:r>
        <w:t>C</w:t>
      </w:r>
      <w:r w:rsidRPr="00DC32F9">
        <w:t xml:space="preserve">ase 3a, the location of the AI/ML model will impact whether there is a need for a new measurement to be introduced. Between the LMF and the gNB, </w:t>
      </w:r>
      <w:r>
        <w:t xml:space="preserve">the model output generated by the NG-RAN model can be forwarded using </w:t>
      </w:r>
      <w:r w:rsidRPr="00DC32F9">
        <w:t xml:space="preserve">the legacy measurement </w:t>
      </w:r>
      <w:r>
        <w:t>report format (e.g., RTOA)</w:t>
      </w:r>
      <w:r w:rsidRPr="00DC32F9">
        <w:t>. However</w:t>
      </w:r>
      <w:r>
        <w:t>,</w:t>
      </w:r>
      <w:r w:rsidRPr="00DC32F9">
        <w:t xml:space="preserve"> depending on </w:t>
      </w:r>
      <w:r w:rsidRPr="0080676A">
        <w:t>whether</w:t>
      </w:r>
      <w:r w:rsidRPr="00DC32F9">
        <w:t xml:space="preserve"> the ML model is deployed at the </w:t>
      </w:r>
      <w:r>
        <w:t>gNB-</w:t>
      </w:r>
      <w:r w:rsidRPr="00DC32F9">
        <w:t xml:space="preserve">DU or the </w:t>
      </w:r>
      <w:r>
        <w:t>gNB-</w:t>
      </w:r>
      <w:r w:rsidRPr="00DC32F9">
        <w:t>CU,</w:t>
      </w:r>
      <w:r>
        <w:t xml:space="preserve"> the SRS measurement entity may or may not be the same entity hosting model inference.</w:t>
      </w:r>
    </w:p>
    <w:p w14:paraId="12ED5121" w14:textId="5873BFEB" w:rsidR="000640D8" w:rsidRPr="00194B5B" w:rsidRDefault="000640D8" w:rsidP="00D35F36">
      <w:pPr>
        <w:pStyle w:val="ListParagraph"/>
        <w:numPr>
          <w:ilvl w:val="0"/>
          <w:numId w:val="26"/>
        </w:numPr>
      </w:pPr>
      <w:r>
        <w:t xml:space="preserve">If </w:t>
      </w:r>
      <w:r w:rsidRPr="00194B5B">
        <w:t xml:space="preserve">SRS measurement entity </w:t>
      </w:r>
      <w:r>
        <w:t>=</w:t>
      </w:r>
      <w:r w:rsidRPr="00194B5B">
        <w:t xml:space="preserve"> model inference entity</w:t>
      </w:r>
      <w:r>
        <w:t>, then model input does not need to be specified. This is similar to Case 1 and 2a.</w:t>
      </w:r>
      <w:r w:rsidRPr="00194B5B">
        <w:t xml:space="preserve"> </w:t>
      </w:r>
    </w:p>
    <w:p w14:paraId="354E263F" w14:textId="21F4A86A" w:rsidR="000640D8" w:rsidRPr="00194B5B" w:rsidRDefault="000640D8" w:rsidP="00D35F36">
      <w:pPr>
        <w:pStyle w:val="ListParagraph"/>
        <w:numPr>
          <w:ilvl w:val="0"/>
          <w:numId w:val="26"/>
        </w:numPr>
      </w:pPr>
      <w:r w:rsidRPr="00194B5B">
        <w:t xml:space="preserve">If SRS measurement entity </w:t>
      </w:r>
      <w:r>
        <w:rPr>
          <w:rFonts w:ascii="Symbol" w:eastAsia="Symbol" w:hAnsi="Symbol" w:cs="Symbol"/>
        </w:rPr>
        <w:t>¹</w:t>
      </w:r>
      <w:r w:rsidRPr="00194B5B">
        <w:t xml:space="preserve"> model inference entity,</w:t>
      </w:r>
      <w:r w:rsidRPr="00DC32F9">
        <w:t xml:space="preserve"> the input to the model</w:t>
      </w:r>
      <w:r w:rsidRPr="00194B5B">
        <w:t xml:space="preserve"> (i.e., SRS measurements)</w:t>
      </w:r>
      <w:r w:rsidRPr="00DC32F9">
        <w:t xml:space="preserve"> may need to be specified</w:t>
      </w:r>
      <w:r w:rsidRPr="00194B5B">
        <w:t xml:space="preserve"> for F1</w:t>
      </w:r>
      <w:r w:rsidR="00B71184">
        <w:t>-</w:t>
      </w:r>
      <w:r w:rsidRPr="00194B5B">
        <w:t>AP</w:t>
      </w:r>
      <w:r w:rsidRPr="00DC32F9">
        <w:t xml:space="preserve">. </w:t>
      </w:r>
    </w:p>
    <w:p w14:paraId="121E0EC3" w14:textId="77777777" w:rsidR="000640D8" w:rsidRPr="00E215F0" w:rsidRDefault="000640D8" w:rsidP="000640D8"/>
    <w:p w14:paraId="26291A72" w14:textId="17DAC16B" w:rsidR="000640D8" w:rsidRDefault="000640D8" w:rsidP="002938DE">
      <w:pPr>
        <w:pStyle w:val="Observation"/>
      </w:pPr>
      <w:bookmarkStart w:id="1364" w:name="_Toc161827825"/>
      <w:bookmarkStart w:id="1365" w:name="_Toc178961870"/>
      <w:r>
        <w:t>For Case 3a, the location of the AI/ML model (</w:t>
      </w:r>
      <w:r w:rsidR="009127F4">
        <w:t xml:space="preserve">e.g., </w:t>
      </w:r>
      <w:r>
        <w:t>gNB-DU vs gNB-CU) impacts the need to specify new measurements for model input.</w:t>
      </w:r>
      <w:bookmarkEnd w:id="1364"/>
      <w:bookmarkEnd w:id="1365"/>
      <w:r>
        <w:t xml:space="preserve"> </w:t>
      </w:r>
    </w:p>
    <w:p w14:paraId="61346999" w14:textId="3D78E713" w:rsidR="00186892" w:rsidRPr="008706C3" w:rsidRDefault="000640D8" w:rsidP="00E034AD">
      <w:pPr>
        <w:pStyle w:val="Proposal"/>
      </w:pPr>
      <w:bookmarkStart w:id="1366" w:name="_Toc178961906"/>
      <w:r w:rsidRPr="00DC32F9">
        <w:t xml:space="preserve">Send an LS to RAN3 to request feedback on whether the input to the AI/ML model </w:t>
      </w:r>
      <w:r w:rsidRPr="00194B5B">
        <w:t xml:space="preserve">for </w:t>
      </w:r>
      <w:r w:rsidR="00C20835">
        <w:t>case 3a</w:t>
      </w:r>
      <w:r w:rsidRPr="00194B5B">
        <w:t xml:space="preserve"> </w:t>
      </w:r>
      <w:r w:rsidR="00C95E3A">
        <w:t>need to be specified.</w:t>
      </w:r>
      <w:bookmarkEnd w:id="1366"/>
      <w:r w:rsidRPr="00194B5B">
        <w:t xml:space="preserve"> </w:t>
      </w:r>
      <w:r w:rsidR="00F91B3F">
        <w:t xml:space="preserve"> </w:t>
      </w:r>
    </w:p>
    <w:p w14:paraId="621B0E41" w14:textId="5A96523B" w:rsidR="00024894" w:rsidRDefault="00F83890" w:rsidP="00024894">
      <w:pPr>
        <w:pStyle w:val="Heading1"/>
        <w:rPr>
          <w:lang w:val="en-US"/>
        </w:rPr>
      </w:pPr>
      <w:bookmarkStart w:id="1367" w:name="_Toc165991001"/>
      <w:bookmarkStart w:id="1368" w:name="_Toc178961665"/>
      <w:r>
        <w:rPr>
          <w:lang w:val="en-US"/>
        </w:rPr>
        <w:t xml:space="preserve">Model output of </w:t>
      </w:r>
      <w:r w:rsidR="00024894" w:rsidRPr="00E215F0">
        <w:rPr>
          <w:lang w:val="en-US"/>
        </w:rPr>
        <w:t>AI/ML assisted positioning</w:t>
      </w:r>
      <w:bookmarkEnd w:id="1367"/>
      <w:bookmarkEnd w:id="1368"/>
    </w:p>
    <w:p w14:paraId="3F269512" w14:textId="4E7D21E0" w:rsidR="007F3B32" w:rsidRDefault="007F3B32" w:rsidP="00D63CE2">
      <w:r>
        <w:t>The study of model input is commonly applicable to direct and assisted AI/ML positioning, and the same design choices can be made for model input regardless of the AI/ML approach. This is not the case for model output. While the model output is predefined (i.e., target UE location) for direct AI/ML positioning, the design choices of model output need to be considered carefully.</w:t>
      </w:r>
    </w:p>
    <w:p w14:paraId="132358D8" w14:textId="4FB3D6FD" w:rsidR="00D63CE2" w:rsidRDefault="00FB594B" w:rsidP="00D63CE2">
      <w:r>
        <w:t>As discussed in section 1, we assume case 3a is</w:t>
      </w:r>
      <w:r w:rsidR="00D33BC6">
        <w:t xml:space="preserve"> an AI-extended UL</w:t>
      </w:r>
      <w:r w:rsidR="00954608">
        <w:t>-</w:t>
      </w:r>
      <w:r w:rsidR="00D33BC6">
        <w:t xml:space="preserve">TDOA or multi RTT positioning method, while case 2a is </w:t>
      </w:r>
      <w:r w:rsidR="00DF6D4A">
        <w:t>an AI-extended DL-TDOA or multi RTT positioning method</w:t>
      </w:r>
      <w:r w:rsidR="00D33BC6">
        <w:t xml:space="preserve">. </w:t>
      </w:r>
      <w:r w:rsidR="00D63CE2">
        <w:t xml:space="preserve">In this section, we </w:t>
      </w:r>
      <w:r w:rsidR="00D45C88">
        <w:t>discuss</w:t>
      </w:r>
      <w:r w:rsidR="00D63CE2">
        <w:t xml:space="preserve"> the different aspects specific to </w:t>
      </w:r>
      <w:r w:rsidR="00A721B0">
        <w:t>AI</w:t>
      </w:r>
      <w:r w:rsidR="00703205">
        <w:t>/</w:t>
      </w:r>
      <w:r w:rsidR="00A721B0">
        <w:t xml:space="preserve">ML assisted cases (case 2a and 3a). </w:t>
      </w:r>
      <w:r w:rsidR="007F3B32">
        <w:t>For</w:t>
      </w:r>
      <w:r w:rsidR="00A721B0">
        <w:t xml:space="preserve"> these cases, the following issues should be addressed:</w:t>
      </w:r>
    </w:p>
    <w:p w14:paraId="6F85BC6C" w14:textId="0F6F6482" w:rsidR="00A721B0" w:rsidRDefault="00581BD4" w:rsidP="00D35F36">
      <w:pPr>
        <w:pStyle w:val="ListParagraph"/>
        <w:numPr>
          <w:ilvl w:val="0"/>
          <w:numId w:val="20"/>
        </w:numPr>
      </w:pPr>
      <w:r w:rsidRPr="35DAF9E0">
        <w:t xml:space="preserve">In order to </w:t>
      </w:r>
      <w:r w:rsidR="00356160">
        <w:t>support data collection and inference</w:t>
      </w:r>
      <w:r w:rsidRPr="35DAF9E0">
        <w:t xml:space="preserve">, what </w:t>
      </w:r>
      <w:r w:rsidR="00B8769D">
        <w:t>are</w:t>
      </w:r>
      <w:r w:rsidRPr="35DAF9E0">
        <w:t xml:space="preserve"> the </w:t>
      </w:r>
      <w:r w:rsidR="00B8769D" w:rsidRPr="35DAF9E0">
        <w:t xml:space="preserve">assumed </w:t>
      </w:r>
      <w:r w:rsidRPr="35DAF9E0">
        <w:t>model output(s)</w:t>
      </w:r>
      <w:r w:rsidR="00B8769D">
        <w:t>?</w:t>
      </w:r>
    </w:p>
    <w:p w14:paraId="798CBC38" w14:textId="71FBCB51" w:rsidR="00BC380D" w:rsidRPr="00E215F0" w:rsidRDefault="00766FA3" w:rsidP="00D35F36">
      <w:pPr>
        <w:pStyle w:val="ListParagraph"/>
        <w:numPr>
          <w:ilvl w:val="0"/>
          <w:numId w:val="20"/>
        </w:numPr>
      </w:pPr>
      <w:r>
        <w:t xml:space="preserve">What </w:t>
      </w:r>
      <w:r w:rsidR="00FA59A9" w:rsidRPr="00FA59A9">
        <w:t>modifications</w:t>
      </w:r>
      <w:r>
        <w:t xml:space="preserve"> to legacy</w:t>
      </w:r>
      <w:r w:rsidRPr="00FA59A9">
        <w:t xml:space="preserve"> </w:t>
      </w:r>
      <w:r w:rsidR="007F3B32" w:rsidRPr="00FA59A9">
        <w:t>measurement</w:t>
      </w:r>
      <w:r>
        <w:t xml:space="preserve"> reporting </w:t>
      </w:r>
      <w:r w:rsidR="00FA59A9" w:rsidRPr="00FA59A9">
        <w:t>(</w:t>
      </w:r>
      <w:r>
        <w:t>to the LMF</w:t>
      </w:r>
      <w:r w:rsidR="00FA59A9" w:rsidRPr="00FA59A9">
        <w:t>)</w:t>
      </w:r>
      <w:r>
        <w:t xml:space="preserve"> are </w:t>
      </w:r>
      <w:r w:rsidR="00FA59A9" w:rsidRPr="00FA59A9">
        <w:t>necessary</w:t>
      </w:r>
      <w:r w:rsidR="007F3B32" w:rsidRPr="00FA59A9">
        <w:t xml:space="preserve"> when </w:t>
      </w:r>
      <w:r w:rsidR="00FA59A9" w:rsidRPr="00FA59A9">
        <w:t>transmitting</w:t>
      </w:r>
      <w:r w:rsidR="007F3B32" w:rsidRPr="00FA59A9">
        <w:t xml:space="preserve"> the model output to </w:t>
      </w:r>
      <w:r w:rsidR="00FA59A9" w:rsidRPr="00FA59A9">
        <w:t xml:space="preserve">the </w:t>
      </w:r>
      <w:r w:rsidR="007F3B32" w:rsidRPr="00FA59A9">
        <w:t>LMF</w:t>
      </w:r>
      <w:r w:rsidR="00FA59A9" w:rsidRPr="00FA59A9">
        <w:t>?</w:t>
      </w:r>
      <w:r w:rsidR="00F50D06">
        <w:t xml:space="preserve"> </w:t>
      </w:r>
    </w:p>
    <w:p w14:paraId="20124FD1" w14:textId="41070A36" w:rsidR="00BC380D" w:rsidRPr="00E215F0" w:rsidRDefault="00F83890" w:rsidP="00FA2FF6">
      <w:pPr>
        <w:pStyle w:val="Heading2"/>
        <w:rPr>
          <w:rFonts w:cs="Arial"/>
          <w:lang w:val="en-US"/>
        </w:rPr>
      </w:pPr>
      <w:bookmarkStart w:id="1369" w:name="_Toc165991003"/>
      <w:bookmarkStart w:id="1370" w:name="_Toc178961666"/>
      <w:r>
        <w:rPr>
          <w:rFonts w:cs="Arial"/>
          <w:lang w:val="en-US"/>
        </w:rPr>
        <w:t>D</w:t>
      </w:r>
      <w:r w:rsidR="00851CF5">
        <w:rPr>
          <w:rFonts w:cs="Arial"/>
          <w:lang w:val="en-US"/>
        </w:rPr>
        <w:t>etails</w:t>
      </w:r>
      <w:r w:rsidR="00FA2FF6" w:rsidRPr="00E215F0">
        <w:rPr>
          <w:rFonts w:cs="Arial"/>
          <w:lang w:val="en-US"/>
        </w:rPr>
        <w:t xml:space="preserve"> for </w:t>
      </w:r>
      <w:r>
        <w:rPr>
          <w:rFonts w:cs="Arial"/>
          <w:lang w:val="en-US"/>
        </w:rPr>
        <w:t xml:space="preserve">reporting </w:t>
      </w:r>
      <w:r w:rsidR="00FA2FF6" w:rsidRPr="00E215F0">
        <w:rPr>
          <w:rFonts w:cs="Arial"/>
          <w:lang w:val="en-US"/>
        </w:rPr>
        <w:t>model output of AI/ML assisted positioning</w:t>
      </w:r>
      <w:bookmarkEnd w:id="1369"/>
      <w:bookmarkEnd w:id="1370"/>
    </w:p>
    <w:p w14:paraId="2A8FB98C" w14:textId="3A54ED21" w:rsidR="00FA2FF6" w:rsidRPr="00BC380D" w:rsidRDefault="0096059D" w:rsidP="00BC380D">
      <w:r>
        <w:t>As discussed, RAN1 has agreed to support</w:t>
      </w:r>
      <w:r w:rsidR="00747C47">
        <w:t xml:space="preserve"> two </w:t>
      </w:r>
      <w:r>
        <w:t>types of</w:t>
      </w:r>
      <w:r w:rsidR="00747C47">
        <w:t xml:space="preserve"> model output: (a) LOS/NLOS indicator; (b) timing information. In the following, we investigate in </w:t>
      </w:r>
      <w:r w:rsidR="00DF54DD">
        <w:t>detail</w:t>
      </w:r>
      <w:r w:rsidR="00747C47">
        <w:t xml:space="preserve"> </w:t>
      </w:r>
      <w:r w:rsidR="00A5709D">
        <w:t>how</w:t>
      </w:r>
      <w:r w:rsidR="00747C47">
        <w:t xml:space="preserve"> they can be specified</w:t>
      </w:r>
      <w:r w:rsidR="00EF3052">
        <w:t xml:space="preserve"> in Rel-19</w:t>
      </w:r>
      <w:r w:rsidR="00747C47">
        <w:t xml:space="preserve">. </w:t>
      </w:r>
    </w:p>
    <w:p w14:paraId="5FE27A21" w14:textId="0B36634E" w:rsidR="004A0D64" w:rsidRDefault="004A0D64" w:rsidP="004A0D64">
      <w:pPr>
        <w:pStyle w:val="Heading3"/>
        <w:rPr>
          <w:lang w:val="en-US"/>
        </w:rPr>
      </w:pPr>
      <w:bookmarkStart w:id="1371" w:name="_Toc165991004"/>
      <w:bookmarkStart w:id="1372" w:name="_Toc178961667"/>
      <w:r w:rsidRPr="004157FD">
        <w:rPr>
          <w:lang w:val="en-US"/>
        </w:rPr>
        <w:t>LOS/NLOS indicator</w:t>
      </w:r>
      <w:bookmarkEnd w:id="1371"/>
      <w:bookmarkEnd w:id="1372"/>
    </w:p>
    <w:p w14:paraId="1D5521F9" w14:textId="661D8F9E" w:rsidR="00595109" w:rsidRDefault="00735A97" w:rsidP="004A0D64">
      <w:r w:rsidRPr="00E215F0">
        <w:t>In legacy positioning methods, the LOS indicator can take either a binary value (LOS</w:t>
      </w:r>
      <w:r w:rsidR="006036C0">
        <w:t xml:space="preserve">, </w:t>
      </w:r>
      <w:r w:rsidRPr="00E215F0">
        <w:t xml:space="preserve">NLOS) or a soft value that provides a confidence index of the LOS estimate reported by the UE or gNB. </w:t>
      </w:r>
      <w:r w:rsidR="00790807" w:rsidRPr="00E215F0">
        <w:t xml:space="preserve">The purpose of this LOS indicator is to inform the LMF </w:t>
      </w:r>
      <w:r w:rsidR="003D41B1" w:rsidRPr="00E215F0">
        <w:t xml:space="preserve">so that measurements can be grouped according to their LOS status, and </w:t>
      </w:r>
      <w:r w:rsidR="00E90151" w:rsidRPr="00E215F0">
        <w:t>measurements which have non</w:t>
      </w:r>
      <w:r w:rsidR="005B45E2">
        <w:t>-</w:t>
      </w:r>
      <w:r w:rsidR="00E90151" w:rsidRPr="00E215F0">
        <w:t>line</w:t>
      </w:r>
      <w:r w:rsidR="005B45E2">
        <w:t>-</w:t>
      </w:r>
      <w:r w:rsidR="00E90151" w:rsidRPr="00E215F0">
        <w:t>of</w:t>
      </w:r>
      <w:r w:rsidR="005B45E2">
        <w:t>-</w:t>
      </w:r>
      <w:r w:rsidR="00E90151" w:rsidRPr="00E215F0">
        <w:t xml:space="preserve">sight are typically excluded from the location estimation algorithm. </w:t>
      </w:r>
      <w:r w:rsidR="008B19C0">
        <w:t xml:space="preserve">The </w:t>
      </w:r>
      <w:r w:rsidR="008B19C0" w:rsidRPr="00E215F0">
        <w:t>LOS/NLOS indicator</w:t>
      </w:r>
      <w:r w:rsidR="008B19C0">
        <w:t xml:space="preserve"> and the measurements (e.g., </w:t>
      </w:r>
      <w:r w:rsidR="009C3065">
        <w:t>RTOA</w:t>
      </w:r>
      <w:r w:rsidR="008B19C0">
        <w:t>) are all about the physical, observable propagation path of the radio link.</w:t>
      </w:r>
    </w:p>
    <w:p w14:paraId="717A3573" w14:textId="5A514AC4" w:rsidR="00511755" w:rsidRDefault="00B976CE" w:rsidP="004A0D64">
      <w:r>
        <w:t>In contrast, w</w:t>
      </w:r>
      <w:r w:rsidR="00511755">
        <w:t>hen AI/ML assisted positioning is used, two types of L</w:t>
      </w:r>
      <w:r w:rsidR="00825571">
        <w:t>O</w:t>
      </w:r>
      <w:r w:rsidR="00511755">
        <w:t xml:space="preserve">S paths are addressed by the AI/ML model </w:t>
      </w:r>
      <w:r w:rsidR="00FE3AE2">
        <w:t xml:space="preserve">considering the two </w:t>
      </w:r>
      <w:r w:rsidR="00511755">
        <w:t>types of model output:</w:t>
      </w:r>
    </w:p>
    <w:p w14:paraId="67B2F44D" w14:textId="5646BEF0" w:rsidR="00682F4A" w:rsidRPr="00194B5B" w:rsidRDefault="00511755" w:rsidP="000F7548">
      <w:pPr>
        <w:pStyle w:val="ListParagraph"/>
        <w:numPr>
          <w:ilvl w:val="0"/>
          <w:numId w:val="15"/>
        </w:numPr>
      </w:pPr>
      <w:r w:rsidRPr="00113328">
        <w:t>LOS/NLOS indicator</w:t>
      </w:r>
      <w:r w:rsidR="00682F4A" w:rsidRPr="00113328">
        <w:t>.</w:t>
      </w:r>
      <w:r w:rsidRPr="00113328">
        <w:t xml:space="preserve"> </w:t>
      </w:r>
      <w:r w:rsidR="00B976CE" w:rsidRPr="00113328">
        <w:t>As in legacy report, t</w:t>
      </w:r>
      <w:r w:rsidRPr="00113328">
        <w:t xml:space="preserve">his model output </w:t>
      </w:r>
      <w:r w:rsidR="00682F4A" w:rsidRPr="00113328">
        <w:t xml:space="preserve">provides </w:t>
      </w:r>
      <w:r w:rsidR="00682F4A" w:rsidRPr="00194B5B">
        <w:rPr>
          <w:snapToGrid w:val="0"/>
        </w:rPr>
        <w:t xml:space="preserve">information on the likelihood of a </w:t>
      </w:r>
      <w:r w:rsidR="00682F4A" w:rsidRPr="00113328">
        <w:rPr>
          <w:snapToGrid w:val="0"/>
        </w:rPr>
        <w:t>l</w:t>
      </w:r>
      <w:r w:rsidR="00682F4A" w:rsidRPr="00194B5B">
        <w:rPr>
          <w:snapToGrid w:val="0"/>
        </w:rPr>
        <w:t>ine-of-</w:t>
      </w:r>
      <w:r w:rsidR="00682F4A" w:rsidRPr="00113328">
        <w:rPr>
          <w:snapToGrid w:val="0"/>
        </w:rPr>
        <w:t>s</w:t>
      </w:r>
      <w:r w:rsidR="00682F4A" w:rsidRPr="00194B5B">
        <w:rPr>
          <w:snapToGrid w:val="0"/>
        </w:rPr>
        <w:t>ight propagation path</w:t>
      </w:r>
      <w:r w:rsidR="00682F4A" w:rsidRPr="00113328">
        <w:rPr>
          <w:snapToGrid w:val="0"/>
        </w:rPr>
        <w:t>, i.e., a physical L</w:t>
      </w:r>
      <w:r w:rsidR="00F772CD">
        <w:rPr>
          <w:snapToGrid w:val="0"/>
        </w:rPr>
        <w:t>O</w:t>
      </w:r>
      <w:r w:rsidR="00682F4A" w:rsidRPr="00113328">
        <w:rPr>
          <w:snapToGrid w:val="0"/>
        </w:rPr>
        <w:t xml:space="preserve">S path. For example, for </w:t>
      </w:r>
      <w:r w:rsidR="00682F4A" w:rsidRPr="00113328">
        <w:rPr>
          <w:snapToGrid w:val="0"/>
        </w:rPr>
        <w:fldChar w:fldCharType="begin"/>
      </w:r>
      <w:r w:rsidR="00682F4A" w:rsidRPr="00113328">
        <w:rPr>
          <w:snapToGrid w:val="0"/>
        </w:rPr>
        <w:instrText xml:space="preserve"> REF _Ref158978805 </w:instrText>
      </w:r>
      <w:r w:rsidR="00113328" w:rsidRPr="00CD59F9">
        <w:rPr>
          <w:snapToGrid w:val="0"/>
        </w:rPr>
        <w:instrText xml:space="preserve"> \* MERGEFORMAT </w:instrText>
      </w:r>
      <w:r w:rsidR="00682F4A" w:rsidRPr="00113328">
        <w:rPr>
          <w:snapToGrid w:val="0"/>
        </w:rPr>
        <w:fldChar w:fldCharType="separate"/>
      </w:r>
      <w:r w:rsidR="00850DA1" w:rsidRPr="00850DA1">
        <w:t>Figure 20</w:t>
      </w:r>
      <w:r w:rsidR="00682F4A" w:rsidRPr="00113328">
        <w:rPr>
          <w:snapToGrid w:val="0"/>
        </w:rPr>
        <w:fldChar w:fldCharType="end"/>
      </w:r>
      <w:r w:rsidR="00682F4A" w:rsidRPr="00113328">
        <w:rPr>
          <w:snapToGrid w:val="0"/>
        </w:rPr>
        <w:t>(a), LOS/NLOS indicator='TRUE' (i.e., physical L</w:t>
      </w:r>
      <w:r w:rsidR="003F4914">
        <w:rPr>
          <w:snapToGrid w:val="0"/>
        </w:rPr>
        <w:t>O</w:t>
      </w:r>
      <w:r w:rsidR="00682F4A" w:rsidRPr="00113328">
        <w:rPr>
          <w:snapToGrid w:val="0"/>
        </w:rPr>
        <w:t xml:space="preserve">S path exists); for </w:t>
      </w:r>
      <w:r w:rsidR="00682F4A" w:rsidRPr="00113328">
        <w:rPr>
          <w:snapToGrid w:val="0"/>
        </w:rPr>
        <w:fldChar w:fldCharType="begin"/>
      </w:r>
      <w:r w:rsidR="00682F4A" w:rsidRPr="00113328">
        <w:rPr>
          <w:snapToGrid w:val="0"/>
        </w:rPr>
        <w:instrText xml:space="preserve"> REF _Ref158978805 </w:instrText>
      </w:r>
      <w:r w:rsidR="00113328" w:rsidRPr="00CD59F9">
        <w:rPr>
          <w:snapToGrid w:val="0"/>
        </w:rPr>
        <w:instrText xml:space="preserve"> \* MERGEFORMAT </w:instrText>
      </w:r>
      <w:r w:rsidR="00682F4A" w:rsidRPr="00113328">
        <w:rPr>
          <w:snapToGrid w:val="0"/>
        </w:rPr>
        <w:fldChar w:fldCharType="separate"/>
      </w:r>
      <w:r w:rsidR="00850DA1" w:rsidRPr="00850DA1">
        <w:t>Figure 20</w:t>
      </w:r>
      <w:r w:rsidR="00682F4A" w:rsidRPr="00113328">
        <w:rPr>
          <w:snapToGrid w:val="0"/>
        </w:rPr>
        <w:fldChar w:fldCharType="end"/>
      </w:r>
      <w:r w:rsidR="00682F4A" w:rsidRPr="00113328">
        <w:rPr>
          <w:snapToGrid w:val="0"/>
        </w:rPr>
        <w:t>(b), LOS/NLOS indicator='FALSE' (i.e., no physical L</w:t>
      </w:r>
      <w:r w:rsidR="009E68B4">
        <w:rPr>
          <w:snapToGrid w:val="0"/>
        </w:rPr>
        <w:t>O</w:t>
      </w:r>
      <w:r w:rsidR="00682F4A" w:rsidRPr="00113328">
        <w:rPr>
          <w:snapToGrid w:val="0"/>
        </w:rPr>
        <w:t>S path).</w:t>
      </w:r>
    </w:p>
    <w:p w14:paraId="478285CF" w14:textId="14124612" w:rsidR="00EE517A" w:rsidRPr="00194B5B" w:rsidRDefault="00EE517A" w:rsidP="000F7548">
      <w:pPr>
        <w:pStyle w:val="ListParagraph"/>
        <w:numPr>
          <w:ilvl w:val="1"/>
          <w:numId w:val="15"/>
        </w:numPr>
      </w:pPr>
      <w:r w:rsidRPr="00113328">
        <w:rPr>
          <w:snapToGrid w:val="0"/>
        </w:rPr>
        <w:t>Thus: the meaning of LOS/NLOS indicator is unchanged when AI/ML is introduced</w:t>
      </w:r>
      <w:r w:rsidR="000A426A">
        <w:rPr>
          <w:snapToGrid w:val="0"/>
        </w:rPr>
        <w:t xml:space="preserve"> to generate it</w:t>
      </w:r>
      <w:r w:rsidRPr="00113328">
        <w:rPr>
          <w:snapToGrid w:val="0"/>
        </w:rPr>
        <w:t>.</w:t>
      </w:r>
    </w:p>
    <w:p w14:paraId="062D16F5" w14:textId="31C260CF" w:rsidR="00511755" w:rsidRPr="00194B5B" w:rsidRDefault="00682F4A" w:rsidP="000F7548">
      <w:pPr>
        <w:pStyle w:val="ListParagraph"/>
        <w:numPr>
          <w:ilvl w:val="0"/>
          <w:numId w:val="15"/>
        </w:numPr>
      </w:pPr>
      <w:r w:rsidRPr="00113328">
        <w:rPr>
          <w:snapToGrid w:val="0"/>
        </w:rPr>
        <w:t xml:space="preserve">Time information (e.g., RTOA). The timing information generated by the model is for the direct path between TRP and UE, regardless of LOS/NLOS status of the physical link. For example, for </w:t>
      </w:r>
      <w:r w:rsidRPr="00113328">
        <w:rPr>
          <w:snapToGrid w:val="0"/>
        </w:rPr>
        <w:fldChar w:fldCharType="begin"/>
      </w:r>
      <w:r w:rsidRPr="00113328">
        <w:rPr>
          <w:snapToGrid w:val="0"/>
        </w:rPr>
        <w:instrText xml:space="preserve"> REF _Ref158978805 </w:instrText>
      </w:r>
      <w:r w:rsidR="00113328" w:rsidRPr="00CD59F9">
        <w:rPr>
          <w:snapToGrid w:val="0"/>
        </w:rPr>
        <w:instrText xml:space="preserve"> \* MERGEFORMAT </w:instrText>
      </w:r>
      <w:r w:rsidRPr="00113328">
        <w:rPr>
          <w:snapToGrid w:val="0"/>
        </w:rPr>
        <w:fldChar w:fldCharType="separate"/>
      </w:r>
      <w:r w:rsidR="00850DA1" w:rsidRPr="00850DA1">
        <w:t>Figure 20</w:t>
      </w:r>
      <w:r w:rsidRPr="00113328">
        <w:rPr>
          <w:snapToGrid w:val="0"/>
        </w:rPr>
        <w:fldChar w:fldCharType="end"/>
      </w:r>
      <w:r w:rsidRPr="00113328">
        <w:rPr>
          <w:snapToGrid w:val="0"/>
        </w:rPr>
        <w:t>(a), the timing information is for the physical L</w:t>
      </w:r>
      <w:r w:rsidR="00E140A0">
        <w:rPr>
          <w:snapToGrid w:val="0"/>
        </w:rPr>
        <w:t>O</w:t>
      </w:r>
      <w:r w:rsidRPr="00113328">
        <w:rPr>
          <w:snapToGrid w:val="0"/>
        </w:rPr>
        <w:t>S path</w:t>
      </w:r>
      <w:r w:rsidR="000D3E58">
        <w:rPr>
          <w:snapToGrid w:val="0"/>
        </w:rPr>
        <w:t xml:space="preserve"> (=virtual L</w:t>
      </w:r>
      <w:r w:rsidR="00E140A0">
        <w:rPr>
          <w:snapToGrid w:val="0"/>
        </w:rPr>
        <w:t>O</w:t>
      </w:r>
      <w:r w:rsidR="000D3E58">
        <w:rPr>
          <w:snapToGrid w:val="0"/>
        </w:rPr>
        <w:t>S path)</w:t>
      </w:r>
      <w:r w:rsidRPr="00113328">
        <w:rPr>
          <w:snapToGrid w:val="0"/>
        </w:rPr>
        <w:t xml:space="preserve">; for </w:t>
      </w:r>
      <w:r w:rsidRPr="00113328">
        <w:rPr>
          <w:snapToGrid w:val="0"/>
        </w:rPr>
        <w:fldChar w:fldCharType="begin"/>
      </w:r>
      <w:r w:rsidRPr="00113328">
        <w:rPr>
          <w:snapToGrid w:val="0"/>
        </w:rPr>
        <w:instrText xml:space="preserve"> REF _Ref158978805 </w:instrText>
      </w:r>
      <w:r w:rsidR="00113328" w:rsidRPr="00CD59F9">
        <w:rPr>
          <w:snapToGrid w:val="0"/>
        </w:rPr>
        <w:instrText xml:space="preserve"> \* MERGEFORMAT </w:instrText>
      </w:r>
      <w:r w:rsidRPr="00113328">
        <w:rPr>
          <w:snapToGrid w:val="0"/>
        </w:rPr>
        <w:fldChar w:fldCharType="separate"/>
      </w:r>
      <w:r w:rsidR="00850DA1" w:rsidRPr="00850DA1">
        <w:t>Figure 20</w:t>
      </w:r>
      <w:r w:rsidRPr="00113328">
        <w:rPr>
          <w:snapToGrid w:val="0"/>
        </w:rPr>
        <w:fldChar w:fldCharType="end"/>
      </w:r>
      <w:r w:rsidRPr="00113328">
        <w:rPr>
          <w:snapToGrid w:val="0"/>
        </w:rPr>
        <w:t>(b), the timing information is for the virtual L</w:t>
      </w:r>
      <w:r w:rsidR="005A318A">
        <w:rPr>
          <w:snapToGrid w:val="0"/>
        </w:rPr>
        <w:t>O</w:t>
      </w:r>
      <w:r w:rsidRPr="00113328">
        <w:rPr>
          <w:snapToGrid w:val="0"/>
        </w:rPr>
        <w:t>S path.</w:t>
      </w:r>
      <w:r w:rsidR="00EE517A" w:rsidRPr="00113328">
        <w:rPr>
          <w:snapToGrid w:val="0"/>
        </w:rPr>
        <w:t xml:space="preserve"> </w:t>
      </w:r>
    </w:p>
    <w:p w14:paraId="2EB5C476" w14:textId="7608A316" w:rsidR="00EE517A" w:rsidRPr="00194B5B" w:rsidRDefault="00EE517A" w:rsidP="000F7548">
      <w:pPr>
        <w:pStyle w:val="ListParagraph"/>
        <w:numPr>
          <w:ilvl w:val="1"/>
          <w:numId w:val="15"/>
        </w:numPr>
      </w:pPr>
      <w:r w:rsidRPr="00CD59F9">
        <w:rPr>
          <w:snapToGrid w:val="0"/>
        </w:rPr>
        <w:t>Thus: the meaning of timing info</w:t>
      </w:r>
      <w:r w:rsidR="00470267">
        <w:rPr>
          <w:snapToGrid w:val="0"/>
        </w:rPr>
        <w:t>rmation</w:t>
      </w:r>
      <w:r w:rsidRPr="00CD59F9">
        <w:rPr>
          <w:snapToGrid w:val="0"/>
        </w:rPr>
        <w:t xml:space="preserve"> is changed when AI/ML is introduced</w:t>
      </w:r>
      <w:r w:rsidR="00470267">
        <w:rPr>
          <w:snapToGrid w:val="0"/>
        </w:rPr>
        <w:t xml:space="preserve"> to generate it</w:t>
      </w:r>
      <w:r w:rsidRPr="00CD59F9">
        <w:rPr>
          <w:snapToGrid w:val="0"/>
        </w:rPr>
        <w:t>. In legacy report, the timing</w:t>
      </w:r>
      <w:r>
        <w:rPr>
          <w:snapToGrid w:val="0"/>
        </w:rPr>
        <w:t xml:space="preserve"> information is for the observed physical path arrival. In AI/ML report, the timing information is </w:t>
      </w:r>
      <w:r w:rsidR="000D3E58">
        <w:rPr>
          <w:snapToGrid w:val="0"/>
        </w:rPr>
        <w:t xml:space="preserve">always </w:t>
      </w:r>
      <w:r>
        <w:rPr>
          <w:snapToGrid w:val="0"/>
        </w:rPr>
        <w:t>for the direct path (i.e., virtual L</w:t>
      </w:r>
      <w:r w:rsidR="0007593C">
        <w:rPr>
          <w:snapToGrid w:val="0"/>
        </w:rPr>
        <w:t>O</w:t>
      </w:r>
      <w:r>
        <w:rPr>
          <w:snapToGrid w:val="0"/>
        </w:rPr>
        <w:t>S path).</w:t>
      </w:r>
    </w:p>
    <w:p w14:paraId="1D435E2E" w14:textId="547BBE7F" w:rsidR="00511755" w:rsidRDefault="00BC6783" w:rsidP="004A0D64">
      <w:r>
        <w:t>I</w:t>
      </w:r>
      <w:r w:rsidR="000D3E58">
        <w:t>n summary, i</w:t>
      </w:r>
      <w:r>
        <w:t>t can be understood that the LOS/NLOS indicator address the physical L</w:t>
      </w:r>
      <w:r w:rsidR="00CC0AB1">
        <w:t>O</w:t>
      </w:r>
      <w:r>
        <w:t xml:space="preserve">S path, while </w:t>
      </w:r>
      <w:r w:rsidR="00FE3AE2">
        <w:rPr>
          <w:snapToGrid w:val="0"/>
        </w:rPr>
        <w:t>t</w:t>
      </w:r>
      <w:r>
        <w:rPr>
          <w:snapToGrid w:val="0"/>
        </w:rPr>
        <w:t>ime information (e.g., RTOA) address the virtual L</w:t>
      </w:r>
      <w:r w:rsidR="002E5298">
        <w:rPr>
          <w:snapToGrid w:val="0"/>
        </w:rPr>
        <w:t>O</w:t>
      </w:r>
      <w:r>
        <w:rPr>
          <w:snapToGrid w:val="0"/>
        </w:rPr>
        <w:t>S path</w:t>
      </w:r>
      <w:r w:rsidR="00E22682">
        <w:rPr>
          <w:snapToGrid w:val="0"/>
        </w:rPr>
        <w:t>. H</w:t>
      </w:r>
      <w:r w:rsidR="00EE517A">
        <w:rPr>
          <w:snapToGrid w:val="0"/>
        </w:rPr>
        <w:t>ere the virtual L</w:t>
      </w:r>
      <w:r w:rsidR="002E5298">
        <w:rPr>
          <w:snapToGrid w:val="0"/>
        </w:rPr>
        <w:t>O</w:t>
      </w:r>
      <w:r w:rsidR="00EE517A">
        <w:rPr>
          <w:snapToGrid w:val="0"/>
        </w:rPr>
        <w:t>S path is the direct path regardless of LOS/NLOS status</w:t>
      </w:r>
      <w:r>
        <w:rPr>
          <w:snapToGrid w:val="0"/>
        </w:rPr>
        <w:t>.</w:t>
      </w:r>
      <w:r w:rsidR="00681D21" w:rsidRPr="00681D21">
        <w:t xml:space="preserve"> </w:t>
      </w:r>
      <w:r w:rsidR="00681D21">
        <w:t>In legacy DL-TDOA and DL</w:t>
      </w:r>
      <w:r w:rsidR="00EC0AA5">
        <w:t>-</w:t>
      </w:r>
      <w:r w:rsidR="00681D21">
        <w:t>RTOA reports, LOS/NLOS indication is always associated with a TOA measurement.</w:t>
      </w:r>
      <w:r w:rsidR="00875EFC">
        <w:t xml:space="preserve"> For AI</w:t>
      </w:r>
      <w:r w:rsidR="00703205">
        <w:t>/</w:t>
      </w:r>
      <w:r w:rsidR="00875EFC">
        <w:t xml:space="preserve">ML measurements, this association cannot be re-used, and the TOA measurement should </w:t>
      </w:r>
      <w:r w:rsidR="00946004">
        <w:t xml:space="preserve">be decoupled from the LOS indication. </w:t>
      </w:r>
    </w:p>
    <w:p w14:paraId="35FDFA17" w14:textId="32B8263B" w:rsidR="00511755" w:rsidRDefault="00511755" w:rsidP="004A0D6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511755" w14:paraId="751647FB" w14:textId="77777777" w:rsidTr="00CD59F9">
        <w:tc>
          <w:tcPr>
            <w:tcW w:w="4981" w:type="dxa"/>
          </w:tcPr>
          <w:p w14:paraId="70BD84BA" w14:textId="53FBC0E7" w:rsidR="00511755" w:rsidRDefault="00FE3AE2" w:rsidP="00CD59F9">
            <w:pPr>
              <w:jc w:val="center"/>
            </w:pPr>
            <w:r>
              <w:rPr>
                <w:noProof/>
              </w:rPr>
              <w:lastRenderedPageBreak/>
              <w:drawing>
                <wp:inline distT="0" distB="0" distL="0" distR="0" wp14:anchorId="21F2418E" wp14:editId="59665EF2">
                  <wp:extent cx="2139696" cy="21579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c>
          <w:tcPr>
            <w:tcW w:w="4981" w:type="dxa"/>
          </w:tcPr>
          <w:p w14:paraId="3199D1E7" w14:textId="6CAAF247" w:rsidR="00511755" w:rsidRPr="00511755" w:rsidRDefault="00FE3AE2" w:rsidP="00CD59F9">
            <w:pPr>
              <w:jc w:val="center"/>
            </w:pPr>
            <w:r>
              <w:rPr>
                <w:noProof/>
              </w:rPr>
              <w:drawing>
                <wp:inline distT="0" distB="0" distL="0" distR="0" wp14:anchorId="73AC1513" wp14:editId="3FD5D78B">
                  <wp:extent cx="2139696" cy="21579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r>
      <w:tr w:rsidR="00511755" w14:paraId="554B4AF5" w14:textId="77777777" w:rsidTr="00CD59F9">
        <w:tc>
          <w:tcPr>
            <w:tcW w:w="4981" w:type="dxa"/>
          </w:tcPr>
          <w:p w14:paraId="245127B1" w14:textId="6DF95075" w:rsidR="00BC6783" w:rsidRPr="00194B5B" w:rsidRDefault="00511755" w:rsidP="00D35F36">
            <w:pPr>
              <w:pStyle w:val="ListParagraph"/>
              <w:numPr>
                <w:ilvl w:val="0"/>
                <w:numId w:val="36"/>
              </w:numPr>
              <w:jc w:val="center"/>
            </w:pPr>
            <w:r>
              <w:rPr>
                <w:noProof/>
              </w:rPr>
              <w:t>Physical LoS path</w:t>
            </w:r>
            <w:r w:rsidR="00EE517A">
              <w:rPr>
                <w:noProof/>
              </w:rPr>
              <w:t xml:space="preserve"> exist</w:t>
            </w:r>
          </w:p>
        </w:tc>
        <w:tc>
          <w:tcPr>
            <w:tcW w:w="4981" w:type="dxa"/>
          </w:tcPr>
          <w:p w14:paraId="586C7EDA" w14:textId="134F71BB" w:rsidR="00EE517A" w:rsidRPr="00194B5B" w:rsidRDefault="00EE517A" w:rsidP="00D35F36">
            <w:pPr>
              <w:pStyle w:val="ListParagraph"/>
              <w:numPr>
                <w:ilvl w:val="0"/>
                <w:numId w:val="36"/>
              </w:numPr>
              <w:jc w:val="center"/>
            </w:pPr>
            <w:r>
              <w:t xml:space="preserve">No physical </w:t>
            </w:r>
            <w:r w:rsidR="00511755">
              <w:t>LoS path</w:t>
            </w:r>
          </w:p>
        </w:tc>
      </w:tr>
    </w:tbl>
    <w:p w14:paraId="4A3E36F2" w14:textId="4E31BC2C" w:rsidR="00511755" w:rsidRPr="00CD59F9" w:rsidRDefault="00682F4A" w:rsidP="00CD59F9">
      <w:pPr>
        <w:jc w:val="center"/>
        <w:rPr>
          <w:b/>
          <w:bCs/>
        </w:rPr>
      </w:pPr>
      <w:bookmarkStart w:id="1373" w:name="_Ref158978805"/>
      <w:r w:rsidRPr="00CD59F9">
        <w:rPr>
          <w:b/>
          <w:bCs/>
        </w:rPr>
        <w:t xml:space="preserve">Figure </w:t>
      </w:r>
      <w:r w:rsidRPr="00CD59F9">
        <w:rPr>
          <w:b/>
          <w:bCs/>
        </w:rPr>
        <w:fldChar w:fldCharType="begin"/>
      </w:r>
      <w:r w:rsidRPr="00CD59F9">
        <w:rPr>
          <w:b/>
          <w:bCs/>
        </w:rPr>
        <w:instrText xml:space="preserve"> SEQ Figure \* ARABIC </w:instrText>
      </w:r>
      <w:r w:rsidRPr="00CD59F9">
        <w:rPr>
          <w:b/>
          <w:bCs/>
        </w:rPr>
        <w:fldChar w:fldCharType="separate"/>
      </w:r>
      <w:r w:rsidR="00850DA1">
        <w:rPr>
          <w:b/>
          <w:bCs/>
          <w:noProof/>
        </w:rPr>
        <w:t>20</w:t>
      </w:r>
      <w:r w:rsidRPr="00CD59F9">
        <w:rPr>
          <w:b/>
          <w:bCs/>
        </w:rPr>
        <w:fldChar w:fldCharType="end"/>
      </w:r>
      <w:bookmarkEnd w:id="1373"/>
      <w:r w:rsidR="00511755" w:rsidRPr="00CD59F9">
        <w:rPr>
          <w:b/>
          <w:bCs/>
        </w:rPr>
        <w:t>. Two types of LoS paths are addressed by the assisted AI/ML model.</w:t>
      </w:r>
    </w:p>
    <w:p w14:paraId="2DDCD8D2" w14:textId="77777777" w:rsidR="00511755" w:rsidRDefault="00511755" w:rsidP="004A0D64"/>
    <w:p w14:paraId="51535368" w14:textId="38070763" w:rsidR="00BC6783" w:rsidRDefault="00BC6783" w:rsidP="004A0D64">
      <w:r>
        <w:t>Thus</w:t>
      </w:r>
      <w:r w:rsidR="007434EC">
        <w:t>,</w:t>
      </w:r>
      <w:r>
        <w:t xml:space="preserve"> when </w:t>
      </w:r>
      <w:r w:rsidR="00582969" w:rsidRPr="00E215F0">
        <w:t>AI</w:t>
      </w:r>
      <w:r w:rsidR="007434EC">
        <w:t>/</w:t>
      </w:r>
      <w:r w:rsidR="00582969" w:rsidRPr="00E215F0">
        <w:t xml:space="preserve">ML </w:t>
      </w:r>
      <w:r>
        <w:t xml:space="preserve">assisted positioning is applied (Case 2a, </w:t>
      </w:r>
      <w:r w:rsidR="00293226">
        <w:t>3</w:t>
      </w:r>
      <w:r w:rsidR="00C309E5">
        <w:t>a</w:t>
      </w:r>
      <w:r>
        <w:t xml:space="preserve">), the measurement report needs to clearly indicate to LMF that the timing information </w:t>
      </w:r>
      <w:r w:rsidR="00EE517A">
        <w:t xml:space="preserve">should be interpreted in </w:t>
      </w:r>
      <w:r w:rsidR="005070F8">
        <w:t xml:space="preserve">a </w:t>
      </w:r>
      <w:r w:rsidR="00EE517A">
        <w:t>new way</w:t>
      </w:r>
      <w:r>
        <w:t xml:space="preserve">, i.e., </w:t>
      </w:r>
      <w:r w:rsidR="00EE517A">
        <w:t xml:space="preserve">LMF should not blindly reuse </w:t>
      </w:r>
      <w:r>
        <w:t xml:space="preserve">the meaning </w:t>
      </w:r>
      <w:r w:rsidR="00EE517A">
        <w:t>in</w:t>
      </w:r>
      <w:r>
        <w:t xml:space="preserve"> the legacy report. Conversely, if this is not clearly indicated, then the LMF may run the legacy positioning methods the same as before, i.e., exclude links that are marked with LOS/NLOS indicator = 'FALSE'.</w:t>
      </w:r>
      <w:r w:rsidR="00EE517A">
        <w:t xml:space="preserve"> This would completely defeat the purpose of generating enhanced timing information by AI/ML.</w:t>
      </w:r>
      <w:r>
        <w:t xml:space="preserve"> </w:t>
      </w:r>
    </w:p>
    <w:p w14:paraId="05173BD6" w14:textId="715BDF2C" w:rsidR="00F537CC" w:rsidRDefault="00F537CC" w:rsidP="004A0D64">
      <w:r>
        <w:t>T</w:t>
      </w:r>
      <w:r w:rsidR="00F43880">
        <w:t xml:space="preserve">o indicate that the timing information for </w:t>
      </w:r>
      <w:r w:rsidR="00F43880" w:rsidRPr="007B3D72">
        <w:t>case 2a/3a is</w:t>
      </w:r>
      <w:r w:rsidR="00F43880">
        <w:t xml:space="preserve"> always based on LOS TOA, regardless of the true physical LOS state of the channel, </w:t>
      </w:r>
      <w:r w:rsidR="00F41321">
        <w:t xml:space="preserve">it would be sufficient to add an indicator to the report, such as a “made with AI” flag, or a </w:t>
      </w:r>
      <w:r w:rsidR="0034037F">
        <w:t xml:space="preserve">“virtual LOS TOA” flag. </w:t>
      </w:r>
      <w:r w:rsidR="00E90EFA">
        <w:t xml:space="preserve"> Alternatively, the UE </w:t>
      </w:r>
      <w:r w:rsidR="00500691">
        <w:t xml:space="preserve">or gNB </w:t>
      </w:r>
      <w:r w:rsidR="00E90EFA">
        <w:t>may be “forced” to produce a</w:t>
      </w:r>
      <w:r w:rsidR="00993174">
        <w:t>n</w:t>
      </w:r>
      <w:r w:rsidR="00E90EFA">
        <w:t xml:space="preserve"> AI-based measurement </w:t>
      </w:r>
      <w:r w:rsidR="00500691">
        <w:t xml:space="preserve">as demanded </w:t>
      </w:r>
      <w:r w:rsidR="00E90EFA">
        <w:t>in the measurement request</w:t>
      </w:r>
      <w:r w:rsidR="00500691">
        <w:t xml:space="preserve"> from LMF</w:t>
      </w:r>
      <w:r w:rsidR="00E90EFA">
        <w:t xml:space="preserve">. In that case the </w:t>
      </w:r>
      <w:r w:rsidR="00CC52CC">
        <w:t xml:space="preserve">indication is not needed. </w:t>
      </w:r>
    </w:p>
    <w:p w14:paraId="26D50E38" w14:textId="20607BBC" w:rsidR="00E90151" w:rsidRPr="00E215F0" w:rsidRDefault="00E90151" w:rsidP="004A0D64"/>
    <w:p w14:paraId="7D37F191" w14:textId="059F68B1" w:rsidR="003D34B6" w:rsidRPr="00E215F0" w:rsidRDefault="00145FDD" w:rsidP="002938DE">
      <w:pPr>
        <w:pStyle w:val="Observation"/>
      </w:pPr>
      <w:bookmarkStart w:id="1374" w:name="_Toc158978331"/>
      <w:bookmarkStart w:id="1375" w:name="_Toc161827827"/>
      <w:bookmarkStart w:id="1376" w:name="_Toc178961871"/>
      <w:r w:rsidRPr="00E215F0">
        <w:t>The LOS/NLOS indicator in legacy positioning report</w:t>
      </w:r>
      <w:r w:rsidR="00B95011" w:rsidRPr="00E215F0">
        <w:t xml:space="preserve"> is a measure of the reliability of the measurement report</w:t>
      </w:r>
      <w:bookmarkEnd w:id="1374"/>
      <w:r w:rsidR="00974994">
        <w:t>.</w:t>
      </w:r>
      <w:bookmarkEnd w:id="1375"/>
      <w:bookmarkEnd w:id="1376"/>
    </w:p>
    <w:p w14:paraId="0B1A0819" w14:textId="4D74051C" w:rsidR="00B95011" w:rsidRPr="00E215F0" w:rsidRDefault="00B95011" w:rsidP="002938DE">
      <w:pPr>
        <w:pStyle w:val="Observation"/>
      </w:pPr>
      <w:bookmarkStart w:id="1377" w:name="_Toc158978332"/>
      <w:bookmarkStart w:id="1378" w:name="_Toc161827828"/>
      <w:bookmarkStart w:id="1379" w:name="_Toc178961872"/>
      <w:r w:rsidRPr="00E215F0">
        <w:t xml:space="preserve">AI/ML assisted positioning </w:t>
      </w:r>
      <w:r w:rsidR="00E90418" w:rsidRPr="00E215F0">
        <w:t>can provide measurement report of the NLOS channel with high confidence</w:t>
      </w:r>
      <w:bookmarkEnd w:id="1377"/>
      <w:r w:rsidR="00974994">
        <w:t>.</w:t>
      </w:r>
      <w:bookmarkEnd w:id="1378"/>
      <w:bookmarkEnd w:id="1379"/>
    </w:p>
    <w:p w14:paraId="17FC800F" w14:textId="77777777" w:rsidR="00574714" w:rsidRDefault="00574714" w:rsidP="00574714"/>
    <w:p w14:paraId="43E994EF" w14:textId="694A072A" w:rsidR="00665FAE" w:rsidRPr="00665FAE" w:rsidRDefault="00665FAE" w:rsidP="00665FAE">
      <w:pPr>
        <w:pStyle w:val="Proposal"/>
      </w:pPr>
      <w:bookmarkStart w:id="1380" w:name="_Toc178961907"/>
      <w:r>
        <w:t xml:space="preserve">For AI/ML assisted positioning Case 3a, when the LOS/NLOS indicator is reported, </w:t>
      </w:r>
      <w:r w:rsidRPr="00665FAE">
        <w:t xml:space="preserve">from RAN1 perspective, the LOS/NLOS indicator provides information on the likelihood of a </w:t>
      </w:r>
      <w:r w:rsidR="00A009B2">
        <w:t xml:space="preserve">physical </w:t>
      </w:r>
      <w:r w:rsidRPr="00665FAE">
        <w:t>Line-of-Sight propagation path from the source to the receiver with a value of 1 corresponding to L</w:t>
      </w:r>
      <w:r w:rsidR="00703205">
        <w:t>O</w:t>
      </w:r>
      <w:r w:rsidRPr="00665FAE">
        <w:t>S and a value of 0 corresponding to NL</w:t>
      </w:r>
      <w:r w:rsidR="00703205">
        <w:t>O</w:t>
      </w:r>
      <w:r w:rsidRPr="00665FAE">
        <w:t xml:space="preserve">S; the LOS/NLOS indicator reuse the same format as the </w:t>
      </w:r>
      <w:r w:rsidRPr="00665FAE">
        <w:rPr>
          <w:szCs w:val="20"/>
        </w:rPr>
        <w:t>existing IE "</w:t>
      </w:r>
      <w:r w:rsidR="00703205">
        <w:t>LOS/NLOS</w:t>
      </w:r>
      <w:r w:rsidRPr="00665FAE">
        <w:t xml:space="preserve"> Information</w:t>
      </w:r>
      <w:r w:rsidRPr="00665FAE">
        <w:rPr>
          <w:szCs w:val="20"/>
        </w:rPr>
        <w:t xml:space="preserve">" in 38.455; </w:t>
      </w:r>
      <w:r w:rsidRPr="00665FAE">
        <w:t>one LOS/NLOS indicator is optionally reported per TRP as in the existing specification.</w:t>
      </w:r>
      <w:bookmarkEnd w:id="1380"/>
    </w:p>
    <w:p w14:paraId="73036538" w14:textId="77777777" w:rsidR="00665FAE" w:rsidRDefault="00665FAE" w:rsidP="00665FAE">
      <w:r>
        <w:t xml:space="preserve"> </w:t>
      </w:r>
    </w:p>
    <w:p w14:paraId="2B41BB37" w14:textId="140CD593" w:rsidR="006625FE" w:rsidRPr="004E7006" w:rsidRDefault="006625FE" w:rsidP="00893D2F">
      <w:pPr>
        <w:pStyle w:val="Proposal"/>
        <w:spacing w:after="0"/>
      </w:pPr>
      <w:bookmarkStart w:id="1381" w:name="_Toc178786081"/>
      <w:bookmarkStart w:id="1382" w:name="_Toc178929433"/>
      <w:bookmarkStart w:id="1383" w:name="_Toc178786082"/>
      <w:bookmarkStart w:id="1384" w:name="_Toc178929434"/>
      <w:bookmarkStart w:id="1385" w:name="_Toc163145247"/>
      <w:bookmarkStart w:id="1386" w:name="_Toc163145476"/>
      <w:bookmarkStart w:id="1387" w:name="_Toc163148021"/>
      <w:bookmarkStart w:id="1388" w:name="_Toc163145249"/>
      <w:bookmarkStart w:id="1389" w:name="_Toc163145478"/>
      <w:bookmarkStart w:id="1390" w:name="_Toc163148023"/>
      <w:bookmarkStart w:id="1391" w:name="_Toc163145250"/>
      <w:bookmarkStart w:id="1392" w:name="_Toc163145479"/>
      <w:bookmarkStart w:id="1393" w:name="_Toc163148024"/>
      <w:bookmarkStart w:id="1394" w:name="_Toc158978388"/>
      <w:bookmarkStart w:id="1395" w:name="_Toc159073371"/>
      <w:bookmarkStart w:id="1396" w:name="_Toc159157561"/>
      <w:bookmarkStart w:id="1397" w:name="_Toc159161192"/>
      <w:bookmarkStart w:id="1398" w:name="_Toc159172944"/>
      <w:bookmarkStart w:id="1399" w:name="_Toc158978389"/>
      <w:bookmarkStart w:id="1400" w:name="_Toc159073372"/>
      <w:bookmarkStart w:id="1401" w:name="_Toc159157562"/>
      <w:bookmarkStart w:id="1402" w:name="_Toc159161193"/>
      <w:bookmarkStart w:id="1403" w:name="_Toc159172945"/>
      <w:bookmarkStart w:id="1404" w:name="_Toc158978390"/>
      <w:bookmarkStart w:id="1405" w:name="_Toc159073373"/>
      <w:bookmarkStart w:id="1406" w:name="_Toc159157563"/>
      <w:bookmarkStart w:id="1407" w:name="_Toc159161194"/>
      <w:bookmarkStart w:id="1408" w:name="_Toc159172946"/>
      <w:bookmarkStart w:id="1409" w:name="_Toc158978391"/>
      <w:bookmarkStart w:id="1410" w:name="_Toc159073374"/>
      <w:bookmarkStart w:id="1411" w:name="_Toc159157564"/>
      <w:bookmarkStart w:id="1412" w:name="_Toc159161195"/>
      <w:bookmarkStart w:id="1413" w:name="_Toc159172947"/>
      <w:bookmarkStart w:id="1414" w:name="_Toc158978392"/>
      <w:bookmarkStart w:id="1415" w:name="_Toc159073375"/>
      <w:bookmarkStart w:id="1416" w:name="_Toc159157565"/>
      <w:bookmarkStart w:id="1417" w:name="_Toc159161196"/>
      <w:bookmarkStart w:id="1418" w:name="_Toc159172948"/>
      <w:bookmarkStart w:id="1419" w:name="_Toc173851162"/>
      <w:bookmarkStart w:id="1420" w:name="_Toc173940914"/>
      <w:bookmarkStart w:id="1421" w:name="_Toc178961908"/>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r w:rsidRPr="004E7006">
        <w:t xml:space="preserve">For </w:t>
      </w:r>
      <w:r w:rsidRPr="007B3D72">
        <w:t>case 3a and 2a, the timing</w:t>
      </w:r>
      <w:r w:rsidRPr="004E7006">
        <w:t xml:space="preserve"> measurement for the first path is associated with a virtual line of sight path.</w:t>
      </w:r>
      <w:bookmarkEnd w:id="1421"/>
      <w:r w:rsidR="00471078" w:rsidRPr="004E7006">
        <w:t xml:space="preserve"> </w:t>
      </w:r>
    </w:p>
    <w:p w14:paraId="0A5AA510" w14:textId="1EB09406" w:rsidR="00C33243" w:rsidRDefault="0097270E" w:rsidP="00D35F36">
      <w:pPr>
        <w:pStyle w:val="Proposal"/>
        <w:numPr>
          <w:ilvl w:val="0"/>
          <w:numId w:val="78"/>
        </w:numPr>
        <w:tabs>
          <w:tab w:val="clear" w:pos="1304"/>
        </w:tabs>
        <w:spacing w:after="0"/>
        <w:ind w:left="1710" w:hanging="584"/>
      </w:pPr>
      <w:bookmarkStart w:id="1422" w:name="_Toc178961909"/>
      <w:r>
        <w:t>If a timing measurement is reported together with t</w:t>
      </w:r>
      <w:r w:rsidR="00C33243">
        <w:t>he LOS/NLOS indicator</w:t>
      </w:r>
      <w:r>
        <w:t>, the indicator</w:t>
      </w:r>
      <w:r w:rsidR="00C33243">
        <w:t xml:space="preserve"> status</w:t>
      </w:r>
      <w:r w:rsidR="005E6AD4">
        <w:t xml:space="preserve"> (for physical LOS/NLOS)</w:t>
      </w:r>
      <w:r w:rsidR="00C33243">
        <w:t xml:space="preserve"> is decoupled from the reported timing measurement</w:t>
      </w:r>
      <w:r w:rsidR="005E6AD4">
        <w:t xml:space="preserve"> (for virtual LOS)</w:t>
      </w:r>
      <w:bookmarkEnd w:id="1422"/>
    </w:p>
    <w:p w14:paraId="45D9B6C3" w14:textId="0F7B5AE4" w:rsidR="00547A62" w:rsidRPr="00F03D79" w:rsidRDefault="00471078" w:rsidP="00D35F36">
      <w:pPr>
        <w:pStyle w:val="Proposal"/>
        <w:numPr>
          <w:ilvl w:val="0"/>
          <w:numId w:val="78"/>
        </w:numPr>
        <w:tabs>
          <w:tab w:val="clear" w:pos="1304"/>
        </w:tabs>
        <w:spacing w:after="0"/>
        <w:ind w:left="1710" w:hanging="584"/>
      </w:pPr>
      <w:bookmarkStart w:id="1423" w:name="_Toc178961910"/>
      <w:r w:rsidRPr="004E7006">
        <w:t>Note: when the TRP-UE link is LOS, the virtual LOS coincides with the physical LOS.</w:t>
      </w:r>
      <w:bookmarkEnd w:id="1423"/>
      <w:r w:rsidRPr="00F03D79">
        <w:t xml:space="preserve"> </w:t>
      </w:r>
    </w:p>
    <w:p w14:paraId="5BEEF2B8" w14:textId="4123D3C1" w:rsidR="00C6142F" w:rsidRDefault="00C6142F" w:rsidP="00D35F36">
      <w:pPr>
        <w:pStyle w:val="Proposal"/>
        <w:numPr>
          <w:ilvl w:val="0"/>
          <w:numId w:val="78"/>
        </w:numPr>
        <w:tabs>
          <w:tab w:val="clear" w:pos="1304"/>
        </w:tabs>
        <w:spacing w:after="0"/>
        <w:ind w:left="1710" w:hanging="584"/>
      </w:pPr>
      <w:bookmarkStart w:id="1424" w:name="_Toc178961911"/>
      <w:r>
        <w:t xml:space="preserve">Details of the </w:t>
      </w:r>
      <w:r w:rsidR="00572DB9">
        <w:t xml:space="preserve">association with virtual LOS </w:t>
      </w:r>
      <w:r>
        <w:t>is up to RAN2/3</w:t>
      </w:r>
      <w:r w:rsidR="004B1F15">
        <w:t xml:space="preserve">, e.g. indication in measurement report, or </w:t>
      </w:r>
      <w:r w:rsidR="00572DB9">
        <w:t>configuration in measurement request.</w:t>
      </w:r>
      <w:bookmarkEnd w:id="1424"/>
      <w:r w:rsidR="00572DB9">
        <w:t xml:space="preserve"> </w:t>
      </w:r>
    </w:p>
    <w:p w14:paraId="7D03E93C" w14:textId="33091FFC" w:rsidR="0028316B" w:rsidRDefault="0028316B" w:rsidP="00D35F36">
      <w:pPr>
        <w:pStyle w:val="Proposal"/>
        <w:numPr>
          <w:ilvl w:val="0"/>
          <w:numId w:val="78"/>
        </w:numPr>
        <w:tabs>
          <w:tab w:val="clear" w:pos="1304"/>
        </w:tabs>
        <w:spacing w:after="0"/>
        <w:ind w:left="1710" w:hanging="584"/>
      </w:pPr>
      <w:bookmarkStart w:id="1425" w:name="_Toc178961912"/>
      <w:r>
        <w:t>Send an LS to RAN2/RAN3 with the final agreement.</w:t>
      </w:r>
      <w:bookmarkEnd w:id="1425"/>
      <w:r>
        <w:t xml:space="preserve"> </w:t>
      </w:r>
    </w:p>
    <w:p w14:paraId="744275A0" w14:textId="77777777" w:rsidR="004A0D64" w:rsidRPr="004A0D64" w:rsidRDefault="004A0D64" w:rsidP="004A0D64"/>
    <w:p w14:paraId="73D02508" w14:textId="65C6D849" w:rsidR="004A0D64" w:rsidRPr="00E215F0" w:rsidRDefault="004A0D64" w:rsidP="004A0D64">
      <w:pPr>
        <w:pStyle w:val="Heading3"/>
        <w:rPr>
          <w:lang w:val="en-US"/>
        </w:rPr>
      </w:pPr>
      <w:bookmarkStart w:id="1426" w:name="_Toc165991005"/>
      <w:bookmarkStart w:id="1427" w:name="_Toc178961668"/>
      <w:r w:rsidRPr="00E215F0">
        <w:rPr>
          <w:lang w:val="en-US"/>
        </w:rPr>
        <w:lastRenderedPageBreak/>
        <w:t>Timing info</w:t>
      </w:r>
      <w:r w:rsidR="00C62977">
        <w:rPr>
          <w:lang w:val="en-US"/>
        </w:rPr>
        <w:t>rmation</w:t>
      </w:r>
      <w:bookmarkEnd w:id="1426"/>
      <w:bookmarkEnd w:id="1427"/>
      <w:r w:rsidRPr="00E215F0">
        <w:rPr>
          <w:lang w:val="en-US"/>
        </w:rPr>
        <w:t xml:space="preserve"> </w:t>
      </w:r>
    </w:p>
    <w:p w14:paraId="2B05B527" w14:textId="5591C781" w:rsidR="00D22685" w:rsidRPr="00E215F0" w:rsidRDefault="00AE691B" w:rsidP="0077693D">
      <w:r w:rsidRPr="00E215F0">
        <w:t xml:space="preserve">For AI/ML assisted positioning, </w:t>
      </w:r>
      <w:r w:rsidR="006E2659">
        <w:t>RAN1 has agreed that</w:t>
      </w:r>
      <w:r w:rsidRPr="00E215F0">
        <w:t xml:space="preserve"> the reported timing information are </w:t>
      </w:r>
      <w:r w:rsidR="006E2659">
        <w:t xml:space="preserve">reported </w:t>
      </w:r>
      <w:r w:rsidRPr="00E215F0">
        <w:t>in the format of UL</w:t>
      </w:r>
      <w:r w:rsidR="00064338">
        <w:t>-</w:t>
      </w:r>
      <w:r w:rsidRPr="00E215F0">
        <w:t>RTOA, DL</w:t>
      </w:r>
      <w:r w:rsidR="005C6D6A">
        <w:t>-</w:t>
      </w:r>
      <w:r w:rsidR="00A115CB">
        <w:t>RSTD</w:t>
      </w:r>
      <w:r w:rsidRPr="00E215F0">
        <w:t>, gNB RxTxTimeDiff and UE RxTxTimeDiff.</w:t>
      </w:r>
      <w:r w:rsidR="006E2659">
        <w:t xml:space="preserve"> Thus</w:t>
      </w:r>
      <w:r w:rsidR="00E236E0">
        <w:t>,</w:t>
      </w:r>
      <w:r w:rsidR="006E2659">
        <w:t xml:space="preserve"> the </w:t>
      </w:r>
      <w:r w:rsidR="006E2659" w:rsidRPr="00E215F0">
        <w:t>existing measurement reporting in LPP and NRPPa</w:t>
      </w:r>
      <w:r w:rsidR="006E2659">
        <w:t xml:space="preserve"> can be easily reused.</w:t>
      </w:r>
    </w:p>
    <w:p w14:paraId="37474447" w14:textId="688A4368" w:rsidR="0077693D" w:rsidRPr="00E215F0" w:rsidRDefault="0077693D" w:rsidP="002938DE">
      <w:pPr>
        <w:pStyle w:val="Proposal"/>
      </w:pPr>
      <w:bookmarkStart w:id="1428" w:name="_Toc178961913"/>
      <w:r w:rsidRPr="00E215F0">
        <w:t xml:space="preserve">Reuse the existing measurement reporting in LPP and NRPPa to report </w:t>
      </w:r>
      <w:r w:rsidR="00AE691B" w:rsidRPr="00E215F0">
        <w:t xml:space="preserve">timing information for the </w:t>
      </w:r>
      <w:r w:rsidRPr="00E215F0">
        <w:t xml:space="preserve">model output </w:t>
      </w:r>
      <w:r w:rsidR="00AE691B" w:rsidRPr="00E215F0">
        <w:t>of</w:t>
      </w:r>
      <w:r w:rsidRPr="00E215F0">
        <w:t xml:space="preserve"> AI/ML assisted positioning.</w:t>
      </w:r>
      <w:bookmarkEnd w:id="1428"/>
    </w:p>
    <w:p w14:paraId="44426671" w14:textId="2C283630" w:rsidR="00C67F9B" w:rsidRPr="00E215F0" w:rsidRDefault="00395F44" w:rsidP="00C67F9B">
      <w:pPr>
        <w:rPr>
          <w:szCs w:val="18"/>
          <w:lang w:eastAsia="en-GB"/>
        </w:rPr>
      </w:pPr>
      <w:r>
        <w:rPr>
          <w:szCs w:val="18"/>
          <w:lang w:eastAsia="en-GB"/>
        </w:rPr>
        <w:t xml:space="preserve">For </w:t>
      </w:r>
      <w:r w:rsidR="00DA6EB4">
        <w:rPr>
          <w:szCs w:val="18"/>
          <w:lang w:eastAsia="en-GB"/>
        </w:rPr>
        <w:t>C</w:t>
      </w:r>
      <w:r>
        <w:rPr>
          <w:szCs w:val="18"/>
          <w:lang w:eastAsia="en-GB"/>
        </w:rPr>
        <w:t xml:space="preserve">ase 3a, </w:t>
      </w:r>
      <w:r w:rsidR="008C4472">
        <w:rPr>
          <w:szCs w:val="18"/>
          <w:lang w:eastAsia="en-GB"/>
        </w:rPr>
        <w:t>a</w:t>
      </w:r>
      <w:r w:rsidR="008C4472" w:rsidRPr="00E215F0">
        <w:rPr>
          <w:szCs w:val="18"/>
          <w:lang w:eastAsia="en-GB"/>
        </w:rPr>
        <w:t xml:space="preserve">fter </w:t>
      </w:r>
      <w:r w:rsidR="00C67F9B" w:rsidRPr="00E215F0">
        <w:rPr>
          <w:szCs w:val="18"/>
          <w:lang w:eastAsia="en-GB"/>
        </w:rPr>
        <w:t>model output</w:t>
      </w:r>
      <w:r w:rsidR="00C67F9B">
        <w:rPr>
          <w:szCs w:val="18"/>
          <w:lang w:eastAsia="en-GB"/>
        </w:rPr>
        <w:t xml:space="preserve"> (UL</w:t>
      </w:r>
      <w:r w:rsidR="00272BAF">
        <w:rPr>
          <w:szCs w:val="18"/>
          <w:lang w:eastAsia="en-GB"/>
        </w:rPr>
        <w:t>-</w:t>
      </w:r>
      <w:r w:rsidR="00C67F9B">
        <w:rPr>
          <w:szCs w:val="18"/>
          <w:lang w:eastAsia="en-GB"/>
        </w:rPr>
        <w:t>RTOA)</w:t>
      </w:r>
      <w:r w:rsidR="00C67F9B" w:rsidRPr="00E215F0">
        <w:rPr>
          <w:szCs w:val="18"/>
          <w:lang w:eastAsia="en-GB"/>
        </w:rPr>
        <w:t xml:space="preserve"> is generated, post processing can be applied to the model output to generate the timing information for measurement report, where the reported timing information can follow any desired format according to the associated legacy positioning method. </w:t>
      </w:r>
      <w:r w:rsidR="00C67F9B">
        <w:rPr>
          <w:szCs w:val="18"/>
          <w:lang w:eastAsia="en-GB"/>
        </w:rPr>
        <w:t xml:space="preserve">This is illustrated in </w:t>
      </w:r>
      <w:r w:rsidR="00F12DB7">
        <w:rPr>
          <w:szCs w:val="18"/>
          <w:lang w:eastAsia="en-GB"/>
        </w:rPr>
        <w:fldChar w:fldCharType="begin"/>
      </w:r>
      <w:r w:rsidR="00F12DB7">
        <w:rPr>
          <w:szCs w:val="18"/>
          <w:lang w:eastAsia="en-GB"/>
        </w:rPr>
        <w:instrText xml:space="preserve"> REF _Ref163145283 </w:instrText>
      </w:r>
      <w:r w:rsidR="00F12DB7">
        <w:rPr>
          <w:szCs w:val="18"/>
          <w:lang w:eastAsia="en-GB"/>
        </w:rPr>
        <w:fldChar w:fldCharType="separate"/>
      </w:r>
      <w:r w:rsidR="00850DA1" w:rsidRPr="00E215F0">
        <w:t xml:space="preserve">Figure </w:t>
      </w:r>
      <w:r w:rsidR="00850DA1">
        <w:rPr>
          <w:noProof/>
        </w:rPr>
        <w:t>21</w:t>
      </w:r>
      <w:r w:rsidR="00F12DB7">
        <w:rPr>
          <w:szCs w:val="18"/>
          <w:lang w:eastAsia="en-GB"/>
        </w:rPr>
        <w:fldChar w:fldCharType="end"/>
      </w:r>
      <w:r w:rsidR="00F12DB7">
        <w:rPr>
          <w:szCs w:val="18"/>
          <w:lang w:eastAsia="en-GB"/>
        </w:rPr>
        <w:t>.</w:t>
      </w:r>
    </w:p>
    <w:p w14:paraId="679592C4" w14:textId="77777777" w:rsidR="00F34471" w:rsidRDefault="00F34471" w:rsidP="008608FF"/>
    <w:p w14:paraId="5F9E2BA8" w14:textId="33E555CA" w:rsidR="00F34471" w:rsidRDefault="00C67F9B" w:rsidP="008608FF">
      <w:r>
        <w:rPr>
          <w:noProof/>
        </w:rPr>
        <w:drawing>
          <wp:inline distT="0" distB="0" distL="0" distR="0" wp14:anchorId="6097A828" wp14:editId="376F31CA">
            <wp:extent cx="5940482" cy="24798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52556" cy="2484868"/>
                    </a:xfrm>
                    <a:prstGeom prst="rect">
                      <a:avLst/>
                    </a:prstGeom>
                    <a:noFill/>
                  </pic:spPr>
                </pic:pic>
              </a:graphicData>
            </a:graphic>
          </wp:inline>
        </w:drawing>
      </w:r>
    </w:p>
    <w:p w14:paraId="3B430BDD" w14:textId="7865DF42" w:rsidR="00C67F9B" w:rsidRPr="00E215F0" w:rsidRDefault="00C67F9B" w:rsidP="00C67F9B">
      <w:pPr>
        <w:pStyle w:val="Caption"/>
        <w:rPr>
          <w:b w:val="0"/>
          <w:bCs/>
        </w:rPr>
      </w:pPr>
      <w:bookmarkStart w:id="1429" w:name="_Ref163145283"/>
      <w:bookmarkStart w:id="1430" w:name="_Ref178784889"/>
      <w:r w:rsidRPr="00E215F0">
        <w:t xml:space="preserve">Figure </w:t>
      </w:r>
      <w:r w:rsidR="00500110">
        <w:fldChar w:fldCharType="begin"/>
      </w:r>
      <w:r w:rsidR="00500110">
        <w:instrText xml:space="preserve"> SEQ Figure \* ARABIC </w:instrText>
      </w:r>
      <w:r w:rsidR="00500110">
        <w:fldChar w:fldCharType="separate"/>
      </w:r>
      <w:r w:rsidR="00850DA1">
        <w:rPr>
          <w:noProof/>
        </w:rPr>
        <w:t>21</w:t>
      </w:r>
      <w:r w:rsidR="00500110">
        <w:rPr>
          <w:noProof/>
        </w:rPr>
        <w:fldChar w:fldCharType="end"/>
      </w:r>
      <w:bookmarkEnd w:id="1429"/>
      <w:r w:rsidRPr="00E215F0">
        <w:t xml:space="preserve">. Illustration of </w:t>
      </w:r>
      <w:r>
        <w:t>postprocessing AI/ML assisted model output to provide measurements for reporting to LMF</w:t>
      </w:r>
      <w:r w:rsidRPr="00E215F0">
        <w:t>.</w:t>
      </w:r>
      <w:bookmarkEnd w:id="1430"/>
    </w:p>
    <w:p w14:paraId="45818957" w14:textId="77777777" w:rsidR="00F34471" w:rsidRDefault="00F34471" w:rsidP="008608FF"/>
    <w:p w14:paraId="1E1F1A05" w14:textId="5B88EE26" w:rsidR="008C4472" w:rsidRDefault="008C4472" w:rsidP="008608FF">
      <w:r>
        <w:t xml:space="preserve">As illustrated in </w:t>
      </w:r>
      <w:r>
        <w:fldChar w:fldCharType="begin"/>
      </w:r>
      <w:r>
        <w:instrText xml:space="preserve"> REF _Ref163145283 </w:instrText>
      </w:r>
      <w:r>
        <w:fldChar w:fldCharType="separate"/>
      </w:r>
      <w:r w:rsidR="00850DA1" w:rsidRPr="00E215F0">
        <w:t xml:space="preserve">Figure </w:t>
      </w:r>
      <w:r w:rsidR="00850DA1">
        <w:rPr>
          <w:noProof/>
        </w:rPr>
        <w:t>21</w:t>
      </w:r>
      <w:r>
        <w:fldChar w:fldCharType="end"/>
      </w:r>
      <w:r>
        <w:t xml:space="preserve">, </w:t>
      </w:r>
      <w:r w:rsidR="005365C8">
        <w:t xml:space="preserve">thanks to the postprocessing of model output, </w:t>
      </w:r>
      <w:r>
        <w:t>only one model need</w:t>
      </w:r>
      <w:r w:rsidR="005365C8">
        <w:t>s to be trained and maintained</w:t>
      </w:r>
      <w:r>
        <w:t xml:space="preserve"> for Case 3a</w:t>
      </w:r>
      <w:r w:rsidR="005365C8">
        <w:t>,</w:t>
      </w:r>
      <w:r>
        <w:t xml:space="preserve"> regardless of the TRP measurement result to report. This has several benefits compared to having different models for different measurement results (i.e., UL RTOA, gNB RxTxTimeDiff):</w:t>
      </w:r>
    </w:p>
    <w:p w14:paraId="45A67B70" w14:textId="3FCD32B8" w:rsidR="008C4472" w:rsidRDefault="008C4472" w:rsidP="00D35F36">
      <w:pPr>
        <w:pStyle w:val="ListParagraph"/>
        <w:numPr>
          <w:ilvl w:val="0"/>
          <w:numId w:val="78"/>
        </w:numPr>
        <w:tabs>
          <w:tab w:val="clear" w:pos="1304"/>
        </w:tabs>
        <w:ind w:left="900" w:hanging="540"/>
      </w:pPr>
      <w:r>
        <w:t>For all LCM stages including training data collection, model training and model monitoring, the complexity and overhead are much lower when only one model is needed instead of two;</w:t>
      </w:r>
    </w:p>
    <w:p w14:paraId="47A3CC5F" w14:textId="133273D9" w:rsidR="008C4472" w:rsidRDefault="008C4472" w:rsidP="00D35F36">
      <w:pPr>
        <w:pStyle w:val="ListParagraph"/>
        <w:numPr>
          <w:ilvl w:val="0"/>
          <w:numId w:val="78"/>
        </w:numPr>
        <w:tabs>
          <w:tab w:val="clear" w:pos="1304"/>
        </w:tabs>
        <w:ind w:left="900" w:hanging="540"/>
      </w:pPr>
      <w:r>
        <w:t xml:space="preserve">For model inference, </w:t>
      </w:r>
      <w:r w:rsidR="005365C8">
        <w:t>using one model instead of two saves chip area, memory requirement, cost, and power consumption.</w:t>
      </w:r>
    </w:p>
    <w:p w14:paraId="6BCA9940" w14:textId="676F14A4" w:rsidR="005365C8" w:rsidRDefault="005365C8" w:rsidP="00D35F36">
      <w:pPr>
        <w:pStyle w:val="ListParagraph"/>
        <w:numPr>
          <w:ilvl w:val="0"/>
          <w:numId w:val="78"/>
        </w:numPr>
        <w:tabs>
          <w:tab w:val="clear" w:pos="1304"/>
        </w:tabs>
        <w:ind w:left="900" w:hanging="540"/>
      </w:pPr>
      <w:r>
        <w:t>For model inference, the LMF can freely make a request for UL RTOA or gNB RxTxTimeDiff without considering that gNB may need an extra delay to switch models, if the gNB needs to activate a different model according to the measurement request.</w:t>
      </w:r>
    </w:p>
    <w:p w14:paraId="446E56F5" w14:textId="77777777" w:rsidR="00C51D7D" w:rsidRPr="00E215F0" w:rsidRDefault="00C51D7D" w:rsidP="008608FF"/>
    <w:p w14:paraId="653D21AA" w14:textId="498020A1" w:rsidR="00D355AC" w:rsidRPr="00E215F0" w:rsidRDefault="00D355AC" w:rsidP="008608FF">
      <w:r w:rsidRPr="00E215F0">
        <w:t>Based on the discussion above, the following are proposed.</w:t>
      </w:r>
    </w:p>
    <w:p w14:paraId="548DB0EC" w14:textId="457689B0" w:rsidR="00D355AC" w:rsidRPr="00E215F0" w:rsidRDefault="00D355AC" w:rsidP="002938DE">
      <w:pPr>
        <w:pStyle w:val="Proposal"/>
      </w:pPr>
      <w:bookmarkStart w:id="1431" w:name="_Toc178961914"/>
      <w:r w:rsidRPr="00E215F0">
        <w:t>For AI/ML assisted positioning at gNB (Case 3a), the model output is uplink relative time of arrival (</w:t>
      </w:r>
      <w:r w:rsidRPr="00E215F0">
        <w:rPr>
          <w:rFonts w:cs="Arial"/>
          <w:szCs w:val="18"/>
          <w:lang w:eastAsia="en-GB"/>
        </w:rPr>
        <w:t>T</w:t>
      </w:r>
      <w:r w:rsidRPr="00E215F0">
        <w:rPr>
          <w:rFonts w:cs="Arial"/>
          <w:szCs w:val="18"/>
          <w:vertAlign w:val="subscript"/>
          <w:lang w:eastAsia="en-GB"/>
        </w:rPr>
        <w:t>UL-RTOA</w:t>
      </w:r>
      <w:r w:rsidRPr="00E215F0">
        <w:t>).</w:t>
      </w:r>
      <w:bookmarkEnd w:id="1431"/>
    </w:p>
    <w:p w14:paraId="7C2A630B" w14:textId="027020CA" w:rsidR="00D355AC" w:rsidRPr="00E215F0" w:rsidRDefault="00D355AC" w:rsidP="002938DE">
      <w:pPr>
        <w:pStyle w:val="Proposal"/>
      </w:pPr>
      <w:bookmarkStart w:id="1432" w:name="_Toc178961915"/>
      <w:r w:rsidRPr="00E215F0">
        <w:t>For AI/ML assisted positioning at gNB (Case 3a), postprocessing is applied to generate gNB RxTxTimeDiff for measurement reporting of multi-RTT method.</w:t>
      </w:r>
      <w:bookmarkEnd w:id="1432"/>
    </w:p>
    <w:p w14:paraId="5001087A" w14:textId="3FBD2E65" w:rsidR="001143D3" w:rsidRPr="00A10A6F" w:rsidRDefault="0011022B" w:rsidP="00451CCD">
      <w:pPr>
        <w:pStyle w:val="Heading3"/>
      </w:pPr>
      <w:bookmarkStart w:id="1433" w:name="_Toc178705338"/>
      <w:bookmarkStart w:id="1434" w:name="_Toc178706240"/>
      <w:bookmarkStart w:id="1435" w:name="_Toc178709218"/>
      <w:bookmarkStart w:id="1436" w:name="_Toc178772940"/>
      <w:bookmarkStart w:id="1437" w:name="_Toc178929542"/>
      <w:bookmarkStart w:id="1438" w:name="_Toc178705339"/>
      <w:bookmarkStart w:id="1439" w:name="_Toc178706241"/>
      <w:bookmarkStart w:id="1440" w:name="_Toc178709219"/>
      <w:bookmarkStart w:id="1441" w:name="_Toc178772941"/>
      <w:bookmarkStart w:id="1442" w:name="_Toc178929543"/>
      <w:bookmarkStart w:id="1443" w:name="_Toc165991006"/>
      <w:bookmarkStart w:id="1444" w:name="_Toc178961669"/>
      <w:bookmarkEnd w:id="1433"/>
      <w:bookmarkEnd w:id="1434"/>
      <w:bookmarkEnd w:id="1435"/>
      <w:bookmarkEnd w:id="1436"/>
      <w:bookmarkEnd w:id="1437"/>
      <w:bookmarkEnd w:id="1438"/>
      <w:bookmarkEnd w:id="1439"/>
      <w:bookmarkEnd w:id="1440"/>
      <w:bookmarkEnd w:id="1441"/>
      <w:bookmarkEnd w:id="1442"/>
      <w:r w:rsidRPr="00A10A6F">
        <w:lastRenderedPageBreak/>
        <w:t>On the need of</w:t>
      </w:r>
      <w:r w:rsidR="001143D3" w:rsidRPr="00A10A6F">
        <w:t xml:space="preserve"> multipath </w:t>
      </w:r>
      <w:r w:rsidR="008A1E0E">
        <w:t xml:space="preserve">timing/power </w:t>
      </w:r>
      <w:r w:rsidR="001143D3" w:rsidRPr="00A10A6F">
        <w:t xml:space="preserve">reporting for </w:t>
      </w:r>
      <w:r w:rsidR="00CE4871">
        <w:t>C</w:t>
      </w:r>
      <w:r w:rsidR="00CE4871" w:rsidRPr="00A10A6F">
        <w:t xml:space="preserve">ase </w:t>
      </w:r>
      <w:r w:rsidR="001143D3" w:rsidRPr="00A10A6F">
        <w:t>3a</w:t>
      </w:r>
      <w:bookmarkEnd w:id="1444"/>
      <w:r w:rsidR="00E20E61" w:rsidRPr="00A10A6F">
        <w:t xml:space="preserve"> </w:t>
      </w:r>
      <w:bookmarkEnd w:id="1443"/>
      <w:r w:rsidR="008A1E0E">
        <w:t xml:space="preserve"> </w:t>
      </w:r>
    </w:p>
    <w:p w14:paraId="218902D4" w14:textId="22D00DEA" w:rsidR="00232217" w:rsidRDefault="00232217" w:rsidP="0011022B">
      <w:r>
        <w:t xml:space="preserve">Rel16-18 legacy positioning methods support multipath reporting for time-based methods. The rational is that the </w:t>
      </w:r>
      <w:r w:rsidR="00E000B7">
        <w:t xml:space="preserve">paths detected by the UE and gNB are not </w:t>
      </w:r>
      <w:r w:rsidR="006E56CF">
        <w:t>corresponding</w:t>
      </w:r>
      <w:r w:rsidR="00DA1B0F">
        <w:t xml:space="preserve"> to the true channel propagation, and that inter-path interference exists in each detected path. </w:t>
      </w:r>
      <w:r w:rsidR="003A560C">
        <w:t xml:space="preserve">By getting additional information to the LMF, it is possible to at least mitigate the contribution from each path, and also assess the LOS state of the </w:t>
      </w:r>
      <w:r w:rsidR="00FE2555">
        <w:t xml:space="preserve">link. </w:t>
      </w:r>
    </w:p>
    <w:p w14:paraId="5D0D47C8" w14:textId="58FAD933" w:rsidR="00FE2555" w:rsidRDefault="00FE2555" w:rsidP="0011022B">
      <w:r>
        <w:t>In AI</w:t>
      </w:r>
      <w:r w:rsidR="00703205">
        <w:t>/</w:t>
      </w:r>
      <w:r>
        <w:t xml:space="preserve">ML assisted positioning, the UE and gNB models will </w:t>
      </w:r>
      <w:r w:rsidR="008D5B72">
        <w:t xml:space="preserve">have the possibility to </w:t>
      </w:r>
      <w:r w:rsidR="000D41C7">
        <w:t>detect the ideal time of arrival of the reference signal, i.e. the time-of-flight between the UE and TRP</w:t>
      </w:r>
      <w:r w:rsidR="007D3698">
        <w:t xml:space="preserve">. Model training labels </w:t>
      </w:r>
      <w:r w:rsidR="00365D01">
        <w:t>are based on</w:t>
      </w:r>
      <w:r w:rsidR="007D3698">
        <w:t xml:space="preserve"> precise coordinates for each training point</w:t>
      </w:r>
      <w:r w:rsidR="005A73F3">
        <w:t xml:space="preserve">. </w:t>
      </w:r>
      <w:r w:rsidR="005A73F3" w:rsidRPr="004157FD">
        <w:t>Under such condition, multipath reporting is not useful</w:t>
      </w:r>
      <w:r w:rsidR="00682ABB" w:rsidRPr="004157FD">
        <w:t xml:space="preserve"> and instead may even provide more error sources.</w:t>
      </w:r>
      <w:r w:rsidR="00682ABB">
        <w:t xml:space="preserve"> </w:t>
      </w:r>
      <w:r w:rsidR="00365D01">
        <w:t>In fact, the AI/ML model is trained to derive timing information on the virtual LoS path (i.e., a single direct path between transmitter and receiver) by digesting measurements that contain the multipath information.</w:t>
      </w:r>
      <w:r w:rsidR="00682ABB" w:rsidRPr="004157FD">
        <w:t xml:space="preserve"> </w:t>
      </w:r>
      <w:r w:rsidR="00365D01">
        <w:t xml:space="preserve">Indeed, no evaluations on AI/ML assisted in Rel-18 SI generated measurements for multiple paths as model output. </w:t>
      </w:r>
      <w:r w:rsidR="00682ABB" w:rsidRPr="004157FD">
        <w:t>Hence</w:t>
      </w:r>
      <w:r w:rsidR="004A3682" w:rsidRPr="004157FD">
        <w:t>,</w:t>
      </w:r>
      <w:r w:rsidR="00682ABB" w:rsidRPr="004157FD">
        <w:t xml:space="preserve"> we think that single path reporting</w:t>
      </w:r>
      <w:r w:rsidR="00943ACA" w:rsidRPr="004157FD">
        <w:t xml:space="preserve"> </w:t>
      </w:r>
      <w:r w:rsidR="00365D01">
        <w:t xml:space="preserve">is sufficient </w:t>
      </w:r>
      <w:r w:rsidR="00943ACA" w:rsidRPr="004157FD">
        <w:t>for AI</w:t>
      </w:r>
      <w:r w:rsidR="00365D01">
        <w:t xml:space="preserve">/ML </w:t>
      </w:r>
      <w:r w:rsidR="00943ACA" w:rsidRPr="004157FD">
        <w:t xml:space="preserve">assisted positioning (case 3a and 2a). </w:t>
      </w:r>
      <w:r w:rsidR="00C736AF">
        <w:t xml:space="preserve">however, additional path requests are under control of the network within the measurement requests using </w:t>
      </w:r>
      <w:r w:rsidR="00160174">
        <w:t xml:space="preserve">the </w:t>
      </w:r>
      <w:r w:rsidR="00160174">
        <w:rPr>
          <w:rFonts w:ascii="Courier New" w:eastAsia="MS Mincho" w:hAnsi="Courier New" w:cs="Courier New"/>
          <w:color w:val="000000"/>
          <w:sz w:val="16"/>
          <w:szCs w:val="16"/>
          <w:lang w:eastAsia="en-GB"/>
        </w:rPr>
        <w:t>additionalPaths</w:t>
      </w:r>
      <w:r w:rsidR="00160174">
        <w:t xml:space="preserve"> </w:t>
      </w:r>
      <w:r w:rsidR="004A3682">
        <w:t>f</w:t>
      </w:r>
      <w:r w:rsidR="00160174">
        <w:t>ields</w:t>
      </w:r>
      <w:r w:rsidR="00A97208">
        <w:t xml:space="preserve"> in the measurement requests</w:t>
      </w:r>
      <w:r w:rsidR="00D96895">
        <w:t xml:space="preserve"> in LPP measurement request to the UE or </w:t>
      </w:r>
      <w:r w:rsidR="00AF0AD8">
        <w:t xml:space="preserve">the </w:t>
      </w:r>
      <w:r w:rsidR="00DA6EB4">
        <w:t>“</w:t>
      </w:r>
      <w:r w:rsidR="00E01D81" w:rsidRPr="00E01D81">
        <w:t>Extended Additional Path List</w:t>
      </w:r>
      <w:r w:rsidR="00DA6EB4">
        <w:t>”</w:t>
      </w:r>
      <w:r w:rsidR="00AF0AD8">
        <w:t xml:space="preserve"> request in NRPPa</w:t>
      </w:r>
      <w:r w:rsidR="00160174">
        <w:t>. S</w:t>
      </w:r>
      <w:r w:rsidR="006B37A4" w:rsidRPr="004157FD">
        <w:t xml:space="preserve">imilarly, the first </w:t>
      </w:r>
      <w:r w:rsidR="00365D01">
        <w:t xml:space="preserve">physical </w:t>
      </w:r>
      <w:r w:rsidR="006B37A4" w:rsidRPr="004157FD">
        <w:t xml:space="preserve">path RSRPP may not be the most significant metric, since the model may be able to detect </w:t>
      </w:r>
      <w:r w:rsidR="00713BE2" w:rsidRPr="004157FD">
        <w:t xml:space="preserve">a heavily obstructed </w:t>
      </w:r>
      <w:r w:rsidR="008E459A" w:rsidRPr="004157FD">
        <w:t>first path</w:t>
      </w:r>
      <w:r w:rsidR="00E07945" w:rsidRPr="004157FD">
        <w:t>.</w:t>
      </w:r>
    </w:p>
    <w:p w14:paraId="16CC3E7F" w14:textId="77777777" w:rsidR="0022023A" w:rsidRDefault="0022023A" w:rsidP="0011022B"/>
    <w:p w14:paraId="45582029" w14:textId="3E70CA6B" w:rsidR="0022023A" w:rsidRPr="001D7FEB" w:rsidRDefault="00D66FE0" w:rsidP="002938DE">
      <w:pPr>
        <w:pStyle w:val="Observation"/>
        <w:rPr>
          <w:lang w:val="en-GB"/>
        </w:rPr>
      </w:pPr>
      <w:bookmarkStart w:id="1445" w:name="_Toc178961873"/>
      <w:r>
        <w:rPr>
          <w:lang w:val="en-GB"/>
        </w:rPr>
        <w:t xml:space="preserve">For </w:t>
      </w:r>
      <w:r w:rsidR="00E529C7">
        <w:rPr>
          <w:lang w:val="en-GB"/>
        </w:rPr>
        <w:t xml:space="preserve">Case </w:t>
      </w:r>
      <w:r>
        <w:rPr>
          <w:lang w:val="en-GB"/>
        </w:rPr>
        <w:t>2a/3a f</w:t>
      </w:r>
      <w:r w:rsidR="001D7FEB" w:rsidRPr="001D7FEB">
        <w:rPr>
          <w:lang w:val="en-GB"/>
        </w:rPr>
        <w:t xml:space="preserve">irst </w:t>
      </w:r>
      <w:r w:rsidR="00E529C7">
        <w:rPr>
          <w:lang w:val="en-GB"/>
        </w:rPr>
        <w:t xml:space="preserve">physical </w:t>
      </w:r>
      <w:r w:rsidR="001D7FEB" w:rsidRPr="001D7FEB">
        <w:rPr>
          <w:lang w:val="en-GB"/>
        </w:rPr>
        <w:t>path RSRPP</w:t>
      </w:r>
      <w:r>
        <w:rPr>
          <w:lang w:val="en-GB"/>
        </w:rPr>
        <w:t xml:space="preserve"> is not a</w:t>
      </w:r>
      <w:r w:rsidR="00E529C7">
        <w:rPr>
          <w:lang w:val="en-GB"/>
        </w:rPr>
        <w:t>n</w:t>
      </w:r>
      <w:r>
        <w:rPr>
          <w:lang w:val="en-GB"/>
        </w:rPr>
        <w:t xml:space="preserve"> </w:t>
      </w:r>
      <w:r w:rsidR="00E529C7">
        <w:rPr>
          <w:lang w:val="en-GB"/>
        </w:rPr>
        <w:t xml:space="preserve">indication </w:t>
      </w:r>
      <w:r>
        <w:rPr>
          <w:lang w:val="en-GB"/>
        </w:rPr>
        <w:t>of</w:t>
      </w:r>
      <w:r w:rsidR="00E529C7">
        <w:rPr>
          <w:lang w:val="en-GB"/>
        </w:rPr>
        <w:t xml:space="preserve"> quality/reliability for AI/ML generated</w:t>
      </w:r>
      <w:r>
        <w:rPr>
          <w:lang w:val="en-GB"/>
        </w:rPr>
        <w:t xml:space="preserve"> measurement</w:t>
      </w:r>
      <w:r w:rsidR="001D7FEB" w:rsidRPr="001D7FEB">
        <w:rPr>
          <w:lang w:val="en-GB"/>
        </w:rPr>
        <w:t xml:space="preserve">, since the model may be able to </w:t>
      </w:r>
      <w:r w:rsidR="00E529C7">
        <w:rPr>
          <w:lang w:val="en-GB"/>
        </w:rPr>
        <w:t xml:space="preserve">obtain accurate timing information even if the direct physical path is </w:t>
      </w:r>
      <w:r w:rsidR="001D7FEB" w:rsidRPr="001D7FEB">
        <w:rPr>
          <w:lang w:val="en-GB"/>
        </w:rPr>
        <w:t>heavily obstructed.</w:t>
      </w:r>
      <w:bookmarkEnd w:id="1445"/>
    </w:p>
    <w:p w14:paraId="289493B0" w14:textId="43A3306D" w:rsidR="0011022B" w:rsidRDefault="00ED2028" w:rsidP="0011022B">
      <w:r>
        <w:t>As discussed,</w:t>
      </w:r>
      <w:r w:rsidR="0011022B">
        <w:t xml:space="preserve"> the </w:t>
      </w:r>
      <w:r>
        <w:t>model of</w:t>
      </w:r>
      <w:r w:rsidR="0011022B">
        <w:t xml:space="preserve"> </w:t>
      </w:r>
      <w:r>
        <w:t xml:space="preserve">AI/ML assisted approach (gNB-side or UE-side) takes </w:t>
      </w:r>
      <w:r w:rsidR="002F2F4E">
        <w:t>multipath</w:t>
      </w:r>
      <w:r>
        <w:t xml:space="preserve"> information as model input (PDP/DP)</w:t>
      </w:r>
      <w:r w:rsidR="002F2F4E">
        <w:t xml:space="preserve">, </w:t>
      </w:r>
      <w:r>
        <w:t>while</w:t>
      </w:r>
      <w:r w:rsidR="002F2F4E">
        <w:t xml:space="preserve"> the model </w:t>
      </w:r>
      <w:r>
        <w:t>output is</w:t>
      </w:r>
      <w:r w:rsidR="002F2F4E">
        <w:t xml:space="preserve"> </w:t>
      </w:r>
      <w:r>
        <w:t>timing information for</w:t>
      </w:r>
      <w:r w:rsidR="002F2F4E">
        <w:t xml:space="preserve"> the “best” LOS first path</w:t>
      </w:r>
      <w:r>
        <w:t xml:space="preserve"> (i.e., the virtual LoS path) only</w:t>
      </w:r>
      <w:r w:rsidR="002F2F4E">
        <w:t>.</w:t>
      </w:r>
      <w:r>
        <w:t xml:space="preserve"> Thus, there is no need to include "additional path" in measurement reports to LMF. For measurements in "first path" IE, there is no need to include RSRPP (UL SRS-RSRPP or DL PRS-RSRPP). Only timing information needs to be reported in</w:t>
      </w:r>
      <w:r w:rsidR="006F2115">
        <w:t xml:space="preserve"> "first path" IE.</w:t>
      </w:r>
      <w:r>
        <w:t xml:space="preserve"> </w:t>
      </w:r>
      <w:r w:rsidR="006F2115">
        <w:t>Therefore</w:t>
      </w:r>
      <w:r w:rsidR="002F2F4E">
        <w:t xml:space="preserve">, power information </w:t>
      </w:r>
      <w:r w:rsidR="00A130EB">
        <w:t>can be limited to RSRP</w:t>
      </w:r>
      <w:r w:rsidR="006F2115">
        <w:t xml:space="preserve"> (Optional)</w:t>
      </w:r>
      <w:r w:rsidR="00A130EB">
        <w:t xml:space="preserve">, </w:t>
      </w:r>
      <w:r>
        <w:t>which is</w:t>
      </w:r>
      <w:r w:rsidR="00A130EB">
        <w:t xml:space="preserve"> computed separately from </w:t>
      </w:r>
      <w:r w:rsidR="00E20E61">
        <w:t xml:space="preserve">the AI model, and is thus not part of model output. </w:t>
      </w:r>
    </w:p>
    <w:p w14:paraId="3388A043" w14:textId="1E02B8DA" w:rsidR="00386371" w:rsidRDefault="00386371" w:rsidP="00E07945">
      <w:r>
        <w:t>Considering the updated WID with guidance to focus on first priority use case, our proposals are as follow</w:t>
      </w:r>
      <w:r w:rsidR="00E1597D">
        <w:t>s</w:t>
      </w:r>
      <w:r>
        <w:t>:</w:t>
      </w:r>
    </w:p>
    <w:p w14:paraId="12E3BC37" w14:textId="2817C90C" w:rsidR="00E07945" w:rsidRDefault="00E20E61" w:rsidP="00E07945">
      <w:r>
        <w:t xml:space="preserve"> </w:t>
      </w:r>
      <w:r w:rsidR="0089722F">
        <w:t xml:space="preserve"> </w:t>
      </w:r>
    </w:p>
    <w:p w14:paraId="03E955AD" w14:textId="33944F0E" w:rsidR="006F2115" w:rsidRPr="002938DE" w:rsidRDefault="00930671" w:rsidP="002938DE">
      <w:pPr>
        <w:pStyle w:val="Proposal"/>
      </w:pPr>
      <w:bookmarkStart w:id="1446" w:name="_Toc173851174"/>
      <w:bookmarkStart w:id="1447" w:name="_Toc173940926"/>
      <w:bookmarkStart w:id="1448" w:name="_Toc178961916"/>
      <w:bookmarkEnd w:id="1446"/>
      <w:bookmarkEnd w:id="1447"/>
      <w:r>
        <w:t xml:space="preserve">(for conclusion) </w:t>
      </w:r>
      <w:r w:rsidR="00E07945" w:rsidRPr="00E215F0">
        <w:t xml:space="preserve">For AI/ML assisted positioning at gNB </w:t>
      </w:r>
      <w:r w:rsidR="006F2115">
        <w:t>(Case 3a)</w:t>
      </w:r>
      <w:r w:rsidR="00E05D62">
        <w:t>,</w:t>
      </w:r>
      <w:r w:rsidR="00E07945">
        <w:t xml:space="preserve"> </w:t>
      </w:r>
      <w:r w:rsidR="009937B2">
        <w:t>the gNB is not expected to report</w:t>
      </w:r>
      <w:r w:rsidR="00500B25">
        <w:t xml:space="preserve"> </w:t>
      </w:r>
      <w:r w:rsidR="005776E3">
        <w:t>additional paths for AI</w:t>
      </w:r>
      <w:r w:rsidR="00E1597D">
        <w:t>/</w:t>
      </w:r>
      <w:r w:rsidR="005776E3">
        <w:t xml:space="preserve">ML based </w:t>
      </w:r>
      <w:r w:rsidR="00E07945">
        <w:t>measurement report</w:t>
      </w:r>
      <w:r w:rsidR="00297F0B">
        <w:t xml:space="preserve"> enhancements</w:t>
      </w:r>
      <w:r w:rsidR="00667F6C">
        <w:t xml:space="preserve">. </w:t>
      </w:r>
      <w:r w:rsidR="00065325">
        <w:br/>
      </w:r>
      <w:r w:rsidR="00297F0B" w:rsidRPr="002938DE">
        <w:t xml:space="preserve">Note: the network </w:t>
      </w:r>
      <w:r w:rsidR="00885B9A" w:rsidRPr="002938DE">
        <w:t xml:space="preserve">can </w:t>
      </w:r>
      <w:r w:rsidR="009E5598">
        <w:t xml:space="preserve">simply </w:t>
      </w:r>
      <w:r w:rsidR="00885B9A" w:rsidRPr="002938DE">
        <w:t>omit</w:t>
      </w:r>
      <w:r w:rsidR="00055D80">
        <w:t xml:space="preserve"> </w:t>
      </w:r>
      <w:r w:rsidR="002345EB">
        <w:t>the optional field for</w:t>
      </w:r>
      <w:r w:rsidR="00297F0B" w:rsidRPr="002938DE">
        <w:t xml:space="preserve"> additional path</w:t>
      </w:r>
      <w:r w:rsidR="009E5598">
        <w:t>s</w:t>
      </w:r>
      <w:r w:rsidR="00574487" w:rsidRPr="002938DE">
        <w:t xml:space="preserve">. </w:t>
      </w:r>
      <w:r w:rsidR="005E6AD4">
        <w:t>It is not necessary to make</w:t>
      </w:r>
      <w:r w:rsidR="00320C3D">
        <w:t xml:space="preserve"> </w:t>
      </w:r>
      <w:r w:rsidR="005E6AD4">
        <w:t xml:space="preserve">specification </w:t>
      </w:r>
      <w:r w:rsidR="00320C3D">
        <w:t>changes to the measurement report IE.</w:t>
      </w:r>
      <w:bookmarkEnd w:id="1448"/>
      <w:r w:rsidR="00320C3D">
        <w:t xml:space="preserve"> </w:t>
      </w:r>
    </w:p>
    <w:p w14:paraId="45B855CF" w14:textId="3E302680" w:rsidR="00E07945" w:rsidRDefault="006F2115" w:rsidP="002938DE">
      <w:pPr>
        <w:pStyle w:val="Proposal"/>
      </w:pPr>
      <w:bookmarkStart w:id="1449" w:name="_Toc178961917"/>
      <w:r w:rsidRPr="00E215F0">
        <w:t xml:space="preserve">For AI/ML assisted positioning at gNB </w:t>
      </w:r>
      <w:r>
        <w:t>(Case 3a)</w:t>
      </w:r>
      <w:r w:rsidR="007971BB">
        <w:t>,</w:t>
      </w:r>
      <w:r w:rsidR="00666AA2">
        <w:t xml:space="preserve"> </w:t>
      </w:r>
      <w:r w:rsidR="00074CE9">
        <w:t xml:space="preserve">power is </w:t>
      </w:r>
      <w:r>
        <w:t xml:space="preserve">optionally </w:t>
      </w:r>
      <w:r w:rsidR="00074CE9">
        <w:t xml:space="preserve">reported </w:t>
      </w:r>
      <w:r>
        <w:t xml:space="preserve">using </w:t>
      </w:r>
      <w:r w:rsidR="00BF446D">
        <w:t>UL SRS RSRP</w:t>
      </w:r>
      <w:r w:rsidR="00B13B19">
        <w:t xml:space="preserve"> </w:t>
      </w:r>
      <w:r w:rsidR="0022023A">
        <w:t>(</w:t>
      </w:r>
      <w:r w:rsidR="00BF446D">
        <w:t xml:space="preserve">Case </w:t>
      </w:r>
      <w:r w:rsidR="00B13B19">
        <w:t>3</w:t>
      </w:r>
      <w:r w:rsidR="0022023A">
        <w:t>a)</w:t>
      </w:r>
      <w:r w:rsidR="00BA6ADA">
        <w:t xml:space="preserve">. </w:t>
      </w:r>
      <w:r w:rsidR="00476C30">
        <w:t xml:space="preserve">The gNB is not expected to report </w:t>
      </w:r>
      <w:r>
        <w:t>per-path power.</w:t>
      </w:r>
      <w:bookmarkEnd w:id="1449"/>
    </w:p>
    <w:p w14:paraId="79C82E65" w14:textId="3B8B9D34" w:rsidR="00B6548D" w:rsidRPr="005600D8" w:rsidRDefault="00B6548D" w:rsidP="0089722F">
      <w:pPr>
        <w:rPr>
          <w:highlight w:val="yellow"/>
        </w:rPr>
      </w:pPr>
    </w:p>
    <w:p w14:paraId="779669C6" w14:textId="081F6E10" w:rsidR="00723C89" w:rsidRPr="00194B5B" w:rsidRDefault="00F34C4A" w:rsidP="00723C89">
      <w:pPr>
        <w:pStyle w:val="Heading2"/>
        <w:rPr>
          <w:lang w:val="en-US"/>
        </w:rPr>
      </w:pPr>
      <w:bookmarkStart w:id="1450" w:name="_Toc165991007"/>
      <w:bookmarkStart w:id="1451" w:name="_Toc178961670"/>
      <w:r>
        <w:rPr>
          <w:lang w:val="en-US"/>
        </w:rPr>
        <w:t>I</w:t>
      </w:r>
      <w:r w:rsidRPr="00194B5B">
        <w:rPr>
          <w:lang w:val="en-US"/>
        </w:rPr>
        <w:t xml:space="preserve">ndication </w:t>
      </w:r>
      <w:r>
        <w:rPr>
          <w:lang w:val="en-US"/>
        </w:rPr>
        <w:t xml:space="preserve">of </w:t>
      </w:r>
      <w:r w:rsidR="008130C1" w:rsidRPr="00194B5B">
        <w:rPr>
          <w:lang w:val="en-US"/>
        </w:rPr>
        <w:t>AI</w:t>
      </w:r>
      <w:r>
        <w:rPr>
          <w:lang w:val="en-US"/>
        </w:rPr>
        <w:t>/</w:t>
      </w:r>
      <w:r w:rsidR="008130C1" w:rsidRPr="00194B5B">
        <w:rPr>
          <w:lang w:val="en-US"/>
        </w:rPr>
        <w:t xml:space="preserve">ML assistance in </w:t>
      </w:r>
      <w:r>
        <w:rPr>
          <w:lang w:val="en-US"/>
        </w:rPr>
        <w:t xml:space="preserve">generating </w:t>
      </w:r>
      <w:r w:rsidR="008130C1" w:rsidRPr="00194B5B">
        <w:rPr>
          <w:lang w:val="en-US"/>
        </w:rPr>
        <w:t>measurement reports</w:t>
      </w:r>
      <w:bookmarkEnd w:id="1450"/>
      <w:bookmarkEnd w:id="1451"/>
    </w:p>
    <w:p w14:paraId="2FF8D1D0" w14:textId="4DB02E3C" w:rsidR="00723C89" w:rsidRDefault="008130C1" w:rsidP="00723C89">
      <w:r>
        <w:t xml:space="preserve">Based on the previous section, it is clear that there is a need to differentiate measurements </w:t>
      </w:r>
      <w:r w:rsidR="00FC3247">
        <w:t xml:space="preserve">generated </w:t>
      </w:r>
      <w:r w:rsidR="003C172F">
        <w:t>with AI</w:t>
      </w:r>
      <w:r w:rsidR="009E5598">
        <w:t>/</w:t>
      </w:r>
      <w:r w:rsidR="003C172F">
        <w:t xml:space="preserve">ML model assistance from legacy measurements, since the actual interpretation of the </w:t>
      </w:r>
      <w:r w:rsidR="006C0D8A">
        <w:t xml:space="preserve">timing </w:t>
      </w:r>
      <w:r w:rsidR="003C172F">
        <w:t>measurement differ</w:t>
      </w:r>
      <w:r w:rsidR="00A80EE4">
        <w:t>s</w:t>
      </w:r>
      <w:r w:rsidR="003C172F">
        <w:t xml:space="preserve">. </w:t>
      </w:r>
    </w:p>
    <w:p w14:paraId="7795D819" w14:textId="28537CCB" w:rsidR="00723C89" w:rsidRDefault="00723C89" w:rsidP="00723C89">
      <w:r>
        <w:t xml:space="preserve">To identify the meaning of the </w:t>
      </w:r>
      <w:r w:rsidR="006C0D8A">
        <w:t>timing information sent to LMF</w:t>
      </w:r>
      <w:r>
        <w:t>, and more generally what part of the UE/gNB report is produced with assistance from the AI/ML model, we see three possible option</w:t>
      </w:r>
      <w:r w:rsidR="00A80EE4">
        <w:t>s</w:t>
      </w:r>
      <w:r>
        <w:t>:</w:t>
      </w:r>
    </w:p>
    <w:p w14:paraId="4A90387C" w14:textId="25E75123" w:rsidR="00723C89" w:rsidRPr="00194B5B" w:rsidRDefault="00723C89" w:rsidP="00723C89">
      <w:pPr>
        <w:pStyle w:val="ListParagraph"/>
        <w:numPr>
          <w:ilvl w:val="0"/>
          <w:numId w:val="14"/>
        </w:numPr>
      </w:pPr>
      <w:r w:rsidRPr="00194B5B">
        <w:t>Option 1: A new report message specific to AI</w:t>
      </w:r>
      <w:r w:rsidR="00463D73">
        <w:t>/</w:t>
      </w:r>
      <w:r w:rsidRPr="00194B5B">
        <w:t>ML assisted positioning cases 3a/2a</w:t>
      </w:r>
    </w:p>
    <w:p w14:paraId="19D3BB33" w14:textId="362079F1" w:rsidR="00723C89" w:rsidRPr="00194B5B" w:rsidRDefault="00723C89" w:rsidP="00723C89">
      <w:pPr>
        <w:pStyle w:val="ListParagraph"/>
        <w:numPr>
          <w:ilvl w:val="0"/>
          <w:numId w:val="14"/>
        </w:numPr>
      </w:pPr>
      <w:r w:rsidRPr="00194B5B">
        <w:t>Option 2: an indicator in the existing report, indicating that the report was produced using AI</w:t>
      </w:r>
      <w:r w:rsidR="00463D73">
        <w:t>/</w:t>
      </w:r>
      <w:r w:rsidRPr="00194B5B">
        <w:t>ML assistance.</w:t>
      </w:r>
    </w:p>
    <w:p w14:paraId="6AC1584F" w14:textId="16F2DE4E" w:rsidR="00723C89" w:rsidRPr="00194B5B" w:rsidRDefault="00723C89" w:rsidP="00723C89">
      <w:pPr>
        <w:pStyle w:val="ListParagraph"/>
        <w:numPr>
          <w:ilvl w:val="0"/>
          <w:numId w:val="14"/>
        </w:numPr>
      </w:pPr>
      <w:r w:rsidRPr="00194B5B">
        <w:t>Option 3: an indicator is attached to the elements of the reports where AI</w:t>
      </w:r>
      <w:r w:rsidR="00463D73">
        <w:t>/</w:t>
      </w:r>
      <w:r w:rsidRPr="00194B5B">
        <w:t>ML was used</w:t>
      </w:r>
      <w:r w:rsidR="00463D73">
        <w:t xml:space="preserve"> to generate it</w:t>
      </w:r>
      <w:r w:rsidRPr="00194B5B">
        <w:t xml:space="preserve">. </w:t>
      </w:r>
    </w:p>
    <w:p w14:paraId="073C9677" w14:textId="0D48F185" w:rsidR="00752EDB" w:rsidRDefault="00723C89" w:rsidP="00723C89">
      <w:r>
        <w:t xml:space="preserve">All options could be discussed by </w:t>
      </w:r>
      <w:r w:rsidR="006355C8">
        <w:t>RAN3/</w:t>
      </w:r>
      <w:r>
        <w:t xml:space="preserve">RAN2 in terms of signaling optimization, but RAN1 is responsible for answering whether the LMF needs to know exactly what part of the report was using AIML.  In our understanding, </w:t>
      </w:r>
      <w:r w:rsidR="006355C8">
        <w:t xml:space="preserve">Case </w:t>
      </w:r>
      <w:r>
        <w:t xml:space="preserve">3a and </w:t>
      </w:r>
      <w:r w:rsidR="006355C8">
        <w:t xml:space="preserve">Case </w:t>
      </w:r>
      <w:r>
        <w:lastRenderedPageBreak/>
        <w:t xml:space="preserve">2a measurement reports will consist of measurements only produced by </w:t>
      </w:r>
      <w:r w:rsidR="004E3309">
        <w:t>AI</w:t>
      </w:r>
      <w:r w:rsidR="00B065E1">
        <w:t>/</w:t>
      </w:r>
      <w:r w:rsidR="004E3309">
        <w:t>ML</w:t>
      </w:r>
      <w:r w:rsidR="00116C20">
        <w:t>. For example, line of sight indication</w:t>
      </w:r>
      <w:r w:rsidR="008616F4">
        <w:t>,</w:t>
      </w:r>
      <w:r w:rsidR="00116C20">
        <w:t xml:space="preserve"> UL-RTOA</w:t>
      </w:r>
      <w:r w:rsidR="00FF1549">
        <w:t>,</w:t>
      </w:r>
      <w:r w:rsidR="002773B7">
        <w:t xml:space="preserve"> </w:t>
      </w:r>
      <w:r w:rsidR="00FF1549">
        <w:t>DL</w:t>
      </w:r>
      <w:r w:rsidR="002773B7">
        <w:t xml:space="preserve"> RSTD</w:t>
      </w:r>
      <w:r w:rsidR="00116C20">
        <w:t xml:space="preserve"> measurement will be </w:t>
      </w:r>
      <w:r w:rsidR="002773B7">
        <w:t>based on</w:t>
      </w:r>
      <w:r w:rsidR="00116C20">
        <w:t xml:space="preserve"> the model</w:t>
      </w:r>
      <w:r w:rsidR="002773B7">
        <w:t xml:space="preserve"> output</w:t>
      </w:r>
      <w:r w:rsidR="00116C20">
        <w:t xml:space="preserve">. </w:t>
      </w:r>
      <w:r w:rsidR="00C670F9">
        <w:t xml:space="preserve">Hence from our perspective, it is sufficient to indicate to the LMF that the measurement report </w:t>
      </w:r>
      <w:r w:rsidR="00752EDB">
        <w:t>as a whole is based on AI</w:t>
      </w:r>
      <w:r w:rsidR="00FF1549">
        <w:t>/</w:t>
      </w:r>
      <w:r w:rsidR="00752EDB">
        <w:t>ML model output</w:t>
      </w:r>
      <w:r w:rsidR="000812D3">
        <w:t>, without having to tag each quantity in the report (e.g. LOS indication, RSTD measurement, additional measurement, etc) with a “made with AI” indicator</w:t>
      </w:r>
      <w:r w:rsidR="00752EDB">
        <w:t xml:space="preserve">. </w:t>
      </w:r>
    </w:p>
    <w:p w14:paraId="41A3263B" w14:textId="58DAFDDC" w:rsidR="00D644CD" w:rsidRDefault="000A51FA" w:rsidP="00723C89">
      <w:pPr>
        <w:pStyle w:val="Proposal"/>
      </w:pPr>
      <w:bookmarkStart w:id="1452" w:name="_Toc178961918"/>
      <w:r w:rsidRPr="00E215F0">
        <w:t xml:space="preserve">For AI/ML assisted positioning at gNB </w:t>
      </w:r>
      <w:r w:rsidR="00FF1549">
        <w:t xml:space="preserve">(Case 3a) </w:t>
      </w:r>
      <w:r>
        <w:t xml:space="preserve">and </w:t>
      </w:r>
      <w:r w:rsidR="00E32A8E">
        <w:t>UE (</w:t>
      </w:r>
      <w:r w:rsidR="00FF1549">
        <w:t>Case 2a</w:t>
      </w:r>
      <w:r w:rsidR="00E32A8E">
        <w:t xml:space="preserve">), the measurement report </w:t>
      </w:r>
      <w:r w:rsidR="00FF1549">
        <w:t xml:space="preserve">contains an indicator that </w:t>
      </w:r>
      <w:r w:rsidR="00E32A8E">
        <w:t>AI</w:t>
      </w:r>
      <w:r w:rsidR="00FF1549">
        <w:t>/</w:t>
      </w:r>
      <w:r w:rsidR="00E32A8E">
        <w:t xml:space="preserve">ML </w:t>
      </w:r>
      <w:r w:rsidR="00FF1549">
        <w:t>is used to produce the measurements</w:t>
      </w:r>
      <w:r w:rsidR="00E32A8E">
        <w:t>.</w:t>
      </w:r>
      <w:r w:rsidR="00FF1549">
        <w:t xml:space="preserve"> The signaling details are up to RAN3/RAN2</w:t>
      </w:r>
      <w:r w:rsidR="00E32A8E">
        <w:t>.</w:t>
      </w:r>
      <w:bookmarkEnd w:id="1452"/>
    </w:p>
    <w:p w14:paraId="5FAF7191" w14:textId="0AD7AEC0" w:rsidR="00F83890" w:rsidRDefault="00F83890" w:rsidP="00F83890">
      <w:pPr>
        <w:pStyle w:val="Heading1"/>
        <w:rPr>
          <w:lang w:val="en-US"/>
        </w:rPr>
      </w:pPr>
      <w:bookmarkStart w:id="1453" w:name="_Toc165991008"/>
      <w:bookmarkStart w:id="1454" w:name="_Toc178961671"/>
      <w:r>
        <w:rPr>
          <w:lang w:val="en-US"/>
        </w:rPr>
        <w:t>Training data collection</w:t>
      </w:r>
      <w:bookmarkEnd w:id="1453"/>
      <w:bookmarkEnd w:id="1454"/>
    </w:p>
    <w:p w14:paraId="74281568" w14:textId="36740924" w:rsidR="003E485D" w:rsidRDefault="003E485D" w:rsidP="004157FD">
      <w:pPr>
        <w:pStyle w:val="Heading2"/>
        <w:rPr>
          <w:lang w:val="en-US"/>
        </w:rPr>
      </w:pPr>
      <w:bookmarkStart w:id="1455" w:name="_Toc165991009"/>
      <w:bookmarkStart w:id="1456" w:name="_Toc178961672"/>
      <w:r>
        <w:rPr>
          <w:lang w:val="en-US"/>
        </w:rPr>
        <w:t xml:space="preserve">Content of </w:t>
      </w:r>
      <w:r w:rsidRPr="00E215F0">
        <w:rPr>
          <w:lang w:val="en-US"/>
        </w:rPr>
        <w:t>training data</w:t>
      </w:r>
      <w:r>
        <w:rPr>
          <w:lang w:val="en-US"/>
        </w:rPr>
        <w:t xml:space="preserve"> samples</w:t>
      </w:r>
      <w:bookmarkEnd w:id="1455"/>
      <w:bookmarkEnd w:id="1456"/>
    </w:p>
    <w:p w14:paraId="51D0457C" w14:textId="0AD87995" w:rsidR="00D939A7" w:rsidRPr="00D939A7" w:rsidRDefault="00D939A7" w:rsidP="00D939A7">
      <w:pPr>
        <w:rPr>
          <w:lang w:eastAsia="ja-JP"/>
        </w:rPr>
      </w:pPr>
      <w:r>
        <w:rPr>
          <w:lang w:eastAsia="ja-JP"/>
        </w:rPr>
        <w:t>For the data samples to be collected for training, the following agreement was made in RAN1#116bis.</w:t>
      </w:r>
    </w:p>
    <w:tbl>
      <w:tblPr>
        <w:tblStyle w:val="TableGrid"/>
        <w:tblW w:w="9990" w:type="dxa"/>
        <w:tblInd w:w="-5" w:type="dxa"/>
        <w:tblLook w:val="04A0" w:firstRow="1" w:lastRow="0" w:firstColumn="1" w:lastColumn="0" w:noHBand="0" w:noVBand="1"/>
      </w:tblPr>
      <w:tblGrid>
        <w:gridCol w:w="9990"/>
      </w:tblGrid>
      <w:tr w:rsidR="00D939A7" w:rsidRPr="00D939A7" w14:paraId="16A91214" w14:textId="77777777" w:rsidTr="001E59F7">
        <w:tc>
          <w:tcPr>
            <w:tcW w:w="9990" w:type="dxa"/>
          </w:tcPr>
          <w:p w14:paraId="238B5F6B" w14:textId="77777777" w:rsidR="00D939A7" w:rsidRPr="00D939A7" w:rsidRDefault="00D939A7" w:rsidP="00500110">
            <w:pPr>
              <w:spacing w:after="0"/>
              <w:rPr>
                <w:rFonts w:ascii="Times" w:eastAsia="DengXian" w:hAnsi="Times"/>
                <w:sz w:val="18"/>
                <w:szCs w:val="18"/>
                <w:highlight w:val="green"/>
                <w:lang w:val="en-GB" w:eastAsia="zh-CN"/>
              </w:rPr>
            </w:pPr>
            <w:r w:rsidRPr="00D939A7">
              <w:rPr>
                <w:rFonts w:ascii="Times" w:eastAsia="DengXian" w:hAnsi="Times" w:hint="eastAsia"/>
                <w:sz w:val="18"/>
                <w:szCs w:val="18"/>
                <w:highlight w:val="green"/>
                <w:lang w:val="en-GB" w:eastAsia="zh-CN"/>
              </w:rPr>
              <w:t>Agreement</w:t>
            </w:r>
          </w:p>
          <w:p w14:paraId="34D849EA"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 xml:space="preserve">For training data collection of AI/ML based positioning, the collected data sample </w:t>
            </w:r>
            <w:r w:rsidRPr="00D939A7">
              <w:rPr>
                <w:rFonts w:ascii="Times" w:eastAsia="DengXian" w:hAnsi="Times" w:hint="eastAsia"/>
                <w:sz w:val="18"/>
                <w:szCs w:val="18"/>
                <w:lang w:val="en-GB" w:eastAsia="zh-CN"/>
              </w:rPr>
              <w:t>can include</w:t>
            </w:r>
            <w:r w:rsidRPr="00D939A7">
              <w:rPr>
                <w:rFonts w:ascii="Times" w:eastAsia="Batang" w:hAnsi="Times"/>
                <w:sz w:val="18"/>
                <w:szCs w:val="18"/>
                <w:lang w:val="en-GB"/>
              </w:rPr>
              <w:t xml:space="preserve"> the following components:</w:t>
            </w:r>
          </w:p>
          <w:p w14:paraId="689858C4"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Part A:</w:t>
            </w:r>
          </w:p>
          <w:p w14:paraId="37925156" w14:textId="77777777" w:rsidR="00D939A7" w:rsidRPr="00D939A7" w:rsidRDefault="00D939A7" w:rsidP="00D35F36">
            <w:pPr>
              <w:widowControl w:val="0"/>
              <w:numPr>
                <w:ilvl w:val="0"/>
                <w:numId w:val="66"/>
              </w:numPr>
              <w:spacing w:after="0"/>
              <w:jc w:val="both"/>
              <w:rPr>
                <w:rFonts w:ascii="Times" w:eastAsia="Batang" w:hAnsi="Times"/>
                <w:sz w:val="18"/>
                <w:szCs w:val="18"/>
                <w:lang w:eastAsia="x-none"/>
              </w:rPr>
            </w:pPr>
            <w:r w:rsidRPr="00D939A7">
              <w:rPr>
                <w:rFonts w:ascii="Times" w:hAnsi="Times" w:cs="Calibri"/>
                <w:sz w:val="18"/>
                <w:szCs w:val="18"/>
                <w:lang w:eastAsia="x-none"/>
              </w:rPr>
              <w:t xml:space="preserve">channel measurement </w:t>
            </w:r>
          </w:p>
          <w:p w14:paraId="03472CEF" w14:textId="77777777" w:rsidR="00D939A7" w:rsidRPr="00D939A7" w:rsidRDefault="00D939A7" w:rsidP="00D35F36">
            <w:pPr>
              <w:widowControl w:val="0"/>
              <w:numPr>
                <w:ilvl w:val="0"/>
                <w:numId w:val="66"/>
              </w:numPr>
              <w:spacing w:after="0"/>
              <w:jc w:val="both"/>
              <w:rPr>
                <w:rFonts w:ascii="Times" w:eastAsia="Batang" w:hAnsi="Times"/>
                <w:sz w:val="18"/>
                <w:szCs w:val="18"/>
                <w:lang w:val="en-GB" w:eastAsia="x-none"/>
              </w:rPr>
            </w:pPr>
            <w:r w:rsidRPr="00D939A7">
              <w:rPr>
                <w:rFonts w:ascii="Times" w:hAnsi="Times" w:cs="Calibri"/>
                <w:sz w:val="18"/>
                <w:szCs w:val="18"/>
                <w:lang w:eastAsia="x-none"/>
              </w:rPr>
              <w:t>quality indicator of channel measurement</w:t>
            </w:r>
          </w:p>
          <w:p w14:paraId="5C937463" w14:textId="77777777" w:rsidR="00D939A7" w:rsidRPr="00D939A7" w:rsidRDefault="00D939A7" w:rsidP="00D35F36">
            <w:pPr>
              <w:widowControl w:val="0"/>
              <w:numPr>
                <w:ilvl w:val="0"/>
                <w:numId w:val="66"/>
              </w:numPr>
              <w:spacing w:after="0"/>
              <w:jc w:val="both"/>
              <w:rPr>
                <w:rFonts w:ascii="Times" w:eastAsia="Batang" w:hAnsi="Times"/>
                <w:sz w:val="18"/>
                <w:szCs w:val="18"/>
                <w:lang w:val="en-GB" w:eastAsia="x-none"/>
              </w:rPr>
            </w:pPr>
            <w:r w:rsidRPr="00D939A7">
              <w:rPr>
                <w:rFonts w:ascii="Times" w:hAnsi="Times" w:cs="Calibri"/>
                <w:sz w:val="18"/>
                <w:szCs w:val="18"/>
                <w:lang w:eastAsia="x-none"/>
              </w:rPr>
              <w:t>time stamp of channel measurement</w:t>
            </w:r>
          </w:p>
          <w:p w14:paraId="1FE4D036"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Part B:</w:t>
            </w:r>
          </w:p>
          <w:p w14:paraId="281474B8" w14:textId="77777777" w:rsidR="00D939A7" w:rsidRPr="00D939A7" w:rsidRDefault="00D939A7" w:rsidP="00D35F36">
            <w:pPr>
              <w:widowControl w:val="0"/>
              <w:numPr>
                <w:ilvl w:val="0"/>
                <w:numId w:val="66"/>
              </w:numPr>
              <w:spacing w:after="0"/>
              <w:jc w:val="both"/>
              <w:rPr>
                <w:rFonts w:ascii="Times" w:eastAsia="Batang" w:hAnsi="Times"/>
                <w:sz w:val="18"/>
                <w:szCs w:val="18"/>
                <w:lang w:eastAsia="x-none"/>
              </w:rPr>
            </w:pPr>
            <w:r w:rsidRPr="00D939A7">
              <w:rPr>
                <w:rFonts w:ascii="Times" w:hAnsi="Times" w:cs="Calibri"/>
                <w:sz w:val="18"/>
                <w:szCs w:val="18"/>
                <w:lang w:eastAsia="x-none"/>
              </w:rPr>
              <w:t>ground truth label (or its approximation)</w:t>
            </w:r>
          </w:p>
          <w:p w14:paraId="33CE8D2A" w14:textId="77777777" w:rsidR="00D939A7" w:rsidRPr="00D939A7" w:rsidRDefault="00D939A7" w:rsidP="00D35F36">
            <w:pPr>
              <w:widowControl w:val="0"/>
              <w:numPr>
                <w:ilvl w:val="0"/>
                <w:numId w:val="66"/>
              </w:numPr>
              <w:spacing w:after="0"/>
              <w:jc w:val="both"/>
              <w:rPr>
                <w:rFonts w:ascii="Times" w:eastAsia="Batang" w:hAnsi="Times"/>
                <w:sz w:val="18"/>
                <w:szCs w:val="18"/>
                <w:lang w:val="en-GB" w:eastAsia="x-none"/>
              </w:rPr>
            </w:pPr>
            <w:r w:rsidRPr="00D939A7">
              <w:rPr>
                <w:rFonts w:ascii="Times" w:hAnsi="Times" w:cs="Calibri"/>
                <w:sz w:val="18"/>
                <w:szCs w:val="18"/>
                <w:lang w:eastAsia="x-none"/>
              </w:rPr>
              <w:t>quality indicator of label</w:t>
            </w:r>
          </w:p>
          <w:p w14:paraId="160A4154" w14:textId="77777777" w:rsidR="00D939A7" w:rsidRPr="00D939A7" w:rsidRDefault="00D939A7" w:rsidP="00D35F36">
            <w:pPr>
              <w:widowControl w:val="0"/>
              <w:numPr>
                <w:ilvl w:val="0"/>
                <w:numId w:val="66"/>
              </w:numPr>
              <w:spacing w:after="0"/>
              <w:jc w:val="both"/>
              <w:rPr>
                <w:rFonts w:ascii="Times" w:eastAsia="Batang" w:hAnsi="Times"/>
                <w:sz w:val="18"/>
                <w:szCs w:val="18"/>
                <w:lang w:val="en-GB" w:eastAsia="x-none"/>
              </w:rPr>
            </w:pPr>
            <w:r w:rsidRPr="00D939A7">
              <w:rPr>
                <w:rFonts w:ascii="Times" w:hAnsi="Times" w:cs="Calibri"/>
                <w:sz w:val="18"/>
                <w:szCs w:val="18"/>
                <w:lang w:eastAsia="x-none"/>
              </w:rPr>
              <w:t>time stamp of label</w:t>
            </w:r>
          </w:p>
          <w:p w14:paraId="2278E86B"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 xml:space="preserve">Note: “Part A” and “Part B” terminologies are only for RAN1 discussion purpose, and may not be used in specification. </w:t>
            </w:r>
          </w:p>
          <w:p w14:paraId="13790D7E"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Note: contents in Part A and Part B may</w:t>
            </w:r>
            <w:r w:rsidRPr="00D939A7">
              <w:rPr>
                <w:rFonts w:ascii="Times" w:eastAsia="DengXian" w:hAnsi="Times" w:hint="eastAsia"/>
                <w:sz w:val="18"/>
                <w:szCs w:val="18"/>
                <w:lang w:val="en-GB" w:eastAsia="zh-CN"/>
              </w:rPr>
              <w:t xml:space="preserve"> or may not</w:t>
            </w:r>
            <w:r w:rsidRPr="00D939A7">
              <w:rPr>
                <w:rFonts w:ascii="Times" w:eastAsia="Batang" w:hAnsi="Times"/>
                <w:sz w:val="18"/>
                <w:szCs w:val="18"/>
                <w:lang w:val="en-GB"/>
              </w:rPr>
              <w:t xml:space="preserve"> be generated by different entities.</w:t>
            </w:r>
          </w:p>
          <w:p w14:paraId="26074C3A" w14:textId="77777777" w:rsidR="00D939A7" w:rsidRPr="00D939A7" w:rsidRDefault="00D939A7" w:rsidP="00500110">
            <w:pPr>
              <w:spacing w:after="0"/>
              <w:rPr>
                <w:rFonts w:ascii="Times" w:eastAsia="DengXian" w:hAnsi="Times"/>
                <w:sz w:val="18"/>
                <w:szCs w:val="18"/>
                <w:lang w:val="en-GB" w:eastAsia="zh-CN"/>
              </w:rPr>
            </w:pPr>
            <w:r w:rsidRPr="00D939A7">
              <w:rPr>
                <w:rFonts w:ascii="Times" w:eastAsia="DengXian" w:hAnsi="Times" w:hint="eastAsia"/>
                <w:sz w:val="18"/>
                <w:szCs w:val="18"/>
                <w:lang w:val="en-GB" w:eastAsia="zh-CN"/>
              </w:rPr>
              <w:t>Note</w:t>
            </w:r>
            <w:r w:rsidRPr="00D939A7">
              <w:rPr>
                <w:rFonts w:ascii="Times" w:eastAsia="Batang" w:hAnsi="Times"/>
                <w:sz w:val="18"/>
                <w:szCs w:val="18"/>
                <w:lang w:val="en-GB"/>
              </w:rPr>
              <w:t>: Part A and/or Part B, and their contents may or may not apply for each case</w:t>
            </w:r>
          </w:p>
          <w:p w14:paraId="0104226B" w14:textId="77777777" w:rsidR="00D939A7" w:rsidRPr="00D939A7" w:rsidRDefault="00D939A7" w:rsidP="00500110">
            <w:pPr>
              <w:spacing w:after="0"/>
              <w:rPr>
                <w:rFonts w:ascii="Times" w:eastAsia="DengXian" w:hAnsi="Times"/>
                <w:sz w:val="18"/>
                <w:szCs w:val="18"/>
                <w:lang w:val="en-GB" w:eastAsia="zh-CN"/>
              </w:rPr>
            </w:pPr>
            <w:r w:rsidRPr="00D939A7">
              <w:rPr>
                <w:rFonts w:ascii="Times" w:eastAsia="DengXian" w:hAnsi="Times" w:hint="eastAsia"/>
                <w:sz w:val="18"/>
                <w:szCs w:val="18"/>
                <w:lang w:val="en-GB" w:eastAsia="zh-CN"/>
              </w:rPr>
              <w:t>FFS: detailed definition of channel measurement</w:t>
            </w:r>
          </w:p>
        </w:tc>
      </w:tr>
    </w:tbl>
    <w:p w14:paraId="66142D41" w14:textId="77777777" w:rsidR="00D939A7" w:rsidRDefault="00D939A7" w:rsidP="00F83890"/>
    <w:p w14:paraId="48944953" w14:textId="27684462" w:rsidR="00F83890" w:rsidRDefault="00BD4577" w:rsidP="00F83890">
      <w:r>
        <w:t xml:space="preserve">For supervised learning, ground truth label needs to be collected for each entry of training data. On the other hand, it may be difficult to obtain a large number of accurate ground truth labels. When ground truth label is not available, the measurement data (corresponding to model input) can still be collected and used by semi-supervised learning. Thus both </w:t>
      </w:r>
      <w:r w:rsidR="00FE0973">
        <w:t>labelled and un-labelled training data samples can be collected.</w:t>
      </w:r>
    </w:p>
    <w:p w14:paraId="3CF1EA59" w14:textId="67883E9E" w:rsidR="00FE0973" w:rsidRDefault="00FE0973" w:rsidP="004157FD">
      <w:pPr>
        <w:pStyle w:val="Proposal"/>
      </w:pPr>
      <w:bookmarkStart w:id="1457" w:name="_Toc178961919"/>
      <w:r>
        <w:t xml:space="preserve">For Rel-19 AI/ML based positioning, support collecting labelled and </w:t>
      </w:r>
      <w:r w:rsidR="00360599">
        <w:t xml:space="preserve">optionally </w:t>
      </w:r>
      <w:r>
        <w:t>un-labelled training data samples.</w:t>
      </w:r>
      <w:bookmarkEnd w:id="1457"/>
    </w:p>
    <w:p w14:paraId="060C0140" w14:textId="77777777" w:rsidR="001A3230" w:rsidRDefault="001A3230" w:rsidP="001A3230">
      <w:pPr>
        <w:pStyle w:val="Proposal"/>
        <w:numPr>
          <w:ilvl w:val="0"/>
          <w:numId w:val="0"/>
        </w:numPr>
        <w:ind w:left="1304" w:hanging="1304"/>
      </w:pPr>
    </w:p>
    <w:p w14:paraId="7AD04922" w14:textId="687F7DC5" w:rsidR="00D939A7" w:rsidRDefault="00D939A7" w:rsidP="00D939A7">
      <w:r>
        <w:t>In the following sub-sections, details on Part A and Part B are further discussed.</w:t>
      </w:r>
    </w:p>
    <w:p w14:paraId="03C960C4" w14:textId="77777777" w:rsidR="00D939A7" w:rsidRDefault="00D939A7" w:rsidP="001A3230">
      <w:pPr>
        <w:pStyle w:val="Proposal"/>
        <w:numPr>
          <w:ilvl w:val="0"/>
          <w:numId w:val="0"/>
        </w:numPr>
        <w:ind w:left="1304" w:hanging="1304"/>
      </w:pPr>
    </w:p>
    <w:p w14:paraId="025E81A4" w14:textId="7FE09D86" w:rsidR="001A3230" w:rsidRDefault="001A3230" w:rsidP="00DA6EB4">
      <w:pPr>
        <w:pStyle w:val="Heading3"/>
      </w:pPr>
      <w:bookmarkStart w:id="1458" w:name="_Toc178961673"/>
      <w:r>
        <w:t xml:space="preserve">Time stamp of </w:t>
      </w:r>
      <w:r w:rsidRPr="00E215F0">
        <w:t>training data</w:t>
      </w:r>
      <w:r>
        <w:t xml:space="preserve"> samples</w:t>
      </w:r>
      <w:bookmarkEnd w:id="1458"/>
    </w:p>
    <w:p w14:paraId="233B7199" w14:textId="5BBDD133" w:rsidR="001A3230" w:rsidRDefault="001A3230" w:rsidP="00DA6EB4">
      <w:r>
        <w:t xml:space="preserve">In RAN1#118, the following agreement was made on the time stamp of </w:t>
      </w:r>
      <w:r w:rsidRPr="001A3230">
        <w:t>channel measurement</w:t>
      </w:r>
      <w:r>
        <w:t>:</w:t>
      </w:r>
    </w:p>
    <w:tbl>
      <w:tblPr>
        <w:tblStyle w:val="TableGrid"/>
        <w:tblW w:w="9990" w:type="dxa"/>
        <w:tblInd w:w="-5" w:type="dxa"/>
        <w:tblLook w:val="04A0" w:firstRow="1" w:lastRow="0" w:firstColumn="1" w:lastColumn="0" w:noHBand="0" w:noVBand="1"/>
      </w:tblPr>
      <w:tblGrid>
        <w:gridCol w:w="9990"/>
      </w:tblGrid>
      <w:tr w:rsidR="001A3230" w:rsidRPr="001A3230" w14:paraId="47367E0F" w14:textId="77777777" w:rsidTr="00DA6EB4">
        <w:tc>
          <w:tcPr>
            <w:tcW w:w="9990" w:type="dxa"/>
          </w:tcPr>
          <w:p w14:paraId="441F79EE" w14:textId="77777777" w:rsidR="001A3230" w:rsidRPr="00DA6EB4" w:rsidRDefault="001A3230" w:rsidP="00300205">
            <w:pPr>
              <w:spacing w:after="0"/>
              <w:rPr>
                <w:rFonts w:ascii="Times" w:eastAsia="DengXian" w:hAnsi="Times"/>
                <w:sz w:val="18"/>
                <w:szCs w:val="18"/>
                <w:highlight w:val="green"/>
                <w:lang w:val="en-GB" w:eastAsia="zh-CN"/>
              </w:rPr>
            </w:pPr>
            <w:r w:rsidRPr="00DA6EB4">
              <w:rPr>
                <w:rFonts w:ascii="Times" w:eastAsia="DengXian" w:hAnsi="Times"/>
                <w:sz w:val="18"/>
                <w:szCs w:val="18"/>
                <w:highlight w:val="green"/>
                <w:lang w:eastAsia="zh-CN"/>
              </w:rPr>
              <w:t>Agreement</w:t>
            </w:r>
          </w:p>
          <w:p w14:paraId="069579E7" w14:textId="77777777" w:rsidR="001A3230" w:rsidRPr="00DA6EB4" w:rsidRDefault="001A3230" w:rsidP="00300205">
            <w:pPr>
              <w:spacing w:after="0"/>
              <w:rPr>
                <w:rFonts w:ascii="Times" w:eastAsia="Batang" w:hAnsi="Times"/>
                <w:sz w:val="18"/>
                <w:szCs w:val="18"/>
                <w:lang w:val="en-GB"/>
              </w:rPr>
            </w:pPr>
            <w:r w:rsidRPr="00DA6EB4">
              <w:rPr>
                <w:rFonts w:ascii="Times" w:eastAsia="Batang" w:hAnsi="Times"/>
                <w:sz w:val="18"/>
                <w:szCs w:val="18"/>
              </w:rPr>
              <w:t>For training data collection of AI/ML based positioning</w:t>
            </w:r>
            <w:r w:rsidRPr="00DA6EB4">
              <w:rPr>
                <w:rFonts w:ascii="Times" w:eastAsia="DengXian" w:hAnsi="Times"/>
                <w:sz w:val="18"/>
                <w:szCs w:val="18"/>
                <w:lang w:eastAsia="zh-CN"/>
              </w:rPr>
              <w:t xml:space="preserve"> case 3b</w:t>
            </w:r>
            <w:r w:rsidRPr="00DA6EB4">
              <w:rPr>
                <w:rFonts w:ascii="Times" w:eastAsia="Batang" w:hAnsi="Times"/>
                <w:sz w:val="18"/>
                <w:szCs w:val="18"/>
              </w:rPr>
              <w:t xml:space="preserve">, for time stamp of channel measurement, </w:t>
            </w:r>
          </w:p>
          <w:p w14:paraId="2F724F9C" w14:textId="77777777" w:rsidR="001A3230" w:rsidRPr="00DA6EB4" w:rsidRDefault="001A3230" w:rsidP="00D35F36">
            <w:pPr>
              <w:numPr>
                <w:ilvl w:val="0"/>
                <w:numId w:val="80"/>
              </w:numPr>
              <w:tabs>
                <w:tab w:val="num" w:pos="0"/>
              </w:tabs>
              <w:suppressAutoHyphens/>
              <w:spacing w:after="0" w:line="276" w:lineRule="auto"/>
              <w:rPr>
                <w:rFonts w:ascii="Times" w:eastAsia="Batang" w:hAnsi="Times"/>
                <w:sz w:val="18"/>
                <w:szCs w:val="18"/>
                <w:lang w:eastAsia="x-none"/>
              </w:rPr>
            </w:pPr>
            <w:r w:rsidRPr="00DA6EB4">
              <w:rPr>
                <w:rFonts w:ascii="Times" w:eastAsia="Batang" w:hAnsi="Times"/>
                <w:sz w:val="18"/>
                <w:szCs w:val="18"/>
                <w:lang w:eastAsia="x-none"/>
              </w:rPr>
              <w:t>For channel measurement generated by TRP/gNB, existing IE “Time Stamp” in TS 38.455</w:t>
            </w:r>
            <w:r w:rsidRPr="00DA6EB4">
              <w:rPr>
                <w:rFonts w:ascii="Times" w:eastAsia="DengXian" w:hAnsi="Times"/>
                <w:sz w:val="18"/>
                <w:szCs w:val="18"/>
                <w:lang w:eastAsia="zh-CN"/>
              </w:rPr>
              <w:t xml:space="preserve"> can be reused from RAN1 perspective</w:t>
            </w:r>
          </w:p>
          <w:p w14:paraId="7460F8D2" w14:textId="25FC561B" w:rsidR="001A3230" w:rsidRPr="00DA6EB4" w:rsidRDefault="001A3230" w:rsidP="00D35F36">
            <w:pPr>
              <w:numPr>
                <w:ilvl w:val="0"/>
                <w:numId w:val="84"/>
              </w:numPr>
              <w:spacing w:after="0"/>
              <w:ind w:left="360"/>
              <w:rPr>
                <w:rFonts w:ascii="Times" w:eastAsia="Batang" w:hAnsi="Times" w:cs="Times New Roman"/>
                <w:kern w:val="0"/>
                <w:sz w:val="18"/>
                <w:szCs w:val="18"/>
                <w:lang w:val="en-GB" w:eastAsia="zh-CN"/>
                <w14:ligatures w14:val="none"/>
              </w:rPr>
            </w:pPr>
            <w:r w:rsidRPr="00DA6EB4">
              <w:rPr>
                <w:rFonts w:ascii="Times" w:eastAsia="Batang" w:hAnsi="Times" w:cs="Times New Roman"/>
                <w:kern w:val="0"/>
                <w:sz w:val="18"/>
                <w:szCs w:val="18"/>
                <w:lang w:eastAsia="zh-CN"/>
                <w14:ligatures w14:val="none"/>
              </w:rPr>
              <w:t xml:space="preserve">Note: Purpose, such as above </w:t>
            </w:r>
            <w:r w:rsidRPr="00DA6EB4">
              <w:rPr>
                <w:rFonts w:ascii="Times" w:eastAsia="DengXian" w:hAnsi="Times" w:cs="Times New Roman"/>
                <w:kern w:val="0"/>
                <w:sz w:val="18"/>
                <w:szCs w:val="18"/>
                <w:lang w:val="en-GB" w:eastAsia="zh-CN"/>
                <w14:ligatures w14:val="none"/>
              </w:rPr>
              <w:t>“</w:t>
            </w:r>
            <w:r w:rsidRPr="00DA6EB4">
              <w:rPr>
                <w:rFonts w:ascii="Times" w:eastAsia="Batang" w:hAnsi="Times" w:cs="Times New Roman"/>
                <w:kern w:val="0"/>
                <w:sz w:val="18"/>
                <w:szCs w:val="18"/>
                <w:lang w:eastAsia="x-none"/>
                <w14:ligatures w14:val="none"/>
              </w:rPr>
              <w:t>training data collection</w:t>
            </w:r>
            <w:r w:rsidRPr="00DA6EB4">
              <w:rPr>
                <w:rFonts w:ascii="Times" w:eastAsia="DengXian" w:hAnsi="Times" w:cs="Times New Roman"/>
                <w:kern w:val="0"/>
                <w:sz w:val="18"/>
                <w:szCs w:val="18"/>
                <w:lang w:eastAsia="zh-CN"/>
                <w14:ligatures w14:val="none"/>
              </w:rPr>
              <w:t>"</w:t>
            </w:r>
            <w:r w:rsidRPr="00DA6EB4">
              <w:rPr>
                <w:rFonts w:ascii="Times" w:eastAsia="Batang" w:hAnsi="Times" w:cs="Times New Roman"/>
                <w:kern w:val="0"/>
                <w:sz w:val="18"/>
                <w:szCs w:val="18"/>
                <w:lang w:eastAsia="zh-CN"/>
                <w14:ligatures w14:val="none"/>
              </w:rPr>
              <w:t xml:space="preserve">, will not </w:t>
            </w:r>
            <w:r w:rsidRPr="00DA6EB4">
              <w:rPr>
                <w:rFonts w:ascii="Times" w:eastAsia="DengXian" w:hAnsi="Times" w:cs="Times New Roman"/>
                <w:kern w:val="0"/>
                <w:sz w:val="18"/>
                <w:szCs w:val="18"/>
                <w:lang w:eastAsia="zh-CN"/>
                <w14:ligatures w14:val="none"/>
              </w:rPr>
              <w:t xml:space="preserve">necessarily </w:t>
            </w:r>
            <w:r w:rsidRPr="00DA6EB4">
              <w:rPr>
                <w:rFonts w:ascii="Times" w:eastAsia="Batang" w:hAnsi="Times" w:cs="Times New Roman"/>
                <w:kern w:val="0"/>
                <w:sz w:val="18"/>
                <w:szCs w:val="18"/>
                <w:lang w:eastAsia="zh-CN"/>
                <w14:ligatures w14:val="none"/>
              </w:rPr>
              <w:t>be specified in RAN 1 specifications</w:t>
            </w:r>
          </w:p>
        </w:tc>
      </w:tr>
    </w:tbl>
    <w:p w14:paraId="197D6D7B" w14:textId="77777777" w:rsidR="001A3230" w:rsidRDefault="001A3230" w:rsidP="001A3230">
      <w:pPr>
        <w:pStyle w:val="Proposal"/>
        <w:numPr>
          <w:ilvl w:val="0"/>
          <w:numId w:val="0"/>
        </w:numPr>
        <w:ind w:left="1304" w:hanging="1304"/>
      </w:pPr>
    </w:p>
    <w:p w14:paraId="2F2BED58" w14:textId="3791C3CB" w:rsidR="001A3230" w:rsidRPr="001A3230" w:rsidRDefault="001A3230" w:rsidP="001A3230">
      <w:r>
        <w:t xml:space="preserve">Also, the following </w:t>
      </w:r>
      <w:r w:rsidRPr="001A3230">
        <w:t>proposal</w:t>
      </w:r>
      <w:r>
        <w:t>s were discussed in RAN1#118</w:t>
      </w:r>
      <w:r w:rsidRPr="001A3230">
        <w:t>:</w:t>
      </w:r>
    </w:p>
    <w:tbl>
      <w:tblPr>
        <w:tblStyle w:val="TableGrid5"/>
        <w:tblW w:w="9985" w:type="dxa"/>
        <w:tblLook w:val="04A0" w:firstRow="1" w:lastRow="0" w:firstColumn="1" w:lastColumn="0" w:noHBand="0" w:noVBand="1"/>
      </w:tblPr>
      <w:tblGrid>
        <w:gridCol w:w="9985"/>
      </w:tblGrid>
      <w:tr w:rsidR="001A3230" w:rsidRPr="001A3230" w14:paraId="45B4496C" w14:textId="77777777" w:rsidTr="00DA6EB4">
        <w:tc>
          <w:tcPr>
            <w:tcW w:w="9985" w:type="dxa"/>
          </w:tcPr>
          <w:p w14:paraId="1BBACD62" w14:textId="77777777" w:rsidR="001A3230" w:rsidRPr="00DA6EB4" w:rsidRDefault="001A3230" w:rsidP="00300205">
            <w:pPr>
              <w:spacing w:after="0"/>
              <w:rPr>
                <w:rFonts w:cstheme="minorHAnsi"/>
                <w:b/>
                <w:sz w:val="18"/>
                <w:szCs w:val="18"/>
                <w:u w:val="single"/>
              </w:rPr>
            </w:pPr>
            <w:r w:rsidRPr="00DA6EB4">
              <w:rPr>
                <w:rFonts w:cstheme="minorHAnsi"/>
                <w:b/>
                <w:sz w:val="18"/>
                <w:szCs w:val="18"/>
                <w:u w:val="single"/>
              </w:rPr>
              <w:t>Proposal 4.1.3-2A</w:t>
            </w:r>
          </w:p>
          <w:p w14:paraId="6865DF72" w14:textId="77777777" w:rsidR="001A3230" w:rsidRPr="00DA6EB4" w:rsidRDefault="001A3230" w:rsidP="00300205">
            <w:pPr>
              <w:spacing w:after="0"/>
              <w:rPr>
                <w:rFonts w:cstheme="minorHAnsi"/>
                <w:sz w:val="18"/>
                <w:szCs w:val="18"/>
              </w:rPr>
            </w:pPr>
            <w:r w:rsidRPr="00DA6EB4">
              <w:rPr>
                <w:rFonts w:cstheme="minorHAnsi"/>
                <w:sz w:val="18"/>
                <w:szCs w:val="18"/>
              </w:rPr>
              <w:t xml:space="preserve">For training data collection of AI/ML based positioning, for time stamp of channel measurement, the existing IEs are reused. </w:t>
            </w:r>
          </w:p>
          <w:p w14:paraId="273A171F" w14:textId="77777777" w:rsidR="001A3230" w:rsidRPr="00DA6EB4" w:rsidRDefault="001A3230" w:rsidP="00D35F36">
            <w:pPr>
              <w:numPr>
                <w:ilvl w:val="0"/>
                <w:numId w:val="80"/>
              </w:numPr>
              <w:tabs>
                <w:tab w:val="num" w:pos="0"/>
              </w:tabs>
              <w:suppressAutoHyphens/>
              <w:spacing w:after="0"/>
              <w:rPr>
                <w:rFonts w:eastAsiaTheme="minorEastAsia" w:cstheme="minorHAnsi"/>
                <w:sz w:val="18"/>
                <w:szCs w:val="18"/>
                <w:lang w:eastAsia="zh-CN"/>
              </w:rPr>
            </w:pPr>
            <w:r w:rsidRPr="00DA6EB4">
              <w:rPr>
                <w:rFonts w:eastAsiaTheme="minorEastAsia" w:cstheme="minorHAnsi"/>
                <w:sz w:val="18"/>
                <w:szCs w:val="18"/>
                <w:lang w:eastAsia="zh-CN"/>
              </w:rPr>
              <w:lastRenderedPageBreak/>
              <w:t xml:space="preserve">For channel measurement generated by TRP/gNB, reuse the existing IE “Time Stamp” in TS 38.455, </w:t>
            </w:r>
            <w:r w:rsidRPr="00DA6EB4">
              <w:rPr>
                <w:rFonts w:eastAsiaTheme="minorEastAsia" w:cstheme="minorHAnsi"/>
                <w:color w:val="FF0000"/>
                <w:sz w:val="18"/>
                <w:szCs w:val="18"/>
                <w:lang w:eastAsia="zh-CN"/>
              </w:rPr>
              <w:t>with field “Measurement time” mandatory.</w:t>
            </w:r>
          </w:p>
          <w:p w14:paraId="7A95B9A7" w14:textId="77777777" w:rsidR="001A3230" w:rsidRPr="00DA6EB4" w:rsidRDefault="001A3230" w:rsidP="00D35F36">
            <w:pPr>
              <w:numPr>
                <w:ilvl w:val="1"/>
                <w:numId w:val="80"/>
              </w:numPr>
              <w:tabs>
                <w:tab w:val="num" w:pos="0"/>
              </w:tabs>
              <w:suppressAutoHyphens/>
              <w:spacing w:after="0"/>
              <w:rPr>
                <w:rFonts w:eastAsiaTheme="minorEastAsia" w:cstheme="minorHAnsi"/>
                <w:sz w:val="18"/>
                <w:szCs w:val="18"/>
                <w:lang w:eastAsia="zh-CN"/>
              </w:rPr>
            </w:pPr>
            <w:r w:rsidRPr="00DA6EB4">
              <w:rPr>
                <w:rFonts w:eastAsiaTheme="minorEastAsia" w:cstheme="minorHAnsi"/>
                <w:sz w:val="18"/>
                <w:szCs w:val="18"/>
                <w:lang w:eastAsia="zh-CN"/>
              </w:rPr>
              <w:t>FFS: the time stamp for channel measurement by PRU or non-PRU UE</w:t>
            </w:r>
          </w:p>
          <w:p w14:paraId="5D00411D" w14:textId="77777777" w:rsidR="001A3230" w:rsidRPr="00DA6EB4" w:rsidRDefault="001A3230" w:rsidP="00300205">
            <w:pPr>
              <w:spacing w:after="0"/>
              <w:rPr>
                <w:sz w:val="18"/>
                <w:szCs w:val="18"/>
              </w:rPr>
            </w:pPr>
          </w:p>
          <w:p w14:paraId="6DCEE2B4" w14:textId="77777777" w:rsidR="001A3230" w:rsidRPr="00DA6EB4" w:rsidRDefault="001A3230" w:rsidP="00300205">
            <w:pPr>
              <w:suppressAutoHyphens/>
              <w:spacing w:after="0" w:line="276" w:lineRule="auto"/>
              <w:rPr>
                <w:rFonts w:eastAsia="DengXian" w:cs="DengXian"/>
                <w:b/>
                <w:bCs/>
                <w:sz w:val="18"/>
                <w:szCs w:val="18"/>
                <w:u w:val="single"/>
                <w:lang w:eastAsia="zh-CN"/>
              </w:rPr>
            </w:pPr>
            <w:r w:rsidRPr="00DA6EB4">
              <w:rPr>
                <w:rFonts w:eastAsia="DengXian" w:cs="DengXian"/>
                <w:b/>
                <w:bCs/>
                <w:sz w:val="18"/>
                <w:szCs w:val="18"/>
                <w:u w:val="single"/>
                <w:lang w:eastAsia="zh-CN"/>
              </w:rPr>
              <w:t>Proposal 4.1.3-2B</w:t>
            </w:r>
          </w:p>
          <w:p w14:paraId="34DC062F" w14:textId="77777777" w:rsidR="001A3230" w:rsidRPr="00DA6EB4" w:rsidRDefault="001A3230" w:rsidP="00300205">
            <w:pPr>
              <w:suppressAutoHyphens/>
              <w:spacing w:after="0" w:line="276" w:lineRule="auto"/>
              <w:rPr>
                <w:rFonts w:eastAsia="DengXian" w:cs="DengXian"/>
                <w:sz w:val="18"/>
                <w:szCs w:val="18"/>
                <w:lang w:eastAsia="zh-CN"/>
              </w:rPr>
            </w:pPr>
            <w:r w:rsidRPr="00DA6EB4">
              <w:rPr>
                <w:rFonts w:eastAsia="DengXian" w:cs="DengXian"/>
                <w:sz w:val="18"/>
                <w:szCs w:val="18"/>
                <w:lang w:eastAsia="zh-CN"/>
              </w:rPr>
              <w:t xml:space="preserve">For training data collection of AI/ML based positioning, for time stamp of label, the existing IEs are reused. </w:t>
            </w:r>
          </w:p>
          <w:p w14:paraId="77E5F709" w14:textId="77777777" w:rsidR="001A3230" w:rsidRPr="00DA6EB4" w:rsidRDefault="001A3230" w:rsidP="00D35F36">
            <w:pPr>
              <w:numPr>
                <w:ilvl w:val="0"/>
                <w:numId w:val="80"/>
              </w:numPr>
              <w:suppressAutoHyphens/>
              <w:spacing w:after="0" w:line="276" w:lineRule="auto"/>
              <w:rPr>
                <w:rFonts w:eastAsiaTheme="minorEastAsia"/>
                <w:sz w:val="18"/>
                <w:szCs w:val="18"/>
                <w:lang w:eastAsia="zh-CN"/>
              </w:rPr>
            </w:pPr>
            <w:r w:rsidRPr="00DA6EB4">
              <w:rPr>
                <w:rFonts w:eastAsiaTheme="minorEastAsia"/>
                <w:sz w:val="18"/>
                <w:szCs w:val="18"/>
                <w:lang w:eastAsia="zh-CN"/>
              </w:rPr>
              <w:t xml:space="preserve">For label generated by PRU or non-PRU UE, reuse the existing IE </w:t>
            </w:r>
            <w:r w:rsidRPr="00DA6EB4">
              <w:rPr>
                <w:rFonts w:eastAsiaTheme="minorEastAsia"/>
                <w:color w:val="FF0000"/>
                <w:sz w:val="18"/>
                <w:szCs w:val="18"/>
                <w:lang w:eastAsia="zh-CN"/>
              </w:rPr>
              <w:t xml:space="preserve">both </w:t>
            </w:r>
            <w:r w:rsidRPr="00DA6EB4">
              <w:rPr>
                <w:rFonts w:eastAsiaTheme="minorEastAsia"/>
                <w:snapToGrid w:val="0"/>
                <w:color w:val="FF0000"/>
                <w:sz w:val="18"/>
                <w:szCs w:val="18"/>
                <w:lang w:val="zh-CN" w:eastAsia="zh-CN"/>
              </w:rPr>
              <w:t>NR-TimeStamp</w:t>
            </w:r>
            <w:r w:rsidRPr="00DA6EB4">
              <w:rPr>
                <w:rFonts w:eastAsiaTheme="minorEastAsia"/>
                <w:snapToGrid w:val="0"/>
                <w:color w:val="FF0000"/>
                <w:sz w:val="18"/>
                <w:szCs w:val="18"/>
                <w:lang w:eastAsia="zh-CN"/>
              </w:rPr>
              <w:t xml:space="preserve"> and</w:t>
            </w:r>
            <w:r w:rsidRPr="00DA6EB4">
              <w:rPr>
                <w:rFonts w:eastAsiaTheme="minorEastAsia"/>
                <w:color w:val="FF0000"/>
                <w:sz w:val="18"/>
                <w:szCs w:val="18"/>
                <w:lang w:eastAsia="zh-CN"/>
              </w:rPr>
              <w:t xml:space="preserve"> UTCTime </w:t>
            </w:r>
            <w:r w:rsidRPr="00DA6EB4">
              <w:rPr>
                <w:rFonts w:eastAsiaTheme="minorEastAsia"/>
                <w:sz w:val="18"/>
                <w:szCs w:val="18"/>
                <w:lang w:eastAsia="zh-CN"/>
              </w:rPr>
              <w:t>(e.g., for utc-time-r16) in TS 37.355;</w:t>
            </w:r>
          </w:p>
          <w:p w14:paraId="4C431CCA" w14:textId="77777777" w:rsidR="001A3230" w:rsidRPr="00DA6EB4" w:rsidRDefault="001A3230" w:rsidP="00D35F36">
            <w:pPr>
              <w:numPr>
                <w:ilvl w:val="1"/>
                <w:numId w:val="80"/>
              </w:numPr>
              <w:suppressAutoHyphens/>
              <w:spacing w:after="0" w:line="276" w:lineRule="auto"/>
              <w:rPr>
                <w:rFonts w:eastAsiaTheme="minorEastAsia"/>
                <w:sz w:val="18"/>
                <w:szCs w:val="18"/>
                <w:lang w:eastAsia="zh-CN"/>
              </w:rPr>
            </w:pPr>
            <w:r w:rsidRPr="00DA6EB4">
              <w:rPr>
                <w:rFonts w:eastAsiaTheme="minorEastAsia"/>
                <w:snapToGrid w:val="0"/>
                <w:sz w:val="18"/>
                <w:szCs w:val="18"/>
                <w:lang w:val="zh-CN" w:eastAsia="zh-CN"/>
              </w:rPr>
              <w:t>NR-TimeStamp</w:t>
            </w:r>
            <w:r w:rsidRPr="00DA6EB4">
              <w:rPr>
                <w:rFonts w:eastAsiaTheme="minorEastAsia"/>
                <w:snapToGrid w:val="0"/>
                <w:sz w:val="18"/>
                <w:szCs w:val="18"/>
                <w:lang w:eastAsia="zh-CN"/>
              </w:rPr>
              <w:t xml:space="preserve"> and</w:t>
            </w:r>
            <w:r w:rsidRPr="00DA6EB4">
              <w:rPr>
                <w:rFonts w:eastAsiaTheme="minorEastAsia"/>
                <w:sz w:val="18"/>
                <w:szCs w:val="18"/>
                <w:lang w:eastAsia="zh-CN"/>
              </w:rPr>
              <w:t xml:space="preserve"> UTCTime are intended to refer to the same time.</w:t>
            </w:r>
          </w:p>
        </w:tc>
      </w:tr>
    </w:tbl>
    <w:p w14:paraId="77D4988A" w14:textId="77777777" w:rsidR="001A3230" w:rsidRDefault="001A3230" w:rsidP="001A3230">
      <w:pPr>
        <w:pStyle w:val="Proposal"/>
        <w:numPr>
          <w:ilvl w:val="0"/>
          <w:numId w:val="0"/>
        </w:numPr>
        <w:ind w:left="1304" w:hanging="1304"/>
      </w:pPr>
    </w:p>
    <w:p w14:paraId="51CBEE8B" w14:textId="77777777" w:rsidR="001A3230" w:rsidRDefault="001A3230" w:rsidP="001A3230">
      <w:r>
        <w:t xml:space="preserve">In RAN2#127, the following agreement was made on </w:t>
      </w:r>
      <w:r w:rsidRPr="001A3230">
        <w:t>NW side data collection</w:t>
      </w:r>
      <w:r>
        <w:t>:</w:t>
      </w:r>
    </w:p>
    <w:tbl>
      <w:tblPr>
        <w:tblStyle w:val="TableGrid"/>
        <w:tblW w:w="0" w:type="auto"/>
        <w:tblLook w:val="04A0" w:firstRow="1" w:lastRow="0" w:firstColumn="1" w:lastColumn="0" w:noHBand="0" w:noVBand="1"/>
      </w:tblPr>
      <w:tblGrid>
        <w:gridCol w:w="9962"/>
      </w:tblGrid>
      <w:tr w:rsidR="001A3230" w:rsidRPr="001A3230" w14:paraId="78512561" w14:textId="77777777" w:rsidTr="001A3230">
        <w:tc>
          <w:tcPr>
            <w:tcW w:w="9962" w:type="dxa"/>
          </w:tcPr>
          <w:p w14:paraId="5317FEDA" w14:textId="77777777" w:rsidR="001A3230" w:rsidRPr="00DA6EB4" w:rsidRDefault="001A3230" w:rsidP="001A3230">
            <w:pPr>
              <w:rPr>
                <w:b/>
                <w:sz w:val="18"/>
                <w:szCs w:val="18"/>
              </w:rPr>
            </w:pPr>
            <w:r w:rsidRPr="00DA6EB4">
              <w:rPr>
                <w:b/>
                <w:sz w:val="18"/>
                <w:szCs w:val="18"/>
              </w:rPr>
              <w:t>Agreements</w:t>
            </w:r>
          </w:p>
          <w:p w14:paraId="5A98C6C3" w14:textId="77777777" w:rsidR="001A3230" w:rsidRPr="00DA6EB4" w:rsidRDefault="001A3230" w:rsidP="00D35F36">
            <w:pPr>
              <w:numPr>
                <w:ilvl w:val="0"/>
                <w:numId w:val="85"/>
              </w:numPr>
              <w:ind w:left="610"/>
              <w:rPr>
                <w:sz w:val="18"/>
                <w:szCs w:val="18"/>
              </w:rPr>
            </w:pPr>
            <w:r w:rsidRPr="00DA6EB4">
              <w:rPr>
                <w:sz w:val="18"/>
                <w:szCs w:val="18"/>
              </w:rPr>
              <w:t xml:space="preserve">As the baseline approach, the UE receives the measurement configuration for AI/ML-enabled features/FGs for data collection and logging of measurements.  The network can explicitly configure the UE whether the corresponding data collection and logging (if supported) should be immediately started.  FFS if multiple configurations can be provided to the UE.  FFS if dynamic activation/deactivation is support.  </w:t>
            </w:r>
          </w:p>
          <w:p w14:paraId="4DAAAF7D" w14:textId="7CDD8808" w:rsidR="001A3230" w:rsidRPr="00DA6EB4" w:rsidRDefault="001A3230" w:rsidP="00D35F36">
            <w:pPr>
              <w:numPr>
                <w:ilvl w:val="0"/>
                <w:numId w:val="85"/>
              </w:numPr>
              <w:ind w:left="610"/>
              <w:rPr>
                <w:sz w:val="18"/>
                <w:szCs w:val="18"/>
              </w:rPr>
            </w:pPr>
            <w:r w:rsidRPr="00DA6EB4">
              <w:rPr>
                <w:color w:val="FF0000"/>
                <w:sz w:val="18"/>
                <w:szCs w:val="18"/>
              </w:rPr>
              <w:t xml:space="preserve">UE stores the logged training data </w:t>
            </w:r>
            <w:r w:rsidRPr="00DA6EB4">
              <w:rPr>
                <w:sz w:val="18"/>
                <w:szCs w:val="18"/>
              </w:rPr>
              <w:t xml:space="preserve">at AS layer with a minimum AS layer memory size supported by the UE. FFS on the memory size.  This is across all use </w:t>
            </w:r>
            <w:r w:rsidR="004747D3" w:rsidRPr="004747D3">
              <w:rPr>
                <w:sz w:val="18"/>
                <w:szCs w:val="18"/>
              </w:rPr>
              <w:t>cases When</w:t>
            </w:r>
            <w:r w:rsidRPr="00DA6EB4">
              <w:rPr>
                <w:sz w:val="18"/>
                <w:szCs w:val="18"/>
              </w:rPr>
              <w:t xml:space="preserve"> UE reaches its buffer limitation the UE stops measurement for data collection purposes and logging.   Measurements for data collection purposes and logging based can be controlled based on power state of the UE.  It is up to UE implementation how the UE determines power state.  FFS whether the UE stops autonomously or if it reports to the network.   </w:t>
            </w:r>
          </w:p>
        </w:tc>
      </w:tr>
    </w:tbl>
    <w:p w14:paraId="5F0A957D" w14:textId="7A05F66F" w:rsidR="001A3230" w:rsidRDefault="001A3230" w:rsidP="001A3230">
      <w:r>
        <w:t xml:space="preserve"> </w:t>
      </w:r>
    </w:p>
    <w:p w14:paraId="681DA8CF" w14:textId="41ECC9E4" w:rsidR="007912B9" w:rsidRDefault="008F3D62" w:rsidP="001A3230">
      <w:r>
        <w:t xml:space="preserve">As can be seen in RAN2 agreement above, the baseline procedure is that the UE stores training data in its memory, and report a batch of logged data at a time. That is, the training data reporting time and measurement time are separate, and can be far apart, i.e., likely the reporting time is far later than the SFN wrap-around time of </w:t>
      </w:r>
      <w:r w:rsidRPr="00BE3F92">
        <w:rPr>
          <w:noProof/>
        </w:rPr>
        <w:t>10240 ms</w:t>
      </w:r>
      <w:r>
        <w:rPr>
          <w:noProof/>
        </w:rPr>
        <w:t xml:space="preserve"> (=10.24 sec)</w:t>
      </w:r>
      <w:r>
        <w:t>. Therefore, one cannot rely on an entity that receives the training data to add time stamp</w:t>
      </w:r>
      <w:r w:rsidR="009575BC">
        <w:t>; r</w:t>
      </w:r>
      <w:r w:rsidR="007912B9">
        <w:t>ather the measurement entity itself should add time stamp as the training data is being collected.</w:t>
      </w:r>
    </w:p>
    <w:p w14:paraId="2CFAD837" w14:textId="59B8A8E5" w:rsidR="008F3D62" w:rsidRDefault="007912B9" w:rsidP="001A3230">
      <w:r>
        <w:t>While the RAN2 agreement above is on UE procedure, it is reasonable to expect that the same principle applies when the training data generation entity is on the NW-side (i.e., gNB or LMF for positioning).</w:t>
      </w:r>
      <w:r w:rsidR="009A6BAB">
        <w:t xml:space="preserve"> RAN3 specifications support the use of </w:t>
      </w:r>
      <w:r w:rsidR="001D1822">
        <w:t xml:space="preserve">periodicity </w:t>
      </w:r>
      <w:r w:rsidR="0087132E">
        <w:t>of</w:t>
      </w:r>
      <w:r w:rsidR="001D1822">
        <w:t xml:space="preserve"> up to 30</w:t>
      </w:r>
      <w:r w:rsidR="0087132E">
        <w:t xml:space="preserve"> </w:t>
      </w:r>
      <w:r w:rsidR="001D1822">
        <w:t xml:space="preserve">minutes for reporting of measurements. In that case, SFN/slot level time stamps become ambiguous and a measurement time reference is necessary. </w:t>
      </w:r>
    </w:p>
    <w:p w14:paraId="686B0893" w14:textId="452A3259" w:rsidR="00FC4C36" w:rsidRDefault="00BB764B" w:rsidP="001A3230">
      <w:r>
        <w:t>To clear the ambiguity, the report should always include measurement time whenever the reporting periodicity is too large for the reported measurement to be unambiguously mapped to a time instant</w:t>
      </w:r>
      <w:r w:rsidR="002867BC">
        <w:t xml:space="preserve"> using only SFN/slot numbers. This can be handled by RAN2 and RAN3 groups, but RAN1 should at least </w:t>
      </w:r>
      <w:r w:rsidR="00FC4C36">
        <w:t xml:space="preserve">agree on the need for unambiguous mapping between part A and part B. </w:t>
      </w:r>
    </w:p>
    <w:p w14:paraId="268E5CAC" w14:textId="11BD4D62" w:rsidR="00375910" w:rsidRDefault="007912B9" w:rsidP="001A3230">
      <w:r>
        <w:t>Thus the time stamp for both Part A and Part B should be mandatorily added by the training data generation entity, and the time stamp should use a much longer range than SFN.</w:t>
      </w:r>
      <w:r w:rsidR="0000694F">
        <w:t xml:space="preserve"> Specifically, </w:t>
      </w:r>
    </w:p>
    <w:p w14:paraId="20C9B684" w14:textId="77777777" w:rsidR="00375910" w:rsidRDefault="0000694F" w:rsidP="00D35F36">
      <w:pPr>
        <w:pStyle w:val="ListParagraph"/>
        <w:numPr>
          <w:ilvl w:val="0"/>
          <w:numId w:val="80"/>
        </w:numPr>
      </w:pPr>
      <w:r>
        <w:t xml:space="preserve">for channel measurement and label generated by PRU or non-PRU UE, </w:t>
      </w:r>
      <w:r w:rsidR="0087132E">
        <w:t xml:space="preserve">always </w:t>
      </w:r>
      <w:r>
        <w:t>include the existing IE UTCTime (e.g., for utc-time-r16) in TS 37.355</w:t>
      </w:r>
      <w:r w:rsidR="0087132E">
        <w:t xml:space="preserve"> (i.e., not a choice between SNF and UTCTime)</w:t>
      </w:r>
      <w:r>
        <w:t xml:space="preserve">; </w:t>
      </w:r>
    </w:p>
    <w:p w14:paraId="13D6246F" w14:textId="264E7495" w:rsidR="00375910" w:rsidRDefault="0000694F" w:rsidP="00D35F36">
      <w:pPr>
        <w:pStyle w:val="ListParagraph"/>
        <w:numPr>
          <w:ilvl w:val="0"/>
          <w:numId w:val="80"/>
        </w:numPr>
      </w:pPr>
      <w:r>
        <w:t xml:space="preserve">for channel measurement generated by TRP/gNB, </w:t>
      </w:r>
      <w:r w:rsidR="00D27BD5">
        <w:t xml:space="preserve">either </w:t>
      </w:r>
      <w:r>
        <w:t>change the field “Measurement time” in TS 38.455 from optional to mandatory</w:t>
      </w:r>
      <w:r w:rsidR="00375910">
        <w:t>, or specify that the field “Measurement time” is present whenever the measurement reporting periodicity exceeds 10.24 sec.</w:t>
      </w:r>
    </w:p>
    <w:p w14:paraId="79E6D031" w14:textId="5097C1B3" w:rsidR="0077513F" w:rsidRDefault="0077513F" w:rsidP="001A3230">
      <w:r>
        <w:t>Regarding the time stamp resolution, several different granularities exist in current specifications, for example:</w:t>
      </w:r>
    </w:p>
    <w:p w14:paraId="6D9EF26A" w14:textId="77777777" w:rsidR="0077513F" w:rsidRDefault="0077513F" w:rsidP="0077513F">
      <w:pPr>
        <w:pStyle w:val="ListParagraph"/>
        <w:numPr>
          <w:ilvl w:val="1"/>
          <w:numId w:val="2"/>
        </w:numPr>
      </w:pPr>
      <w:r>
        <w:t>LPP:</w:t>
      </w:r>
    </w:p>
    <w:p w14:paraId="731F5846" w14:textId="5D324C1E" w:rsidR="0077513F" w:rsidRDefault="0077513F" w:rsidP="0077513F">
      <w:pPr>
        <w:pStyle w:val="ListParagraph"/>
        <w:numPr>
          <w:ilvl w:val="2"/>
          <w:numId w:val="2"/>
        </w:numPr>
      </w:pPr>
      <w:r w:rsidRPr="0077513F">
        <w:rPr>
          <w:i/>
          <w:iCs/>
        </w:rPr>
        <w:t>UTCTime</w:t>
      </w:r>
      <w:r>
        <w:t xml:space="preserve"> with a granularity of seconds;</w:t>
      </w:r>
    </w:p>
    <w:p w14:paraId="15C3C131" w14:textId="6C400C73" w:rsidR="0077513F" w:rsidRDefault="0077513F" w:rsidP="0077513F">
      <w:pPr>
        <w:pStyle w:val="ListParagraph"/>
        <w:numPr>
          <w:ilvl w:val="2"/>
          <w:numId w:val="2"/>
        </w:numPr>
      </w:pPr>
      <w:r w:rsidRPr="0077513F">
        <w:rPr>
          <w:rFonts w:ascii="Arial" w:hAnsi="Arial" w:cs="Arial"/>
          <w:i/>
          <w:snapToGrid w:val="0"/>
          <w:kern w:val="0"/>
          <w:sz w:val="18"/>
          <w:szCs w:val="18"/>
          <w:lang w:val="en-GB"/>
          <w14:ligatures w14:val="none"/>
        </w:rPr>
        <w:t>utcTime-ms</w:t>
      </w:r>
      <w:r>
        <w:rPr>
          <w:rFonts w:ascii="Arial" w:hAnsi="Arial" w:cs="Arial"/>
          <w:i/>
          <w:snapToGrid w:val="0"/>
          <w:kern w:val="0"/>
          <w:sz w:val="18"/>
          <w:szCs w:val="18"/>
          <w:lang w:val="en-GB"/>
          <w14:ligatures w14:val="none"/>
        </w:rPr>
        <w:t xml:space="preserve"> </w:t>
      </w:r>
      <w:r>
        <w:t>with a granularity of milliseconds;</w:t>
      </w:r>
    </w:p>
    <w:p w14:paraId="51CD035E" w14:textId="112F9307" w:rsidR="0077513F" w:rsidRDefault="0077513F" w:rsidP="0077513F">
      <w:pPr>
        <w:pStyle w:val="ListParagraph"/>
        <w:numPr>
          <w:ilvl w:val="1"/>
          <w:numId w:val="2"/>
        </w:numPr>
      </w:pPr>
      <w:r>
        <w:t xml:space="preserve">“Measurement time” with a granularity of </w:t>
      </w:r>
      <w:r w:rsidRPr="0077513F">
        <w:t>1 /2**32 second</w:t>
      </w:r>
      <w:r>
        <w:t>.</w:t>
      </w:r>
    </w:p>
    <w:p w14:paraId="585B66A2" w14:textId="2ADB32A6" w:rsidR="0077513F" w:rsidRDefault="0077513F" w:rsidP="0077513F">
      <w:r>
        <w:t>In our view, there is no need to align to a same granularity for time stamp of Part A and</w:t>
      </w:r>
      <w:r w:rsidR="00B2092D">
        <w:t xml:space="preserve"> Part B, and existing IEs can be reused. Regarding how close the stamped time</w:t>
      </w:r>
      <w:r>
        <w:t xml:space="preserve"> </w:t>
      </w:r>
      <w:r w:rsidR="00B2092D">
        <w:t xml:space="preserve">should be between Part A and B so that they can be paired, this is likely </w:t>
      </w:r>
      <w:r w:rsidR="00B2092D">
        <w:lastRenderedPageBreak/>
        <w:t>related to the positioning accuracy requirement,</w:t>
      </w:r>
      <w:r w:rsidR="0084177C">
        <w:t xml:space="preserve"> UE speed,</w:t>
      </w:r>
      <w:r w:rsidR="00B2092D">
        <w:t xml:space="preserve"> and also </w:t>
      </w:r>
      <w:r w:rsidR="00192FC8">
        <w:t xml:space="preserve">related </w:t>
      </w:r>
      <w:r w:rsidR="00B2092D">
        <w:t xml:space="preserve">to the implementation of training data collection entity and model training entity. </w:t>
      </w:r>
      <w:r w:rsidR="00EA3B56">
        <w:t>From RAN1 perspective, t</w:t>
      </w:r>
      <w:r w:rsidR="00B2092D">
        <w:t>here is no need to impose any restriction on how to perform the pairing using the time stamps</w:t>
      </w:r>
      <w:r w:rsidR="00E322C0">
        <w:t>, including the allowed time difference between Part A/B so that they can be paired</w:t>
      </w:r>
      <w:r w:rsidR="00B2092D">
        <w:t>.</w:t>
      </w:r>
    </w:p>
    <w:p w14:paraId="7827A275" w14:textId="77777777" w:rsidR="0000694F" w:rsidRDefault="0000694F" w:rsidP="001A3230"/>
    <w:p w14:paraId="6D6EDF87" w14:textId="589B1A4B" w:rsidR="008F3D62" w:rsidRDefault="00453D50" w:rsidP="00453D50">
      <w:pPr>
        <w:pStyle w:val="Proposal"/>
      </w:pPr>
      <w:bookmarkStart w:id="1459" w:name="_Toc178961920"/>
      <w:r w:rsidRPr="003163C2">
        <w:t xml:space="preserve">For training data collection of AI/ML based positioning, for </w:t>
      </w:r>
      <w:r>
        <w:t>both Part A and Part B</w:t>
      </w:r>
      <w:r w:rsidRPr="003163C2">
        <w:t>,</w:t>
      </w:r>
      <w:r>
        <w:t xml:space="preserve"> time stamp</w:t>
      </w:r>
      <w:r w:rsidR="008B425A">
        <w:t xml:space="preserve"> </w:t>
      </w:r>
      <w:r w:rsidR="005C25DF">
        <w:t>is</w:t>
      </w:r>
      <w:r w:rsidR="008B425A">
        <w:t xml:space="preserve"> mandatorily provided by the training data generation entity.</w:t>
      </w:r>
      <w:bookmarkEnd w:id="1459"/>
    </w:p>
    <w:p w14:paraId="0EA4BFD4" w14:textId="59B483CE" w:rsidR="00B12153" w:rsidRDefault="006830F0" w:rsidP="006830F0">
      <w:pPr>
        <w:pStyle w:val="Proposal"/>
      </w:pPr>
      <w:bookmarkStart w:id="1460" w:name="_Toc178961921"/>
      <w:r w:rsidRPr="003163C2">
        <w:t>For training data collection of AI/ML based positioning,</w:t>
      </w:r>
      <w:r>
        <w:t xml:space="preserve"> the time stamp should allow unambiguous mapping between </w:t>
      </w:r>
      <w:r w:rsidR="005F0F9A">
        <w:t>P</w:t>
      </w:r>
      <w:r>
        <w:t xml:space="preserve">art A and </w:t>
      </w:r>
      <w:r w:rsidR="005F0F9A">
        <w:t>P</w:t>
      </w:r>
      <w:r>
        <w:t>art B.</w:t>
      </w:r>
      <w:bookmarkEnd w:id="1460"/>
      <w:r>
        <w:t xml:space="preserve"> </w:t>
      </w:r>
    </w:p>
    <w:p w14:paraId="65C1491F" w14:textId="152CEFE6" w:rsidR="0084177C" w:rsidRDefault="0084177C" w:rsidP="00B12153">
      <w:pPr>
        <w:pStyle w:val="Proposal"/>
        <w:numPr>
          <w:ilvl w:val="1"/>
          <w:numId w:val="2"/>
        </w:numPr>
      </w:pPr>
      <w:bookmarkStart w:id="1461" w:name="_Toc178961922"/>
      <w:r w:rsidRPr="0084177C">
        <w:t>For channel measurement generated by TRP/gNB</w:t>
      </w:r>
      <w:r>
        <w:t>,</w:t>
      </w:r>
      <w:r w:rsidRPr="0084177C">
        <w:t xml:space="preserve"> </w:t>
      </w:r>
      <w:r>
        <w:t>at least w</w:t>
      </w:r>
      <w:r w:rsidR="004C5956">
        <w:t>hen measurement periodicity</w:t>
      </w:r>
      <w:r w:rsidR="00175447">
        <w:t xml:space="preserve"> exceeds the SFN/slot </w:t>
      </w:r>
      <w:r>
        <w:t>wrap around time (10.24 sec)</w:t>
      </w:r>
      <w:r w:rsidR="00175447">
        <w:t xml:space="preserve">, </w:t>
      </w:r>
      <w:r>
        <w:t>field “M</w:t>
      </w:r>
      <w:r w:rsidR="00175447">
        <w:t>easurement time</w:t>
      </w:r>
      <w:r>
        <w:t>”</w:t>
      </w:r>
      <w:r w:rsidR="00175447">
        <w:t xml:space="preserve"> is included in the time stamp.</w:t>
      </w:r>
      <w:bookmarkEnd w:id="1461"/>
      <w:r w:rsidR="00175447">
        <w:t xml:space="preserve">  </w:t>
      </w:r>
    </w:p>
    <w:p w14:paraId="64821F29" w14:textId="004B98D5" w:rsidR="0084177C" w:rsidRPr="00BE4C4A" w:rsidRDefault="0084177C" w:rsidP="00DA6EB4">
      <w:pPr>
        <w:pStyle w:val="Proposal"/>
        <w:numPr>
          <w:ilvl w:val="1"/>
          <w:numId w:val="2"/>
        </w:numPr>
        <w:rPr>
          <w:lang w:eastAsia="zh-CN"/>
        </w:rPr>
      </w:pPr>
      <w:bookmarkStart w:id="1462" w:name="_Toc178961923"/>
      <w:r w:rsidRPr="003163C2">
        <w:rPr>
          <w:lang w:eastAsia="zh-CN"/>
        </w:rPr>
        <w:t xml:space="preserve">For </w:t>
      </w:r>
      <w:r w:rsidRPr="00BE4C4A">
        <w:t xml:space="preserve">channel measurement and </w:t>
      </w:r>
      <w:r w:rsidRPr="00BE4C4A">
        <w:rPr>
          <w:lang w:eastAsia="zh-CN"/>
        </w:rPr>
        <w:t xml:space="preserve">label generated by PRU or non-PRU UE, </w:t>
      </w:r>
      <w:r w:rsidRPr="00DA6EB4">
        <w:rPr>
          <w:lang w:eastAsia="zh-CN"/>
        </w:rPr>
        <w:t xml:space="preserve">UTC Time </w:t>
      </w:r>
      <w:r w:rsidRPr="00BE4C4A">
        <w:rPr>
          <w:lang w:eastAsia="zh-CN"/>
        </w:rPr>
        <w:t>(e.g., for utc-time-r16) is included in the time stamp</w:t>
      </w:r>
      <w:r w:rsidR="00BE4C4A">
        <w:rPr>
          <w:lang w:eastAsia="zh-CN"/>
        </w:rPr>
        <w:t>.</w:t>
      </w:r>
      <w:bookmarkEnd w:id="1462"/>
    </w:p>
    <w:p w14:paraId="2D7B03A9" w14:textId="7FD1392E" w:rsidR="006830F0" w:rsidRDefault="0084177C" w:rsidP="00DA6EB4">
      <w:pPr>
        <w:pStyle w:val="Proposal"/>
        <w:numPr>
          <w:ilvl w:val="1"/>
          <w:numId w:val="2"/>
        </w:numPr>
      </w:pPr>
      <w:bookmarkStart w:id="1463" w:name="_Toc178961924"/>
      <w:r>
        <w:t>Exactly how to specify</w:t>
      </w:r>
      <w:r w:rsidR="0072740B">
        <w:t xml:space="preserve"> time stamp for Part A and Part B is up to RAN2/RAN3.</w:t>
      </w:r>
      <w:bookmarkEnd w:id="1463"/>
    </w:p>
    <w:p w14:paraId="08123F9C" w14:textId="6D3BC99B" w:rsidR="002332ED" w:rsidRDefault="0040540B" w:rsidP="00184761">
      <w:pPr>
        <w:pStyle w:val="Proposal"/>
      </w:pPr>
      <w:bookmarkStart w:id="1464" w:name="_Toc178961925"/>
      <w:r>
        <w:t>From RAN1 perspective, the existing IEs and their associated granularities can be reused for time stamp of Part A and Part B</w:t>
      </w:r>
      <w:r w:rsidR="002332ED">
        <w:t>.</w:t>
      </w:r>
      <w:r w:rsidR="00331458">
        <w:t xml:space="preserve"> It is acceptable to have different time stamp granularity for Part A and Part B.</w:t>
      </w:r>
      <w:r>
        <w:t xml:space="preserve"> There is no need for RAN1 to discuss how to perform the pairing using the time stamps.</w:t>
      </w:r>
      <w:bookmarkEnd w:id="1464"/>
    </w:p>
    <w:p w14:paraId="58194801" w14:textId="77777777" w:rsidR="005F0F9A" w:rsidRDefault="005F0F9A" w:rsidP="005F0F9A">
      <w:pPr>
        <w:pStyle w:val="Proposal"/>
        <w:numPr>
          <w:ilvl w:val="0"/>
          <w:numId w:val="0"/>
        </w:numPr>
        <w:ind w:left="1304" w:hanging="1304"/>
      </w:pPr>
    </w:p>
    <w:p w14:paraId="752B1213" w14:textId="77777777" w:rsidR="005F0F9A" w:rsidRPr="00DA6EB4" w:rsidRDefault="005F0F9A" w:rsidP="005F0F9A">
      <w:pPr>
        <w:rPr>
          <w:b/>
          <w:bCs/>
          <w:u w:val="single"/>
        </w:rPr>
      </w:pPr>
      <w:r>
        <w:rPr>
          <w:b/>
          <w:bCs/>
          <w:u w:val="single"/>
        </w:rPr>
        <w:t>For reference, existing signaling in 37.355 (LPP):</w:t>
      </w:r>
    </w:p>
    <w:tbl>
      <w:tblPr>
        <w:tblStyle w:val="TableGrid"/>
        <w:tblW w:w="10795" w:type="dxa"/>
        <w:tblLayout w:type="fixed"/>
        <w:tblLook w:val="04A0" w:firstRow="1" w:lastRow="0" w:firstColumn="1" w:lastColumn="0" w:noHBand="0" w:noVBand="1"/>
      </w:tblPr>
      <w:tblGrid>
        <w:gridCol w:w="1975"/>
        <w:gridCol w:w="8820"/>
      </w:tblGrid>
      <w:tr w:rsidR="005F0F9A" w14:paraId="2F7C1DBA" w14:textId="77777777">
        <w:tc>
          <w:tcPr>
            <w:tcW w:w="1975" w:type="dxa"/>
          </w:tcPr>
          <w:p w14:paraId="1061468F" w14:textId="77777777" w:rsidR="005F0F9A" w:rsidRDefault="005F0F9A">
            <w:pPr>
              <w:rPr>
                <w:lang w:val="en-GB"/>
              </w:rPr>
            </w:pPr>
            <w:r>
              <w:t>Terrestrial Beacon System Positioning</w:t>
            </w:r>
          </w:p>
        </w:tc>
        <w:tc>
          <w:tcPr>
            <w:tcW w:w="8820" w:type="dxa"/>
          </w:tcPr>
          <w:p w14:paraId="7EDCA5E6" w14:textId="77777777" w:rsidR="005F0F9A" w:rsidRDefault="005F0F9A">
            <w:pPr>
              <w:pStyle w:val="PL"/>
            </w:pPr>
            <w:r>
              <w:t>TBS-MeasurementInformation-r13 ::= SEQUENCE {</w:t>
            </w:r>
          </w:p>
          <w:p w14:paraId="71D57378" w14:textId="77777777" w:rsidR="005F0F9A" w:rsidRDefault="005F0F9A">
            <w:pPr>
              <w:pStyle w:val="PL"/>
            </w:pPr>
            <w:r>
              <w:tab/>
            </w:r>
            <w:r>
              <w:rPr>
                <w:color w:val="FF0000"/>
              </w:rPr>
              <w:t>measurementReferenceTime-r13</w:t>
            </w:r>
            <w:r>
              <w:rPr>
                <w:color w:val="FF0000"/>
              </w:rPr>
              <w:tab/>
              <w:t>UTCTime</w:t>
            </w:r>
            <w:r>
              <w:rPr>
                <w:color w:val="FF0000"/>
              </w:rPr>
              <w:tab/>
            </w:r>
            <w:r>
              <w:tab/>
            </w:r>
            <w:r>
              <w:tab/>
            </w:r>
            <w:r>
              <w:tab/>
            </w:r>
            <w:r>
              <w:tab/>
            </w:r>
            <w:r>
              <w:tab/>
              <w:t>OPTIONAL,</w:t>
            </w:r>
          </w:p>
          <w:p w14:paraId="24BBB9CF" w14:textId="77777777" w:rsidR="005F0F9A" w:rsidRDefault="005F0F9A">
            <w:pPr>
              <w:pStyle w:val="PL"/>
            </w:pPr>
            <w:r>
              <w:tab/>
              <w:t>mbs-SgnMeasList-r13</w:t>
            </w:r>
            <w:r>
              <w:tab/>
            </w:r>
            <w:r>
              <w:tab/>
            </w:r>
            <w:r>
              <w:tab/>
            </w:r>
            <w:r>
              <w:tab/>
              <w:t>MBS-BeaconMeasList-r13</w:t>
            </w:r>
            <w:r>
              <w:tab/>
            </w:r>
            <w:r>
              <w:tab/>
              <w:t>OPTIONAL,</w:t>
            </w:r>
            <w:r>
              <w:tab/>
              <w:t>-- Cond MBS</w:t>
            </w:r>
          </w:p>
          <w:p w14:paraId="50D3ED60" w14:textId="77777777" w:rsidR="005F0F9A" w:rsidRDefault="005F0F9A">
            <w:pPr>
              <w:pStyle w:val="PL"/>
            </w:pPr>
            <w:r>
              <w:tab/>
              <w:t>…</w:t>
            </w:r>
          </w:p>
          <w:p w14:paraId="6D465809" w14:textId="77777777" w:rsidR="005F0F9A" w:rsidRDefault="005F0F9A">
            <w:pPr>
              <w:pStyle w:val="PL"/>
            </w:pPr>
            <w:r>
              <w:t>}</w:t>
            </w:r>
          </w:p>
          <w:tbl>
            <w:tblPr>
              <w:tblW w:w="81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8145"/>
            </w:tblGrid>
            <w:tr w:rsidR="005F0F9A" w14:paraId="0B997656" w14:textId="77777777">
              <w:trPr>
                <w:cantSplit/>
              </w:trPr>
              <w:tc>
                <w:tcPr>
                  <w:tcW w:w="8145" w:type="dxa"/>
                </w:tcPr>
                <w:p w14:paraId="3EAC3B25" w14:textId="77777777" w:rsidR="005F0F9A" w:rsidRDefault="005F0F9A">
                  <w:pPr>
                    <w:pStyle w:val="TAL"/>
                    <w:rPr>
                      <w:b/>
                      <w:i/>
                      <w:snapToGrid w:val="0"/>
                    </w:rPr>
                  </w:pPr>
                  <w:r>
                    <w:rPr>
                      <w:b/>
                      <w:i/>
                      <w:snapToGrid w:val="0"/>
                    </w:rPr>
                    <w:t>measurementReferenceTime</w:t>
                  </w:r>
                </w:p>
                <w:p w14:paraId="7065C73E" w14:textId="77777777" w:rsidR="005F0F9A" w:rsidRDefault="005F0F9A">
                  <w:pPr>
                    <w:pStyle w:val="TAL"/>
                    <w:keepNext w:val="0"/>
                    <w:keepLines w:val="0"/>
                    <w:widowControl w:val="0"/>
                    <w:rPr>
                      <w:b/>
                      <w:bCs/>
                      <w:i/>
                      <w:iCs/>
                    </w:rPr>
                  </w:pPr>
                  <w:r>
                    <w:rPr>
                      <w:snapToGrid w:val="0"/>
                    </w:rPr>
                    <w:t xml:space="preserve">This field provides the UTC time when the TBS measurements are performed and should take the form of </w:t>
                  </w:r>
                  <w:r>
                    <w:rPr>
                      <w:i/>
                      <w:iCs/>
                    </w:rPr>
                    <w:t>YYMMDDhhmmssZ</w:t>
                  </w:r>
                  <w:r>
                    <w:rPr>
                      <w:snapToGrid w:val="0"/>
                    </w:rPr>
                    <w:t>.</w:t>
                  </w:r>
                </w:p>
              </w:tc>
            </w:tr>
          </w:tbl>
          <w:p w14:paraId="195D686F" w14:textId="77777777" w:rsidR="005F0F9A" w:rsidRDefault="005F0F9A">
            <w:pPr>
              <w:pStyle w:val="PL"/>
              <w:rPr>
                <w:snapToGrid w:val="0"/>
              </w:rPr>
            </w:pPr>
          </w:p>
        </w:tc>
      </w:tr>
      <w:tr w:rsidR="005F0F9A" w14:paraId="638CA866" w14:textId="77777777">
        <w:tc>
          <w:tcPr>
            <w:tcW w:w="1975" w:type="dxa"/>
          </w:tcPr>
          <w:p w14:paraId="478D3346" w14:textId="77777777" w:rsidR="005F0F9A" w:rsidRDefault="005F0F9A">
            <w:pPr>
              <w:rPr>
                <w:lang w:val="en-GB"/>
              </w:rPr>
            </w:pPr>
          </w:p>
        </w:tc>
        <w:tc>
          <w:tcPr>
            <w:tcW w:w="8820" w:type="dxa"/>
          </w:tcPr>
          <w:p w14:paraId="0EF4E1F2" w14:textId="77777777" w:rsidR="005F0F9A" w:rsidRDefault="005F0F9A">
            <w:pPr>
              <w:pStyle w:val="PL"/>
              <w:rPr>
                <w:snapToGrid w:val="0"/>
              </w:rPr>
            </w:pPr>
          </w:p>
        </w:tc>
      </w:tr>
      <w:tr w:rsidR="005F0F9A" w14:paraId="0ED7CE78" w14:textId="77777777">
        <w:tc>
          <w:tcPr>
            <w:tcW w:w="1975" w:type="dxa"/>
          </w:tcPr>
          <w:p w14:paraId="262546B2" w14:textId="77777777" w:rsidR="005F0F9A" w:rsidRDefault="005F0F9A">
            <w:pPr>
              <w:rPr>
                <w:lang w:val="en-GB"/>
              </w:rPr>
            </w:pPr>
            <w:r>
              <w:rPr>
                <w:lang w:val="en-GB"/>
              </w:rPr>
              <w:t>NR DL-TDOA Positioning</w:t>
            </w:r>
          </w:p>
        </w:tc>
        <w:tc>
          <w:tcPr>
            <w:tcW w:w="8820" w:type="dxa"/>
          </w:tcPr>
          <w:p w14:paraId="7F15D4E1" w14:textId="77777777" w:rsidR="005F0F9A" w:rsidRDefault="005F0F9A">
            <w:pPr>
              <w:pStyle w:val="PL"/>
              <w:rPr>
                <w:snapToGrid w:val="0"/>
              </w:rPr>
            </w:pPr>
            <w:r>
              <w:rPr>
                <w:snapToGrid w:val="0"/>
              </w:rPr>
              <w:t>NR-DL-TDOA-LocationInformation-r16 ::= SEQUENCE {</w:t>
            </w:r>
          </w:p>
          <w:p w14:paraId="0394C11D" w14:textId="77777777" w:rsidR="005F0F9A" w:rsidRDefault="005F0F9A">
            <w:pPr>
              <w:pStyle w:val="PL"/>
              <w:rPr>
                <w:snapToGrid w:val="0"/>
                <w:color w:val="FF0000"/>
              </w:rPr>
            </w:pPr>
            <w:r>
              <w:rPr>
                <w:snapToGrid w:val="0"/>
              </w:rPr>
              <w:tab/>
            </w:r>
            <w:r>
              <w:rPr>
                <w:snapToGrid w:val="0"/>
                <w:color w:val="FF0000"/>
              </w:rPr>
              <w:t>measurementReferenceTime-r16</w:t>
            </w:r>
            <w:r>
              <w:rPr>
                <w:snapToGrid w:val="0"/>
                <w:color w:val="FF0000"/>
              </w:rPr>
              <w:tab/>
              <w:t>CHOICE {</w:t>
            </w:r>
          </w:p>
          <w:p w14:paraId="7CC1354C" w14:textId="77777777" w:rsidR="005F0F9A" w:rsidRDefault="005F0F9A">
            <w:pPr>
              <w:pStyle w:val="PL"/>
              <w:rPr>
                <w:snapToGrid w:val="0"/>
                <w:color w:val="FF0000"/>
              </w:rPr>
            </w:pPr>
            <w:r>
              <w:rPr>
                <w:snapToGrid w:val="0"/>
                <w:color w:val="FF0000"/>
              </w:rPr>
              <w:tab/>
            </w:r>
            <w:r>
              <w:rPr>
                <w:snapToGrid w:val="0"/>
                <w:color w:val="FF0000"/>
              </w:rPr>
              <w:tab/>
            </w:r>
            <w:r>
              <w:rPr>
                <w:snapToGrid w:val="0"/>
                <w:color w:val="FF0000"/>
              </w:rPr>
              <w:tab/>
              <w:t>systemFrameNumber-r16</w:t>
            </w:r>
            <w:r>
              <w:rPr>
                <w:snapToGrid w:val="0"/>
                <w:color w:val="FF0000"/>
              </w:rPr>
              <w:tab/>
            </w:r>
            <w:r>
              <w:rPr>
                <w:snapToGrid w:val="0"/>
                <w:color w:val="FF0000"/>
              </w:rPr>
              <w:tab/>
            </w:r>
            <w:r>
              <w:rPr>
                <w:snapToGrid w:val="0"/>
                <w:color w:val="FF0000"/>
              </w:rPr>
              <w:tab/>
              <w:t>NR-TimeStamp-r16,</w:t>
            </w:r>
          </w:p>
          <w:p w14:paraId="1B26948E" w14:textId="77777777" w:rsidR="005F0F9A" w:rsidRDefault="005F0F9A">
            <w:pPr>
              <w:pStyle w:val="PL"/>
              <w:rPr>
                <w:snapToGrid w:val="0"/>
                <w:color w:val="FF0000"/>
              </w:rPr>
            </w:pPr>
            <w:r>
              <w:rPr>
                <w:snapToGrid w:val="0"/>
                <w:color w:val="FF0000"/>
              </w:rPr>
              <w:tab/>
            </w:r>
            <w:r>
              <w:rPr>
                <w:snapToGrid w:val="0"/>
                <w:color w:val="FF0000"/>
              </w:rPr>
              <w:tab/>
            </w:r>
            <w:r>
              <w:rPr>
                <w:snapToGrid w:val="0"/>
                <w:color w:val="FF0000"/>
              </w:rPr>
              <w:tab/>
              <w:t>utc-time-r16</w:t>
            </w:r>
            <w:r>
              <w:rPr>
                <w:snapToGrid w:val="0"/>
                <w:color w:val="FF0000"/>
              </w:rPr>
              <w:tab/>
            </w:r>
            <w:r>
              <w:rPr>
                <w:snapToGrid w:val="0"/>
                <w:color w:val="FF0000"/>
              </w:rPr>
              <w:tab/>
            </w:r>
            <w:r>
              <w:rPr>
                <w:snapToGrid w:val="0"/>
                <w:color w:val="FF0000"/>
              </w:rPr>
              <w:tab/>
            </w:r>
            <w:r>
              <w:rPr>
                <w:snapToGrid w:val="0"/>
                <w:color w:val="FF0000"/>
              </w:rPr>
              <w:tab/>
            </w:r>
            <w:r>
              <w:rPr>
                <w:snapToGrid w:val="0"/>
                <w:color w:val="FF0000"/>
              </w:rPr>
              <w:tab/>
              <w:t>UTCTime,</w:t>
            </w:r>
          </w:p>
          <w:p w14:paraId="321DCD73" w14:textId="77777777" w:rsidR="005F0F9A" w:rsidRDefault="005F0F9A">
            <w:pPr>
              <w:pStyle w:val="PL"/>
              <w:rPr>
                <w:snapToGrid w:val="0"/>
              </w:rPr>
            </w:pPr>
            <w:r>
              <w:rPr>
                <w:snapToGrid w:val="0"/>
              </w:rPr>
              <w:tab/>
            </w:r>
            <w:r>
              <w:rPr>
                <w:snapToGrid w:val="0"/>
              </w:rPr>
              <w:tab/>
            </w:r>
            <w:r>
              <w:rPr>
                <w:snapToGrid w:val="0"/>
              </w:rPr>
              <w:tab/>
              <w:t>…</w:t>
            </w:r>
          </w:p>
          <w:p w14:paraId="3C5F81A8" w14:textId="77777777" w:rsidR="005F0F9A" w:rsidRDefault="005F0F9A">
            <w:pPr>
              <w:pStyle w:val="PL"/>
              <w:rPr>
                <w:snapToGrid w:val="0"/>
              </w:rPr>
            </w:pP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tbl>
            <w:tblPr>
              <w:tblW w:w="81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8145"/>
            </w:tblGrid>
            <w:tr w:rsidR="005F0F9A" w14:paraId="651E419B" w14:textId="77777777">
              <w:trPr>
                <w:cantSplit/>
              </w:trPr>
              <w:tc>
                <w:tcPr>
                  <w:tcW w:w="8145" w:type="dxa"/>
                </w:tcPr>
                <w:p w14:paraId="36FDCB72" w14:textId="77777777" w:rsidR="005F0F9A" w:rsidRDefault="005F0F9A">
                  <w:pPr>
                    <w:pStyle w:val="TAL"/>
                    <w:keepNext w:val="0"/>
                    <w:keepLines w:val="0"/>
                    <w:widowControl w:val="0"/>
                    <w:rPr>
                      <w:b/>
                      <w:i/>
                    </w:rPr>
                  </w:pPr>
                  <w:r>
                    <w:rPr>
                      <w:b/>
                      <w:i/>
                    </w:rPr>
                    <w:t>measurementReferenceTime</w:t>
                  </w:r>
                </w:p>
                <w:p w14:paraId="41729DD8" w14:textId="77777777" w:rsidR="005F0F9A" w:rsidRDefault="005F0F9A">
                  <w:pPr>
                    <w:pStyle w:val="TAL"/>
                    <w:keepNext w:val="0"/>
                    <w:keepLines w:val="0"/>
                    <w:widowControl w:val="0"/>
                  </w:pPr>
                  <w:r>
                    <w:t>This field specifies the time for which the location estimate is</w:t>
                  </w:r>
                  <w:r>
                    <w:rPr>
                      <w:snapToGrid w:val="0"/>
                    </w:rPr>
                    <w:t xml:space="preserve"> valid.</w:t>
                  </w:r>
                </w:p>
              </w:tc>
            </w:tr>
          </w:tbl>
          <w:p w14:paraId="54C7C4DA" w14:textId="77777777" w:rsidR="005F0F9A" w:rsidRDefault="005F0F9A">
            <w:pPr>
              <w:rPr>
                <w:lang w:val="en-GB"/>
              </w:rPr>
            </w:pPr>
          </w:p>
        </w:tc>
      </w:tr>
      <w:tr w:rsidR="005F0F9A" w14:paraId="52C93A3A" w14:textId="77777777">
        <w:tc>
          <w:tcPr>
            <w:tcW w:w="1975" w:type="dxa"/>
          </w:tcPr>
          <w:p w14:paraId="08187AF5" w14:textId="77777777" w:rsidR="005F0F9A" w:rsidRDefault="005F0F9A">
            <w:pPr>
              <w:rPr>
                <w:lang w:val="en-GB"/>
              </w:rPr>
            </w:pPr>
            <w:r>
              <w:t>NR DL-AoD Positioning</w:t>
            </w:r>
          </w:p>
        </w:tc>
        <w:tc>
          <w:tcPr>
            <w:tcW w:w="8820" w:type="dxa"/>
          </w:tcPr>
          <w:p w14:paraId="2E31C6AC" w14:textId="77777777" w:rsidR="005F0F9A" w:rsidRDefault="005F0F9A">
            <w:pPr>
              <w:pStyle w:val="PL"/>
              <w:rPr>
                <w:snapToGrid w:val="0"/>
              </w:rPr>
            </w:pPr>
            <w:r>
              <w:rPr>
                <w:snapToGrid w:val="0"/>
              </w:rPr>
              <w:t>NR-DL-AoD-LocationInformation-r16 ::= SEQUENCE {</w:t>
            </w:r>
          </w:p>
          <w:p w14:paraId="469F7AC4" w14:textId="77777777" w:rsidR="005F0F9A" w:rsidRDefault="005F0F9A">
            <w:pPr>
              <w:pStyle w:val="PL"/>
              <w:rPr>
                <w:snapToGrid w:val="0"/>
                <w:color w:val="FF0000"/>
              </w:rPr>
            </w:pPr>
            <w:r>
              <w:rPr>
                <w:snapToGrid w:val="0"/>
              </w:rPr>
              <w:tab/>
            </w:r>
            <w:r>
              <w:rPr>
                <w:snapToGrid w:val="0"/>
                <w:color w:val="FF0000"/>
              </w:rPr>
              <w:t>measurementReferenceTime-r16</w:t>
            </w:r>
            <w:r>
              <w:rPr>
                <w:snapToGrid w:val="0"/>
                <w:color w:val="FF0000"/>
              </w:rPr>
              <w:tab/>
            </w:r>
            <w:r>
              <w:rPr>
                <w:snapToGrid w:val="0"/>
                <w:color w:val="FF0000"/>
              </w:rPr>
              <w:tab/>
              <w:t>CHOICE {</w:t>
            </w:r>
          </w:p>
          <w:p w14:paraId="6F359993" w14:textId="77777777" w:rsidR="005F0F9A" w:rsidRDefault="005F0F9A">
            <w:pPr>
              <w:pStyle w:val="PL"/>
              <w:rPr>
                <w:snapToGrid w:val="0"/>
                <w:color w:val="FF0000"/>
              </w:rPr>
            </w:pPr>
            <w:r>
              <w:rPr>
                <w:snapToGrid w:val="0"/>
                <w:color w:val="FF0000"/>
              </w:rPr>
              <w:tab/>
            </w:r>
            <w:r>
              <w:rPr>
                <w:snapToGrid w:val="0"/>
                <w:color w:val="FF0000"/>
              </w:rPr>
              <w:tab/>
            </w:r>
            <w:r>
              <w:rPr>
                <w:snapToGrid w:val="0"/>
                <w:color w:val="FF0000"/>
              </w:rPr>
              <w:tab/>
              <w:t>sfn-time-r16</w:t>
            </w:r>
            <w:r>
              <w:rPr>
                <w:snapToGrid w:val="0"/>
                <w:color w:val="FF0000"/>
              </w:rPr>
              <w:tab/>
            </w:r>
            <w:r>
              <w:rPr>
                <w:snapToGrid w:val="0"/>
                <w:color w:val="FF0000"/>
              </w:rPr>
              <w:tab/>
            </w:r>
            <w:r>
              <w:rPr>
                <w:snapToGrid w:val="0"/>
                <w:color w:val="FF0000"/>
              </w:rPr>
              <w:tab/>
            </w:r>
            <w:r>
              <w:rPr>
                <w:snapToGrid w:val="0"/>
                <w:color w:val="FF0000"/>
              </w:rPr>
              <w:tab/>
            </w:r>
            <w:r>
              <w:rPr>
                <w:snapToGrid w:val="0"/>
                <w:color w:val="FF0000"/>
              </w:rPr>
              <w:tab/>
              <w:t>NR-TimeStamp-r16,</w:t>
            </w:r>
          </w:p>
          <w:p w14:paraId="76519D93" w14:textId="77777777" w:rsidR="005F0F9A" w:rsidRDefault="005F0F9A">
            <w:pPr>
              <w:pStyle w:val="PL"/>
              <w:rPr>
                <w:snapToGrid w:val="0"/>
              </w:rPr>
            </w:pPr>
            <w:r>
              <w:rPr>
                <w:snapToGrid w:val="0"/>
                <w:color w:val="FF0000"/>
              </w:rPr>
              <w:tab/>
            </w:r>
            <w:r>
              <w:rPr>
                <w:snapToGrid w:val="0"/>
                <w:color w:val="FF0000"/>
              </w:rPr>
              <w:tab/>
            </w:r>
            <w:r>
              <w:rPr>
                <w:snapToGrid w:val="0"/>
                <w:color w:val="FF0000"/>
              </w:rPr>
              <w:tab/>
              <w:t>utc-time-r16</w:t>
            </w:r>
            <w:r>
              <w:rPr>
                <w:snapToGrid w:val="0"/>
                <w:color w:val="FF0000"/>
              </w:rPr>
              <w:tab/>
            </w:r>
            <w:r>
              <w:rPr>
                <w:snapToGrid w:val="0"/>
                <w:color w:val="FF0000"/>
              </w:rPr>
              <w:tab/>
            </w:r>
            <w:r>
              <w:rPr>
                <w:snapToGrid w:val="0"/>
                <w:color w:val="FF0000"/>
              </w:rPr>
              <w:tab/>
            </w:r>
            <w:r>
              <w:rPr>
                <w:snapToGrid w:val="0"/>
                <w:color w:val="FF0000"/>
              </w:rPr>
              <w:tab/>
            </w:r>
            <w:r>
              <w:rPr>
                <w:snapToGrid w:val="0"/>
                <w:color w:val="FF0000"/>
              </w:rPr>
              <w:tab/>
              <w:t>UTCTime,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5F0F9A" w14:paraId="6AC25522" w14:textId="77777777">
              <w:trPr>
                <w:cantSplit/>
              </w:trPr>
              <w:tc>
                <w:tcPr>
                  <w:tcW w:w="9639" w:type="dxa"/>
                </w:tcPr>
                <w:p w14:paraId="3417164D" w14:textId="77777777" w:rsidR="005F0F9A" w:rsidRDefault="005F0F9A">
                  <w:pPr>
                    <w:pStyle w:val="TAL"/>
                    <w:keepNext w:val="0"/>
                    <w:keepLines w:val="0"/>
                    <w:widowControl w:val="0"/>
                    <w:rPr>
                      <w:b/>
                      <w:i/>
                    </w:rPr>
                  </w:pPr>
                  <w:r>
                    <w:rPr>
                      <w:b/>
                      <w:i/>
                    </w:rPr>
                    <w:t>measurementReferenceTime</w:t>
                  </w:r>
                </w:p>
                <w:p w14:paraId="74BF5239" w14:textId="77777777" w:rsidR="005F0F9A" w:rsidRDefault="005F0F9A">
                  <w:pPr>
                    <w:pStyle w:val="TAL"/>
                    <w:keepNext w:val="0"/>
                    <w:keepLines w:val="0"/>
                    <w:widowControl w:val="0"/>
                  </w:pPr>
                  <w:r>
                    <w:t>This field specifies the time for which the location estimate is</w:t>
                  </w:r>
                  <w:r>
                    <w:rPr>
                      <w:snapToGrid w:val="0"/>
                    </w:rPr>
                    <w:t xml:space="preserve"> valid.</w:t>
                  </w:r>
                </w:p>
              </w:tc>
            </w:tr>
          </w:tbl>
          <w:p w14:paraId="3C48E014" w14:textId="77777777" w:rsidR="005F0F9A" w:rsidRDefault="005F0F9A">
            <w:pPr>
              <w:pStyle w:val="PL"/>
              <w:rPr>
                <w:snapToGrid w:val="0"/>
              </w:rPr>
            </w:pPr>
          </w:p>
        </w:tc>
      </w:tr>
    </w:tbl>
    <w:p w14:paraId="0CCBB08B" w14:textId="77777777" w:rsidR="005F0F9A" w:rsidRDefault="005F0F9A" w:rsidP="005F0F9A"/>
    <w:p w14:paraId="61B3B263"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7513F">
        <w:rPr>
          <w:rFonts w:ascii="Courier New" w:hAnsi="Courier New"/>
          <w:noProof/>
          <w:snapToGrid w:val="0"/>
          <w:sz w:val="16"/>
        </w:rPr>
        <w:t>UTC-Time-r15 ::= SEQUENCE {</w:t>
      </w:r>
    </w:p>
    <w:p w14:paraId="45CF77B3"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7513F">
        <w:rPr>
          <w:rFonts w:ascii="Courier New" w:hAnsi="Courier New"/>
          <w:noProof/>
          <w:snapToGrid w:val="0"/>
          <w:sz w:val="16"/>
        </w:rPr>
        <w:tab/>
        <w:t>utcTime-r15</w:t>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z w:val="16"/>
        </w:rPr>
        <w:t>UTCTime</w:t>
      </w:r>
      <w:r w:rsidRPr="0077513F">
        <w:rPr>
          <w:rFonts w:ascii="Courier New" w:hAnsi="Courier New"/>
          <w:noProof/>
          <w:snapToGrid w:val="0"/>
          <w:sz w:val="16"/>
        </w:rPr>
        <w:t>,</w:t>
      </w:r>
    </w:p>
    <w:p w14:paraId="432FF1E8"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7513F">
        <w:rPr>
          <w:rFonts w:ascii="Courier New" w:hAnsi="Courier New"/>
          <w:noProof/>
          <w:snapToGrid w:val="0"/>
          <w:sz w:val="16"/>
        </w:rPr>
        <w:tab/>
        <w:t>utcTime-ms-r15</w:t>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t>INTEGER (0..999),</w:t>
      </w:r>
    </w:p>
    <w:p w14:paraId="21602FFE"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7513F">
        <w:rPr>
          <w:rFonts w:ascii="Courier New" w:hAnsi="Courier New"/>
          <w:noProof/>
          <w:snapToGrid w:val="0"/>
          <w:sz w:val="16"/>
        </w:rPr>
        <w:tab/>
        <w:t>...</w:t>
      </w:r>
    </w:p>
    <w:p w14:paraId="021DED88"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7513F">
        <w:rPr>
          <w:rFonts w:ascii="Courier New" w:hAnsi="Courier New"/>
          <w:noProof/>
          <w:snapToGrid w:val="0"/>
          <w:sz w:val="16"/>
        </w:rPr>
        <w:t>}</w:t>
      </w: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7513F" w:rsidRPr="0077513F" w14:paraId="2DE74C94" w14:textId="77777777" w:rsidTr="00E23977">
        <w:trPr>
          <w:cantSplit/>
        </w:trPr>
        <w:tc>
          <w:tcPr>
            <w:tcW w:w="10065" w:type="dxa"/>
          </w:tcPr>
          <w:p w14:paraId="42AD6621" w14:textId="77777777" w:rsidR="0077513F" w:rsidRPr="0077513F" w:rsidRDefault="0077513F" w:rsidP="0077513F">
            <w:pPr>
              <w:keepNext/>
              <w:keepLines/>
              <w:rPr>
                <w:rFonts w:ascii="Arial" w:hAnsi="Arial"/>
                <w:b/>
                <w:bCs/>
                <w:i/>
                <w:iCs/>
                <w:noProof/>
                <w:sz w:val="18"/>
              </w:rPr>
            </w:pPr>
            <w:r w:rsidRPr="0077513F">
              <w:rPr>
                <w:rFonts w:ascii="Arial" w:hAnsi="Arial"/>
                <w:b/>
                <w:bCs/>
                <w:i/>
                <w:iCs/>
                <w:noProof/>
                <w:sz w:val="18"/>
              </w:rPr>
              <w:lastRenderedPageBreak/>
              <w:t>utcTime</w:t>
            </w:r>
          </w:p>
          <w:p w14:paraId="1133E598" w14:textId="77777777" w:rsidR="0077513F" w:rsidRPr="0077513F" w:rsidRDefault="0077513F" w:rsidP="0077513F">
            <w:pPr>
              <w:keepNext/>
              <w:keepLines/>
              <w:rPr>
                <w:rFonts w:ascii="Arial" w:hAnsi="Arial"/>
                <w:bCs/>
                <w:iCs/>
                <w:noProof/>
                <w:sz w:val="18"/>
              </w:rPr>
            </w:pPr>
            <w:r w:rsidRPr="0077513F">
              <w:rPr>
                <w:rFonts w:ascii="Arial" w:hAnsi="Arial"/>
                <w:bCs/>
                <w:iCs/>
                <w:noProof/>
                <w:sz w:val="18"/>
              </w:rPr>
              <w:t xml:space="preserve">This field provides the time stamp of the </w:t>
            </w:r>
            <w:r w:rsidRPr="0077513F">
              <w:rPr>
                <w:rFonts w:ascii="Arial" w:hAnsi="Arial"/>
                <w:bCs/>
                <w:i/>
                <w:iCs/>
                <w:noProof/>
                <w:sz w:val="18"/>
              </w:rPr>
              <w:t>refTime</w:t>
            </w:r>
            <w:r w:rsidRPr="0077513F">
              <w:rPr>
                <w:rFonts w:ascii="Arial" w:hAnsi="Arial"/>
                <w:bCs/>
                <w:iCs/>
                <w:noProof/>
                <w:sz w:val="18"/>
              </w:rPr>
              <w:t xml:space="preserve"> in UTC time and comprises the following subfields:</w:t>
            </w:r>
          </w:p>
          <w:p w14:paraId="0EFBB763" w14:textId="77777777" w:rsidR="0077513F" w:rsidRPr="0077513F" w:rsidRDefault="0077513F" w:rsidP="0077513F">
            <w:pPr>
              <w:ind w:left="576" w:hanging="288"/>
              <w:rPr>
                <w:rFonts w:ascii="Arial" w:hAnsi="Arial" w:cs="Arial"/>
                <w:noProof/>
                <w:sz w:val="18"/>
                <w:szCs w:val="18"/>
              </w:rPr>
            </w:pPr>
            <w:r w:rsidRPr="0077513F">
              <w:rPr>
                <w:rFonts w:ascii="Arial" w:hAnsi="Arial" w:cs="Arial"/>
                <w:snapToGrid w:val="0"/>
                <w:sz w:val="18"/>
                <w:szCs w:val="18"/>
              </w:rPr>
              <w:t>-</w:t>
            </w:r>
            <w:r w:rsidRPr="0077513F">
              <w:rPr>
                <w:rFonts w:ascii="Arial" w:hAnsi="Arial" w:cs="Arial"/>
                <w:snapToGrid w:val="0"/>
                <w:sz w:val="18"/>
                <w:szCs w:val="18"/>
              </w:rPr>
              <w:tab/>
            </w:r>
            <w:r w:rsidRPr="0077513F">
              <w:rPr>
                <w:rFonts w:ascii="Arial" w:hAnsi="Arial" w:cs="Arial"/>
                <w:i/>
                <w:snapToGrid w:val="0"/>
                <w:sz w:val="18"/>
                <w:szCs w:val="18"/>
              </w:rPr>
              <w:t>utcTime</w:t>
            </w:r>
            <w:r w:rsidRPr="0077513F">
              <w:rPr>
                <w:rFonts w:ascii="Arial" w:hAnsi="Arial" w:cs="Arial"/>
                <w:noProof/>
                <w:sz w:val="18"/>
                <w:szCs w:val="18"/>
              </w:rPr>
              <w:t xml:space="preserve"> in the form of </w:t>
            </w:r>
            <w:r w:rsidRPr="0077513F">
              <w:rPr>
                <w:rFonts w:ascii="Arial" w:hAnsi="Arial" w:cs="Arial"/>
                <w:noProof/>
                <w:color w:val="FF0000"/>
                <w:sz w:val="18"/>
                <w:szCs w:val="18"/>
              </w:rPr>
              <w:t>YYMMDDhhmmssZ</w:t>
            </w:r>
            <w:r w:rsidRPr="0077513F">
              <w:rPr>
                <w:rFonts w:ascii="Arial" w:hAnsi="Arial" w:cs="Arial"/>
                <w:noProof/>
                <w:sz w:val="18"/>
                <w:szCs w:val="18"/>
              </w:rPr>
              <w:t>.</w:t>
            </w:r>
          </w:p>
          <w:p w14:paraId="69B70929" w14:textId="77777777" w:rsidR="0077513F" w:rsidRPr="0077513F" w:rsidRDefault="0077513F" w:rsidP="0077513F">
            <w:pPr>
              <w:ind w:left="576" w:hanging="288"/>
              <w:rPr>
                <w:noProof/>
              </w:rPr>
            </w:pPr>
            <w:r w:rsidRPr="0077513F">
              <w:rPr>
                <w:rFonts w:ascii="Arial" w:hAnsi="Arial" w:cs="Arial"/>
                <w:snapToGrid w:val="0"/>
                <w:sz w:val="18"/>
                <w:szCs w:val="18"/>
              </w:rPr>
              <w:t>-</w:t>
            </w:r>
            <w:r w:rsidRPr="0077513F">
              <w:rPr>
                <w:rFonts w:ascii="Arial" w:hAnsi="Arial" w:cs="Arial"/>
                <w:snapToGrid w:val="0"/>
                <w:sz w:val="18"/>
                <w:szCs w:val="18"/>
              </w:rPr>
              <w:tab/>
            </w:r>
            <w:r w:rsidRPr="0077513F">
              <w:rPr>
                <w:rFonts w:ascii="Arial" w:hAnsi="Arial" w:cs="Arial"/>
                <w:i/>
                <w:snapToGrid w:val="0"/>
                <w:sz w:val="18"/>
                <w:szCs w:val="18"/>
              </w:rPr>
              <w:t>utcTime-ms</w:t>
            </w:r>
            <w:r w:rsidRPr="0077513F">
              <w:rPr>
                <w:rFonts w:ascii="Arial" w:hAnsi="Arial" w:cs="Arial"/>
                <w:snapToGrid w:val="0"/>
                <w:sz w:val="18"/>
                <w:szCs w:val="18"/>
              </w:rPr>
              <w:t xml:space="preserve"> specifies the fractional part of the </w:t>
            </w:r>
            <w:r w:rsidRPr="0077513F">
              <w:rPr>
                <w:rFonts w:ascii="Arial" w:hAnsi="Arial" w:cs="Arial"/>
                <w:snapToGrid w:val="0"/>
                <w:color w:val="FF0000"/>
                <w:sz w:val="18"/>
                <w:szCs w:val="18"/>
              </w:rPr>
              <w:t>UTC time in ms resolution</w:t>
            </w:r>
            <w:r w:rsidRPr="0077513F">
              <w:rPr>
                <w:rFonts w:ascii="Arial" w:hAnsi="Arial" w:cs="Arial"/>
                <w:snapToGrid w:val="0"/>
                <w:sz w:val="18"/>
                <w:szCs w:val="18"/>
              </w:rPr>
              <w:t>.</w:t>
            </w:r>
          </w:p>
        </w:tc>
      </w:tr>
    </w:tbl>
    <w:p w14:paraId="18C61619" w14:textId="77777777" w:rsidR="0077513F" w:rsidRDefault="0077513F" w:rsidP="005F0F9A"/>
    <w:p w14:paraId="1DA5DF15" w14:textId="77777777" w:rsidR="0077513F" w:rsidRDefault="0077513F" w:rsidP="005F0F9A"/>
    <w:p w14:paraId="7D40866E" w14:textId="77777777" w:rsidR="005F0F9A" w:rsidRDefault="005F0F9A" w:rsidP="005F0F9A">
      <w:pPr>
        <w:rPr>
          <w:b/>
          <w:bCs/>
          <w:u w:val="single"/>
        </w:rPr>
      </w:pPr>
      <w:r>
        <w:rPr>
          <w:b/>
          <w:bCs/>
          <w:u w:val="single"/>
        </w:rPr>
        <w:t>For reference, existing signaling in 38.455 (NRPPa):</w:t>
      </w:r>
    </w:p>
    <w:p w14:paraId="2F72242C" w14:textId="77777777" w:rsidR="005F0F9A" w:rsidRDefault="005F0F9A" w:rsidP="005F0F9A">
      <w:bookmarkStart w:id="1465" w:name="_Toc113379432"/>
      <w:bookmarkStart w:id="1466" w:name="_Toc155982900"/>
      <w:bookmarkStart w:id="1467" w:name="_Toc64447711"/>
      <w:bookmarkStart w:id="1468" w:name="_Toc112766516"/>
      <w:bookmarkStart w:id="1469" w:name="_Toc106109624"/>
      <w:bookmarkStart w:id="1470" w:name="_Toc99959222"/>
      <w:bookmarkStart w:id="1471" w:name="_Toc88654220"/>
      <w:bookmarkStart w:id="1472" w:name="_Toc120091985"/>
      <w:bookmarkStart w:id="1473" w:name="_Toc56773082"/>
      <w:bookmarkStart w:id="1474" w:name="_Toc99056289"/>
      <w:bookmarkStart w:id="1475" w:name="_Toc51776060"/>
      <w:bookmarkStart w:id="1476" w:name="_Toc74152367"/>
      <w:bookmarkStart w:id="1477" w:name="_Toc105612408"/>
      <w:r>
        <w:t>9.2.42</w:t>
      </w:r>
      <w:r>
        <w:tab/>
      </w:r>
      <w:r>
        <w:tab/>
        <w:t>Time Stamp</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8E2695A" w14:textId="77777777" w:rsidR="005F0F9A" w:rsidRDefault="005F0F9A" w:rsidP="005F0F9A">
      <w:r>
        <w:t>This information element contains the time stamp.</w:t>
      </w:r>
    </w:p>
    <w:tbl>
      <w:tblPr>
        <w:tblW w:w="9720" w:type="dxa"/>
        <w:tblLayout w:type="fixed"/>
        <w:tblLook w:val="04A0" w:firstRow="1" w:lastRow="0" w:firstColumn="1" w:lastColumn="0" w:noHBand="0" w:noVBand="1"/>
      </w:tblPr>
      <w:tblGrid>
        <w:gridCol w:w="2448"/>
        <w:gridCol w:w="1080"/>
        <w:gridCol w:w="1439"/>
        <w:gridCol w:w="1872"/>
        <w:gridCol w:w="2881"/>
      </w:tblGrid>
      <w:tr w:rsidR="005F0F9A" w14:paraId="4E7F4F28" w14:textId="77777777">
        <w:tc>
          <w:tcPr>
            <w:tcW w:w="2448" w:type="dxa"/>
            <w:tcBorders>
              <w:top w:val="single" w:sz="4" w:space="0" w:color="000000"/>
              <w:left w:val="single" w:sz="4" w:space="0" w:color="000000"/>
              <w:bottom w:val="single" w:sz="4" w:space="0" w:color="000000"/>
              <w:right w:val="single" w:sz="4" w:space="0" w:color="000000"/>
            </w:tcBorders>
          </w:tcPr>
          <w:p w14:paraId="30F07278" w14:textId="77777777" w:rsidR="005F0F9A" w:rsidRDefault="005F0F9A" w:rsidP="003A7D8E">
            <w:pPr>
              <w:pStyle w:val="TAH"/>
              <w:keepNext w:val="0"/>
              <w:keepLines w:val="0"/>
              <w:widowControl w:val="0"/>
              <w:spacing w:after="0"/>
            </w:pPr>
            <w:r>
              <w:t>IE/Group Name</w:t>
            </w:r>
          </w:p>
        </w:tc>
        <w:tc>
          <w:tcPr>
            <w:tcW w:w="1080" w:type="dxa"/>
            <w:tcBorders>
              <w:top w:val="single" w:sz="4" w:space="0" w:color="000000"/>
              <w:left w:val="single" w:sz="4" w:space="0" w:color="000000"/>
              <w:bottom w:val="single" w:sz="4" w:space="0" w:color="000000"/>
              <w:right w:val="single" w:sz="4" w:space="0" w:color="000000"/>
            </w:tcBorders>
          </w:tcPr>
          <w:p w14:paraId="13643818" w14:textId="77777777" w:rsidR="005F0F9A" w:rsidRDefault="005F0F9A" w:rsidP="003A7D8E">
            <w:pPr>
              <w:pStyle w:val="TAH"/>
              <w:keepNext w:val="0"/>
              <w:keepLines w:val="0"/>
              <w:widowControl w:val="0"/>
              <w:spacing w:after="0"/>
            </w:pPr>
            <w:r>
              <w:t>Presence</w:t>
            </w:r>
          </w:p>
        </w:tc>
        <w:tc>
          <w:tcPr>
            <w:tcW w:w="1439" w:type="dxa"/>
            <w:tcBorders>
              <w:top w:val="single" w:sz="4" w:space="0" w:color="000000"/>
              <w:left w:val="single" w:sz="4" w:space="0" w:color="000000"/>
              <w:bottom w:val="single" w:sz="4" w:space="0" w:color="000000"/>
              <w:right w:val="single" w:sz="4" w:space="0" w:color="000000"/>
            </w:tcBorders>
          </w:tcPr>
          <w:p w14:paraId="06C8A3AC" w14:textId="77777777" w:rsidR="005F0F9A" w:rsidRDefault="005F0F9A" w:rsidP="003A7D8E">
            <w:pPr>
              <w:pStyle w:val="TAH"/>
              <w:keepNext w:val="0"/>
              <w:keepLines w:val="0"/>
              <w:widowControl w:val="0"/>
              <w:spacing w:after="0"/>
            </w:pPr>
            <w:r>
              <w:t>Range</w:t>
            </w:r>
          </w:p>
        </w:tc>
        <w:tc>
          <w:tcPr>
            <w:tcW w:w="1872" w:type="dxa"/>
            <w:tcBorders>
              <w:top w:val="single" w:sz="4" w:space="0" w:color="000000"/>
              <w:left w:val="single" w:sz="4" w:space="0" w:color="000000"/>
              <w:bottom w:val="single" w:sz="4" w:space="0" w:color="000000"/>
              <w:right w:val="single" w:sz="4" w:space="0" w:color="000000"/>
            </w:tcBorders>
          </w:tcPr>
          <w:p w14:paraId="5A3BC4BD" w14:textId="77777777" w:rsidR="005F0F9A" w:rsidRDefault="005F0F9A" w:rsidP="003A7D8E">
            <w:pPr>
              <w:pStyle w:val="TAH"/>
              <w:keepNext w:val="0"/>
              <w:keepLines w:val="0"/>
              <w:widowControl w:val="0"/>
              <w:spacing w:after="0"/>
            </w:pPr>
            <w:r>
              <w:t>IE Type and Reference</w:t>
            </w:r>
          </w:p>
        </w:tc>
        <w:tc>
          <w:tcPr>
            <w:tcW w:w="2881" w:type="dxa"/>
            <w:tcBorders>
              <w:top w:val="single" w:sz="4" w:space="0" w:color="000000"/>
              <w:left w:val="single" w:sz="4" w:space="0" w:color="000000"/>
              <w:bottom w:val="single" w:sz="4" w:space="0" w:color="000000"/>
              <w:right w:val="single" w:sz="4" w:space="0" w:color="000000"/>
            </w:tcBorders>
          </w:tcPr>
          <w:p w14:paraId="41F77CE6" w14:textId="77777777" w:rsidR="005F0F9A" w:rsidRDefault="005F0F9A" w:rsidP="003A7D8E">
            <w:pPr>
              <w:pStyle w:val="TAH"/>
              <w:keepNext w:val="0"/>
              <w:keepLines w:val="0"/>
              <w:widowControl w:val="0"/>
              <w:spacing w:after="0"/>
            </w:pPr>
            <w:r>
              <w:t>Semantics Description</w:t>
            </w:r>
          </w:p>
        </w:tc>
      </w:tr>
      <w:tr w:rsidR="005F0F9A" w14:paraId="7A3799C2" w14:textId="77777777">
        <w:tc>
          <w:tcPr>
            <w:tcW w:w="2448" w:type="dxa"/>
            <w:tcBorders>
              <w:top w:val="single" w:sz="4" w:space="0" w:color="000000"/>
              <w:left w:val="single" w:sz="4" w:space="0" w:color="000000"/>
              <w:bottom w:val="single" w:sz="4" w:space="0" w:color="000000"/>
              <w:right w:val="single" w:sz="4" w:space="0" w:color="000000"/>
            </w:tcBorders>
          </w:tcPr>
          <w:p w14:paraId="050C95F0" w14:textId="77777777" w:rsidR="005F0F9A" w:rsidRDefault="005F0F9A" w:rsidP="003A7D8E">
            <w:pPr>
              <w:pStyle w:val="TAL"/>
              <w:keepNext w:val="0"/>
              <w:keepLines w:val="0"/>
              <w:widowControl w:val="0"/>
              <w:spacing w:after="0"/>
            </w:pPr>
            <w:r>
              <w:t>System Frame Number</w:t>
            </w:r>
          </w:p>
        </w:tc>
        <w:tc>
          <w:tcPr>
            <w:tcW w:w="1080" w:type="dxa"/>
            <w:tcBorders>
              <w:top w:val="single" w:sz="4" w:space="0" w:color="000000"/>
              <w:left w:val="single" w:sz="4" w:space="0" w:color="000000"/>
              <w:bottom w:val="single" w:sz="4" w:space="0" w:color="000000"/>
              <w:right w:val="single" w:sz="4" w:space="0" w:color="000000"/>
            </w:tcBorders>
          </w:tcPr>
          <w:p w14:paraId="4EE0DAF3" w14:textId="77777777" w:rsidR="005F0F9A" w:rsidRDefault="005F0F9A" w:rsidP="003A7D8E">
            <w:pPr>
              <w:pStyle w:val="TAL"/>
              <w:keepNext w:val="0"/>
              <w:keepLines w:val="0"/>
              <w:widowControl w:val="0"/>
              <w:spacing w:after="0"/>
            </w:pPr>
            <w:r>
              <w:t>M</w:t>
            </w:r>
          </w:p>
        </w:tc>
        <w:tc>
          <w:tcPr>
            <w:tcW w:w="1439" w:type="dxa"/>
            <w:tcBorders>
              <w:top w:val="single" w:sz="4" w:space="0" w:color="000000"/>
              <w:left w:val="single" w:sz="4" w:space="0" w:color="000000"/>
              <w:bottom w:val="single" w:sz="4" w:space="0" w:color="000000"/>
              <w:right w:val="single" w:sz="4" w:space="0" w:color="000000"/>
            </w:tcBorders>
          </w:tcPr>
          <w:p w14:paraId="233C700D" w14:textId="77777777" w:rsidR="005F0F9A" w:rsidRDefault="005F0F9A" w:rsidP="003A7D8E">
            <w:pPr>
              <w:pStyle w:val="TAL"/>
              <w:keepNext w:val="0"/>
              <w:keepLines w:val="0"/>
              <w:widowControl w:val="0"/>
              <w:spacing w:after="0"/>
            </w:pPr>
          </w:p>
        </w:tc>
        <w:tc>
          <w:tcPr>
            <w:tcW w:w="1872" w:type="dxa"/>
            <w:tcBorders>
              <w:top w:val="single" w:sz="4" w:space="0" w:color="000000"/>
              <w:left w:val="single" w:sz="4" w:space="0" w:color="000000"/>
              <w:bottom w:val="single" w:sz="4" w:space="0" w:color="000000"/>
              <w:right w:val="single" w:sz="4" w:space="0" w:color="000000"/>
            </w:tcBorders>
          </w:tcPr>
          <w:p w14:paraId="60A3590B" w14:textId="77777777" w:rsidR="005F0F9A" w:rsidRDefault="005F0F9A" w:rsidP="003A7D8E">
            <w:pPr>
              <w:pStyle w:val="TAL"/>
              <w:keepNext w:val="0"/>
              <w:keepLines w:val="0"/>
              <w:widowControl w:val="0"/>
              <w:spacing w:after="0"/>
            </w:pPr>
            <w:r>
              <w:t>INTEGER(0..1023)</w:t>
            </w:r>
          </w:p>
        </w:tc>
        <w:tc>
          <w:tcPr>
            <w:tcW w:w="2881" w:type="dxa"/>
            <w:tcBorders>
              <w:top w:val="single" w:sz="4" w:space="0" w:color="000000"/>
              <w:left w:val="single" w:sz="4" w:space="0" w:color="000000"/>
              <w:bottom w:val="single" w:sz="4" w:space="0" w:color="000000"/>
              <w:right w:val="single" w:sz="4" w:space="0" w:color="000000"/>
            </w:tcBorders>
          </w:tcPr>
          <w:p w14:paraId="759BEF48" w14:textId="77777777" w:rsidR="005F0F9A" w:rsidRDefault="005F0F9A" w:rsidP="003A7D8E">
            <w:pPr>
              <w:pStyle w:val="TAL"/>
              <w:keepNext w:val="0"/>
              <w:keepLines w:val="0"/>
              <w:widowControl w:val="0"/>
              <w:spacing w:after="0"/>
              <w:rPr>
                <w:bCs/>
              </w:rPr>
            </w:pPr>
          </w:p>
        </w:tc>
      </w:tr>
      <w:tr w:rsidR="005F0F9A" w14:paraId="170E190A" w14:textId="77777777">
        <w:tc>
          <w:tcPr>
            <w:tcW w:w="2448" w:type="dxa"/>
            <w:tcBorders>
              <w:top w:val="single" w:sz="4" w:space="0" w:color="000000"/>
              <w:left w:val="single" w:sz="4" w:space="0" w:color="000000"/>
              <w:bottom w:val="single" w:sz="4" w:space="0" w:color="000000"/>
              <w:right w:val="single" w:sz="4" w:space="0" w:color="000000"/>
            </w:tcBorders>
          </w:tcPr>
          <w:p w14:paraId="4212AA60" w14:textId="77777777" w:rsidR="005F0F9A" w:rsidRDefault="005F0F9A" w:rsidP="003A7D8E">
            <w:pPr>
              <w:pStyle w:val="TAL"/>
              <w:keepNext w:val="0"/>
              <w:keepLines w:val="0"/>
              <w:widowControl w:val="0"/>
              <w:spacing w:after="0"/>
            </w:pPr>
            <w:r>
              <w:t xml:space="preserve">CHOICE </w:t>
            </w:r>
            <w:r>
              <w:rPr>
                <w:i/>
              </w:rPr>
              <w:t>Slot Index</w:t>
            </w:r>
          </w:p>
        </w:tc>
        <w:tc>
          <w:tcPr>
            <w:tcW w:w="1080" w:type="dxa"/>
            <w:tcBorders>
              <w:top w:val="single" w:sz="4" w:space="0" w:color="000000"/>
              <w:left w:val="single" w:sz="4" w:space="0" w:color="000000"/>
              <w:bottom w:val="single" w:sz="4" w:space="0" w:color="000000"/>
              <w:right w:val="single" w:sz="4" w:space="0" w:color="000000"/>
            </w:tcBorders>
          </w:tcPr>
          <w:p w14:paraId="611F0B4D" w14:textId="77777777" w:rsidR="005F0F9A" w:rsidRDefault="005F0F9A" w:rsidP="003A7D8E">
            <w:pPr>
              <w:pStyle w:val="TAL"/>
              <w:keepNext w:val="0"/>
              <w:keepLines w:val="0"/>
              <w:widowControl w:val="0"/>
              <w:spacing w:after="0"/>
            </w:pPr>
            <w:r>
              <w:t>M</w:t>
            </w:r>
          </w:p>
        </w:tc>
        <w:tc>
          <w:tcPr>
            <w:tcW w:w="1439" w:type="dxa"/>
            <w:tcBorders>
              <w:top w:val="single" w:sz="4" w:space="0" w:color="000000"/>
              <w:left w:val="single" w:sz="4" w:space="0" w:color="000000"/>
              <w:bottom w:val="single" w:sz="4" w:space="0" w:color="000000"/>
              <w:right w:val="single" w:sz="4" w:space="0" w:color="000000"/>
            </w:tcBorders>
          </w:tcPr>
          <w:p w14:paraId="7F016E6C" w14:textId="77777777" w:rsidR="005F0F9A" w:rsidRDefault="005F0F9A" w:rsidP="003A7D8E">
            <w:pPr>
              <w:pStyle w:val="TAL"/>
              <w:keepNext w:val="0"/>
              <w:keepLines w:val="0"/>
              <w:widowControl w:val="0"/>
              <w:spacing w:after="0"/>
            </w:pPr>
          </w:p>
        </w:tc>
        <w:tc>
          <w:tcPr>
            <w:tcW w:w="1872" w:type="dxa"/>
            <w:tcBorders>
              <w:top w:val="single" w:sz="4" w:space="0" w:color="000000"/>
              <w:left w:val="single" w:sz="4" w:space="0" w:color="000000"/>
              <w:bottom w:val="single" w:sz="4" w:space="0" w:color="000000"/>
              <w:right w:val="single" w:sz="4" w:space="0" w:color="000000"/>
            </w:tcBorders>
          </w:tcPr>
          <w:p w14:paraId="74F62330" w14:textId="77777777" w:rsidR="005F0F9A" w:rsidRDefault="005F0F9A" w:rsidP="003A7D8E">
            <w:pPr>
              <w:pStyle w:val="TAL"/>
              <w:keepNext w:val="0"/>
              <w:keepLines w:val="0"/>
              <w:widowControl w:val="0"/>
              <w:spacing w:after="0"/>
            </w:pPr>
          </w:p>
        </w:tc>
        <w:tc>
          <w:tcPr>
            <w:tcW w:w="2881" w:type="dxa"/>
            <w:tcBorders>
              <w:top w:val="single" w:sz="4" w:space="0" w:color="000000"/>
              <w:left w:val="single" w:sz="4" w:space="0" w:color="000000"/>
              <w:bottom w:val="single" w:sz="4" w:space="0" w:color="000000"/>
              <w:right w:val="single" w:sz="4" w:space="0" w:color="000000"/>
            </w:tcBorders>
          </w:tcPr>
          <w:p w14:paraId="21B0CF51" w14:textId="77777777" w:rsidR="005F0F9A" w:rsidRDefault="005F0F9A" w:rsidP="003A7D8E">
            <w:pPr>
              <w:pStyle w:val="TAL"/>
              <w:keepNext w:val="0"/>
              <w:keepLines w:val="0"/>
              <w:widowControl w:val="0"/>
              <w:spacing w:after="0"/>
              <w:rPr>
                <w:bCs/>
              </w:rPr>
            </w:pPr>
          </w:p>
        </w:tc>
      </w:tr>
      <w:tr w:rsidR="005F0F9A" w14:paraId="2BA04F02" w14:textId="77777777">
        <w:tc>
          <w:tcPr>
            <w:tcW w:w="2448" w:type="dxa"/>
            <w:tcBorders>
              <w:top w:val="single" w:sz="4" w:space="0" w:color="000000"/>
              <w:left w:val="single" w:sz="4" w:space="0" w:color="000000"/>
              <w:bottom w:val="single" w:sz="4" w:space="0" w:color="000000"/>
              <w:right w:val="single" w:sz="4" w:space="0" w:color="000000"/>
            </w:tcBorders>
          </w:tcPr>
          <w:p w14:paraId="12E35A78" w14:textId="77777777" w:rsidR="005F0F9A" w:rsidRDefault="005F0F9A" w:rsidP="003A7D8E">
            <w:pPr>
              <w:pStyle w:val="TAL"/>
              <w:keepNext w:val="0"/>
              <w:keepLines w:val="0"/>
              <w:widowControl w:val="0"/>
              <w:spacing w:after="0"/>
              <w:ind w:left="142"/>
              <w:rPr>
                <w:i/>
                <w:iCs/>
              </w:rPr>
            </w:pPr>
            <w:r>
              <w:rPr>
                <w:i/>
                <w:iCs/>
              </w:rPr>
              <w:t>&gt;SCS-15</w:t>
            </w:r>
          </w:p>
        </w:tc>
        <w:tc>
          <w:tcPr>
            <w:tcW w:w="1080" w:type="dxa"/>
            <w:tcBorders>
              <w:top w:val="single" w:sz="4" w:space="0" w:color="000000"/>
              <w:left w:val="single" w:sz="4" w:space="0" w:color="000000"/>
              <w:bottom w:val="single" w:sz="4" w:space="0" w:color="000000"/>
              <w:right w:val="single" w:sz="4" w:space="0" w:color="000000"/>
            </w:tcBorders>
          </w:tcPr>
          <w:p w14:paraId="37126C29" w14:textId="77777777" w:rsidR="005F0F9A" w:rsidRDefault="005F0F9A" w:rsidP="003A7D8E">
            <w:pPr>
              <w:pStyle w:val="TAL"/>
              <w:keepNext w:val="0"/>
              <w:keepLines w:val="0"/>
              <w:widowControl w:val="0"/>
              <w:spacing w:after="0"/>
            </w:pPr>
          </w:p>
        </w:tc>
        <w:tc>
          <w:tcPr>
            <w:tcW w:w="1439" w:type="dxa"/>
            <w:tcBorders>
              <w:top w:val="single" w:sz="4" w:space="0" w:color="000000"/>
              <w:left w:val="single" w:sz="4" w:space="0" w:color="000000"/>
              <w:bottom w:val="single" w:sz="4" w:space="0" w:color="000000"/>
              <w:right w:val="single" w:sz="4" w:space="0" w:color="000000"/>
            </w:tcBorders>
          </w:tcPr>
          <w:p w14:paraId="58CC2E12" w14:textId="77777777" w:rsidR="005F0F9A" w:rsidRDefault="005F0F9A" w:rsidP="003A7D8E">
            <w:pPr>
              <w:pStyle w:val="TAL"/>
              <w:keepNext w:val="0"/>
              <w:keepLines w:val="0"/>
              <w:widowControl w:val="0"/>
              <w:spacing w:after="0"/>
            </w:pPr>
          </w:p>
        </w:tc>
        <w:tc>
          <w:tcPr>
            <w:tcW w:w="1872" w:type="dxa"/>
            <w:tcBorders>
              <w:top w:val="single" w:sz="4" w:space="0" w:color="000000"/>
              <w:left w:val="single" w:sz="4" w:space="0" w:color="000000"/>
              <w:bottom w:val="single" w:sz="4" w:space="0" w:color="000000"/>
              <w:right w:val="single" w:sz="4" w:space="0" w:color="000000"/>
            </w:tcBorders>
          </w:tcPr>
          <w:p w14:paraId="2C1045D4" w14:textId="77777777" w:rsidR="005F0F9A" w:rsidRDefault="005F0F9A" w:rsidP="003A7D8E">
            <w:pPr>
              <w:pStyle w:val="TAL"/>
              <w:keepNext w:val="0"/>
              <w:keepLines w:val="0"/>
              <w:widowControl w:val="0"/>
              <w:spacing w:after="0"/>
            </w:pPr>
            <w:r>
              <w:t>INTEGER(0..9)</w:t>
            </w:r>
          </w:p>
        </w:tc>
        <w:tc>
          <w:tcPr>
            <w:tcW w:w="2881" w:type="dxa"/>
            <w:tcBorders>
              <w:top w:val="single" w:sz="4" w:space="0" w:color="000000"/>
              <w:left w:val="single" w:sz="4" w:space="0" w:color="000000"/>
              <w:bottom w:val="single" w:sz="4" w:space="0" w:color="000000"/>
              <w:right w:val="single" w:sz="4" w:space="0" w:color="000000"/>
            </w:tcBorders>
          </w:tcPr>
          <w:p w14:paraId="07538EF7" w14:textId="77777777" w:rsidR="005F0F9A" w:rsidRDefault="005F0F9A" w:rsidP="003A7D8E">
            <w:pPr>
              <w:pStyle w:val="TAL"/>
              <w:keepNext w:val="0"/>
              <w:keepLines w:val="0"/>
              <w:widowControl w:val="0"/>
              <w:spacing w:after="0"/>
              <w:rPr>
                <w:bCs/>
              </w:rPr>
            </w:pPr>
          </w:p>
        </w:tc>
      </w:tr>
      <w:tr w:rsidR="005F0F9A" w14:paraId="0FB0A622" w14:textId="77777777">
        <w:tc>
          <w:tcPr>
            <w:tcW w:w="2448" w:type="dxa"/>
            <w:tcBorders>
              <w:top w:val="single" w:sz="4" w:space="0" w:color="000000"/>
              <w:left w:val="single" w:sz="4" w:space="0" w:color="000000"/>
              <w:bottom w:val="single" w:sz="4" w:space="0" w:color="000000"/>
              <w:right w:val="single" w:sz="4" w:space="0" w:color="000000"/>
            </w:tcBorders>
          </w:tcPr>
          <w:p w14:paraId="4003B8D2" w14:textId="77777777" w:rsidR="005F0F9A" w:rsidRDefault="005F0F9A" w:rsidP="003A7D8E">
            <w:pPr>
              <w:pStyle w:val="TAL"/>
              <w:keepNext w:val="0"/>
              <w:keepLines w:val="0"/>
              <w:widowControl w:val="0"/>
              <w:spacing w:after="0"/>
              <w:ind w:left="142"/>
              <w:rPr>
                <w:i/>
                <w:iCs/>
              </w:rPr>
            </w:pPr>
            <w:r>
              <w:rPr>
                <w:i/>
                <w:iCs/>
              </w:rPr>
              <w:t>&gt;SCS-30</w:t>
            </w:r>
          </w:p>
        </w:tc>
        <w:tc>
          <w:tcPr>
            <w:tcW w:w="1080" w:type="dxa"/>
            <w:tcBorders>
              <w:top w:val="single" w:sz="4" w:space="0" w:color="000000"/>
              <w:left w:val="single" w:sz="4" w:space="0" w:color="000000"/>
              <w:bottom w:val="single" w:sz="4" w:space="0" w:color="000000"/>
              <w:right w:val="single" w:sz="4" w:space="0" w:color="000000"/>
            </w:tcBorders>
          </w:tcPr>
          <w:p w14:paraId="69D639DC" w14:textId="77777777" w:rsidR="005F0F9A" w:rsidRDefault="005F0F9A" w:rsidP="003A7D8E">
            <w:pPr>
              <w:pStyle w:val="TAL"/>
              <w:keepNext w:val="0"/>
              <w:keepLines w:val="0"/>
              <w:widowControl w:val="0"/>
              <w:spacing w:after="0"/>
            </w:pPr>
          </w:p>
        </w:tc>
        <w:tc>
          <w:tcPr>
            <w:tcW w:w="1439" w:type="dxa"/>
            <w:tcBorders>
              <w:top w:val="single" w:sz="4" w:space="0" w:color="000000"/>
              <w:left w:val="single" w:sz="4" w:space="0" w:color="000000"/>
              <w:bottom w:val="single" w:sz="4" w:space="0" w:color="000000"/>
              <w:right w:val="single" w:sz="4" w:space="0" w:color="000000"/>
            </w:tcBorders>
          </w:tcPr>
          <w:p w14:paraId="5A76AA80" w14:textId="77777777" w:rsidR="005F0F9A" w:rsidRDefault="005F0F9A" w:rsidP="003A7D8E">
            <w:pPr>
              <w:pStyle w:val="TAL"/>
              <w:keepNext w:val="0"/>
              <w:keepLines w:val="0"/>
              <w:widowControl w:val="0"/>
              <w:spacing w:after="0"/>
            </w:pPr>
          </w:p>
        </w:tc>
        <w:tc>
          <w:tcPr>
            <w:tcW w:w="1872" w:type="dxa"/>
            <w:tcBorders>
              <w:top w:val="single" w:sz="4" w:space="0" w:color="000000"/>
              <w:left w:val="single" w:sz="4" w:space="0" w:color="000000"/>
              <w:bottom w:val="single" w:sz="4" w:space="0" w:color="000000"/>
              <w:right w:val="single" w:sz="4" w:space="0" w:color="000000"/>
            </w:tcBorders>
          </w:tcPr>
          <w:p w14:paraId="1577DAD3" w14:textId="77777777" w:rsidR="005F0F9A" w:rsidRDefault="005F0F9A" w:rsidP="003A7D8E">
            <w:pPr>
              <w:pStyle w:val="TAL"/>
              <w:keepNext w:val="0"/>
              <w:keepLines w:val="0"/>
              <w:widowControl w:val="0"/>
              <w:spacing w:after="0"/>
            </w:pPr>
            <w:r>
              <w:t>INTEGER(0..19)</w:t>
            </w:r>
          </w:p>
        </w:tc>
        <w:tc>
          <w:tcPr>
            <w:tcW w:w="2881" w:type="dxa"/>
            <w:tcBorders>
              <w:top w:val="single" w:sz="4" w:space="0" w:color="000000"/>
              <w:left w:val="single" w:sz="4" w:space="0" w:color="000000"/>
              <w:bottom w:val="single" w:sz="4" w:space="0" w:color="000000"/>
              <w:right w:val="single" w:sz="4" w:space="0" w:color="000000"/>
            </w:tcBorders>
          </w:tcPr>
          <w:p w14:paraId="3212A0D4" w14:textId="77777777" w:rsidR="005F0F9A" w:rsidRDefault="005F0F9A" w:rsidP="003A7D8E">
            <w:pPr>
              <w:pStyle w:val="TAL"/>
              <w:keepNext w:val="0"/>
              <w:keepLines w:val="0"/>
              <w:widowControl w:val="0"/>
              <w:spacing w:after="0"/>
              <w:rPr>
                <w:bCs/>
              </w:rPr>
            </w:pPr>
          </w:p>
        </w:tc>
      </w:tr>
      <w:tr w:rsidR="005F0F9A" w14:paraId="522EE8A9" w14:textId="77777777">
        <w:tc>
          <w:tcPr>
            <w:tcW w:w="2448" w:type="dxa"/>
            <w:tcBorders>
              <w:top w:val="single" w:sz="4" w:space="0" w:color="000000"/>
              <w:left w:val="single" w:sz="4" w:space="0" w:color="000000"/>
              <w:bottom w:val="single" w:sz="4" w:space="0" w:color="000000"/>
              <w:right w:val="single" w:sz="4" w:space="0" w:color="000000"/>
            </w:tcBorders>
          </w:tcPr>
          <w:p w14:paraId="06E213E9" w14:textId="77777777" w:rsidR="005F0F9A" w:rsidRDefault="005F0F9A" w:rsidP="003A7D8E">
            <w:pPr>
              <w:pStyle w:val="TAL"/>
              <w:keepNext w:val="0"/>
              <w:keepLines w:val="0"/>
              <w:widowControl w:val="0"/>
              <w:spacing w:after="0"/>
              <w:ind w:left="142"/>
              <w:rPr>
                <w:i/>
                <w:iCs/>
              </w:rPr>
            </w:pPr>
            <w:r>
              <w:rPr>
                <w:i/>
                <w:iCs/>
              </w:rPr>
              <w:t>&gt;SCS-60</w:t>
            </w:r>
          </w:p>
        </w:tc>
        <w:tc>
          <w:tcPr>
            <w:tcW w:w="1080" w:type="dxa"/>
            <w:tcBorders>
              <w:top w:val="single" w:sz="4" w:space="0" w:color="000000"/>
              <w:left w:val="single" w:sz="4" w:space="0" w:color="000000"/>
              <w:bottom w:val="single" w:sz="4" w:space="0" w:color="000000"/>
              <w:right w:val="single" w:sz="4" w:space="0" w:color="000000"/>
            </w:tcBorders>
          </w:tcPr>
          <w:p w14:paraId="2A2295E8" w14:textId="77777777" w:rsidR="005F0F9A" w:rsidRDefault="005F0F9A" w:rsidP="003A7D8E">
            <w:pPr>
              <w:pStyle w:val="TAL"/>
              <w:keepNext w:val="0"/>
              <w:keepLines w:val="0"/>
              <w:widowControl w:val="0"/>
              <w:spacing w:after="0"/>
            </w:pPr>
          </w:p>
        </w:tc>
        <w:tc>
          <w:tcPr>
            <w:tcW w:w="1439" w:type="dxa"/>
            <w:tcBorders>
              <w:top w:val="single" w:sz="4" w:space="0" w:color="000000"/>
              <w:left w:val="single" w:sz="4" w:space="0" w:color="000000"/>
              <w:bottom w:val="single" w:sz="4" w:space="0" w:color="000000"/>
              <w:right w:val="single" w:sz="4" w:space="0" w:color="000000"/>
            </w:tcBorders>
          </w:tcPr>
          <w:p w14:paraId="0BDDAAF8" w14:textId="77777777" w:rsidR="005F0F9A" w:rsidRDefault="005F0F9A" w:rsidP="003A7D8E">
            <w:pPr>
              <w:pStyle w:val="TAL"/>
              <w:keepNext w:val="0"/>
              <w:keepLines w:val="0"/>
              <w:widowControl w:val="0"/>
              <w:spacing w:after="0"/>
            </w:pPr>
          </w:p>
        </w:tc>
        <w:tc>
          <w:tcPr>
            <w:tcW w:w="1872" w:type="dxa"/>
            <w:tcBorders>
              <w:top w:val="single" w:sz="4" w:space="0" w:color="000000"/>
              <w:left w:val="single" w:sz="4" w:space="0" w:color="000000"/>
              <w:bottom w:val="single" w:sz="4" w:space="0" w:color="000000"/>
              <w:right w:val="single" w:sz="4" w:space="0" w:color="000000"/>
            </w:tcBorders>
          </w:tcPr>
          <w:p w14:paraId="51F49CB9" w14:textId="77777777" w:rsidR="005F0F9A" w:rsidRDefault="005F0F9A" w:rsidP="003A7D8E">
            <w:pPr>
              <w:pStyle w:val="TAL"/>
              <w:keepNext w:val="0"/>
              <w:keepLines w:val="0"/>
              <w:widowControl w:val="0"/>
              <w:spacing w:after="0"/>
            </w:pPr>
            <w:r>
              <w:t>INTEGER(0..39)</w:t>
            </w:r>
          </w:p>
        </w:tc>
        <w:tc>
          <w:tcPr>
            <w:tcW w:w="2881" w:type="dxa"/>
            <w:tcBorders>
              <w:top w:val="single" w:sz="4" w:space="0" w:color="000000"/>
              <w:left w:val="single" w:sz="4" w:space="0" w:color="000000"/>
              <w:bottom w:val="single" w:sz="4" w:space="0" w:color="000000"/>
              <w:right w:val="single" w:sz="4" w:space="0" w:color="000000"/>
            </w:tcBorders>
          </w:tcPr>
          <w:p w14:paraId="302D3AA0" w14:textId="77777777" w:rsidR="005F0F9A" w:rsidRDefault="005F0F9A" w:rsidP="003A7D8E">
            <w:pPr>
              <w:pStyle w:val="TAL"/>
              <w:keepNext w:val="0"/>
              <w:keepLines w:val="0"/>
              <w:widowControl w:val="0"/>
              <w:spacing w:after="0"/>
              <w:rPr>
                <w:bCs/>
              </w:rPr>
            </w:pPr>
          </w:p>
        </w:tc>
      </w:tr>
      <w:tr w:rsidR="005F0F9A" w14:paraId="6CCA8321" w14:textId="77777777">
        <w:tc>
          <w:tcPr>
            <w:tcW w:w="2448" w:type="dxa"/>
            <w:tcBorders>
              <w:top w:val="single" w:sz="4" w:space="0" w:color="000000"/>
              <w:left w:val="single" w:sz="4" w:space="0" w:color="000000"/>
              <w:bottom w:val="single" w:sz="4" w:space="0" w:color="000000"/>
              <w:right w:val="single" w:sz="4" w:space="0" w:color="000000"/>
            </w:tcBorders>
          </w:tcPr>
          <w:p w14:paraId="6CA081BF" w14:textId="77777777" w:rsidR="005F0F9A" w:rsidRDefault="005F0F9A" w:rsidP="003A7D8E">
            <w:pPr>
              <w:pStyle w:val="TAL"/>
              <w:keepNext w:val="0"/>
              <w:keepLines w:val="0"/>
              <w:widowControl w:val="0"/>
              <w:spacing w:after="0"/>
              <w:ind w:left="142"/>
              <w:rPr>
                <w:i/>
                <w:iCs/>
              </w:rPr>
            </w:pPr>
            <w:r>
              <w:rPr>
                <w:i/>
                <w:iCs/>
              </w:rPr>
              <w:t>&gt;SCS-120</w:t>
            </w:r>
          </w:p>
        </w:tc>
        <w:tc>
          <w:tcPr>
            <w:tcW w:w="1080" w:type="dxa"/>
            <w:tcBorders>
              <w:top w:val="single" w:sz="4" w:space="0" w:color="000000"/>
              <w:left w:val="single" w:sz="4" w:space="0" w:color="000000"/>
              <w:bottom w:val="single" w:sz="4" w:space="0" w:color="000000"/>
              <w:right w:val="single" w:sz="4" w:space="0" w:color="000000"/>
            </w:tcBorders>
          </w:tcPr>
          <w:p w14:paraId="649E5ADF" w14:textId="77777777" w:rsidR="005F0F9A" w:rsidRDefault="005F0F9A" w:rsidP="003A7D8E">
            <w:pPr>
              <w:pStyle w:val="TAL"/>
              <w:keepNext w:val="0"/>
              <w:keepLines w:val="0"/>
              <w:widowControl w:val="0"/>
              <w:spacing w:after="0"/>
            </w:pPr>
          </w:p>
        </w:tc>
        <w:tc>
          <w:tcPr>
            <w:tcW w:w="1439" w:type="dxa"/>
            <w:tcBorders>
              <w:top w:val="single" w:sz="4" w:space="0" w:color="000000"/>
              <w:left w:val="single" w:sz="4" w:space="0" w:color="000000"/>
              <w:bottom w:val="single" w:sz="4" w:space="0" w:color="000000"/>
              <w:right w:val="single" w:sz="4" w:space="0" w:color="000000"/>
            </w:tcBorders>
          </w:tcPr>
          <w:p w14:paraId="2A10F8CD" w14:textId="77777777" w:rsidR="005F0F9A" w:rsidRDefault="005F0F9A" w:rsidP="003A7D8E">
            <w:pPr>
              <w:pStyle w:val="TAL"/>
              <w:keepNext w:val="0"/>
              <w:keepLines w:val="0"/>
              <w:widowControl w:val="0"/>
              <w:spacing w:after="0"/>
            </w:pPr>
          </w:p>
        </w:tc>
        <w:tc>
          <w:tcPr>
            <w:tcW w:w="1872" w:type="dxa"/>
            <w:tcBorders>
              <w:top w:val="single" w:sz="4" w:space="0" w:color="000000"/>
              <w:left w:val="single" w:sz="4" w:space="0" w:color="000000"/>
              <w:bottom w:val="single" w:sz="4" w:space="0" w:color="000000"/>
              <w:right w:val="single" w:sz="4" w:space="0" w:color="000000"/>
            </w:tcBorders>
          </w:tcPr>
          <w:p w14:paraId="68259781" w14:textId="77777777" w:rsidR="005F0F9A" w:rsidRDefault="005F0F9A" w:rsidP="003A7D8E">
            <w:pPr>
              <w:pStyle w:val="TAL"/>
              <w:keepNext w:val="0"/>
              <w:keepLines w:val="0"/>
              <w:widowControl w:val="0"/>
              <w:spacing w:after="0"/>
            </w:pPr>
            <w:r>
              <w:t>INTEGER(0..79)</w:t>
            </w:r>
          </w:p>
        </w:tc>
        <w:tc>
          <w:tcPr>
            <w:tcW w:w="2881" w:type="dxa"/>
            <w:tcBorders>
              <w:top w:val="single" w:sz="4" w:space="0" w:color="000000"/>
              <w:left w:val="single" w:sz="4" w:space="0" w:color="000000"/>
              <w:bottom w:val="single" w:sz="4" w:space="0" w:color="000000"/>
              <w:right w:val="single" w:sz="4" w:space="0" w:color="000000"/>
            </w:tcBorders>
          </w:tcPr>
          <w:p w14:paraId="05321133" w14:textId="77777777" w:rsidR="005F0F9A" w:rsidRDefault="005F0F9A" w:rsidP="003A7D8E">
            <w:pPr>
              <w:pStyle w:val="TAL"/>
              <w:keepNext w:val="0"/>
              <w:keepLines w:val="0"/>
              <w:widowControl w:val="0"/>
              <w:spacing w:after="0"/>
              <w:rPr>
                <w:bCs/>
              </w:rPr>
            </w:pPr>
          </w:p>
        </w:tc>
      </w:tr>
      <w:tr w:rsidR="005F0F9A" w14:paraId="62FC850E" w14:textId="77777777">
        <w:tc>
          <w:tcPr>
            <w:tcW w:w="2448" w:type="dxa"/>
            <w:tcBorders>
              <w:top w:val="single" w:sz="4" w:space="0" w:color="000000"/>
              <w:left w:val="single" w:sz="4" w:space="0" w:color="000000"/>
              <w:bottom w:val="single" w:sz="4" w:space="0" w:color="000000"/>
              <w:right w:val="single" w:sz="4" w:space="0" w:color="000000"/>
            </w:tcBorders>
          </w:tcPr>
          <w:p w14:paraId="30156C45" w14:textId="77777777" w:rsidR="005F0F9A" w:rsidRDefault="005F0F9A" w:rsidP="003A7D8E">
            <w:pPr>
              <w:pStyle w:val="TAL"/>
              <w:keepNext w:val="0"/>
              <w:keepLines w:val="0"/>
              <w:widowControl w:val="0"/>
              <w:spacing w:after="0"/>
            </w:pPr>
            <w:r>
              <w:t xml:space="preserve"> Measurement time</w:t>
            </w:r>
          </w:p>
        </w:tc>
        <w:tc>
          <w:tcPr>
            <w:tcW w:w="1080" w:type="dxa"/>
            <w:tcBorders>
              <w:top w:val="single" w:sz="4" w:space="0" w:color="000000"/>
              <w:left w:val="single" w:sz="4" w:space="0" w:color="000000"/>
              <w:bottom w:val="single" w:sz="4" w:space="0" w:color="000000"/>
              <w:right w:val="single" w:sz="4" w:space="0" w:color="000000"/>
            </w:tcBorders>
          </w:tcPr>
          <w:p w14:paraId="40E76078" w14:textId="77777777" w:rsidR="005F0F9A" w:rsidRDefault="005F0F9A" w:rsidP="003A7D8E">
            <w:pPr>
              <w:pStyle w:val="TAL"/>
              <w:keepNext w:val="0"/>
              <w:keepLines w:val="0"/>
              <w:widowControl w:val="0"/>
              <w:spacing w:after="0"/>
            </w:pPr>
            <w:r>
              <w:t>O</w:t>
            </w:r>
          </w:p>
        </w:tc>
        <w:tc>
          <w:tcPr>
            <w:tcW w:w="1439" w:type="dxa"/>
            <w:tcBorders>
              <w:top w:val="single" w:sz="4" w:space="0" w:color="000000"/>
              <w:left w:val="single" w:sz="4" w:space="0" w:color="000000"/>
              <w:bottom w:val="single" w:sz="4" w:space="0" w:color="000000"/>
              <w:right w:val="single" w:sz="4" w:space="0" w:color="000000"/>
            </w:tcBorders>
          </w:tcPr>
          <w:p w14:paraId="076CA76D" w14:textId="77777777" w:rsidR="005F0F9A" w:rsidRDefault="005F0F9A" w:rsidP="003A7D8E">
            <w:pPr>
              <w:pStyle w:val="TAL"/>
              <w:keepNext w:val="0"/>
              <w:keepLines w:val="0"/>
              <w:widowControl w:val="0"/>
              <w:spacing w:after="0"/>
            </w:pPr>
          </w:p>
        </w:tc>
        <w:tc>
          <w:tcPr>
            <w:tcW w:w="1872" w:type="dxa"/>
            <w:tcBorders>
              <w:top w:val="single" w:sz="4" w:space="0" w:color="000000"/>
              <w:left w:val="single" w:sz="4" w:space="0" w:color="000000"/>
              <w:bottom w:val="single" w:sz="4" w:space="0" w:color="000000"/>
              <w:right w:val="single" w:sz="4" w:space="0" w:color="000000"/>
            </w:tcBorders>
          </w:tcPr>
          <w:p w14:paraId="6E5FAD2D" w14:textId="77777777" w:rsidR="005F0F9A" w:rsidRDefault="005F0F9A" w:rsidP="003A7D8E">
            <w:pPr>
              <w:pStyle w:val="TAL"/>
              <w:keepNext w:val="0"/>
              <w:keepLines w:val="0"/>
              <w:widowControl w:val="0"/>
              <w:spacing w:after="0"/>
              <w:rPr>
                <w:lang w:val="en-US"/>
              </w:rPr>
            </w:pPr>
            <w:r>
              <w:t>Relative Time 1900</w:t>
            </w:r>
          </w:p>
          <w:p w14:paraId="67839A78" w14:textId="77777777" w:rsidR="005F0F9A" w:rsidRDefault="005F0F9A" w:rsidP="003A7D8E">
            <w:pPr>
              <w:pStyle w:val="TAL"/>
              <w:keepNext w:val="0"/>
              <w:keepLines w:val="0"/>
              <w:widowControl w:val="0"/>
              <w:spacing w:after="0"/>
            </w:pPr>
            <w:r>
              <w:t>9.2.36</w:t>
            </w:r>
          </w:p>
        </w:tc>
        <w:tc>
          <w:tcPr>
            <w:tcW w:w="2881" w:type="dxa"/>
            <w:tcBorders>
              <w:top w:val="single" w:sz="4" w:space="0" w:color="000000"/>
              <w:left w:val="single" w:sz="4" w:space="0" w:color="000000"/>
              <w:bottom w:val="single" w:sz="4" w:space="0" w:color="000000"/>
              <w:right w:val="single" w:sz="4" w:space="0" w:color="000000"/>
            </w:tcBorders>
          </w:tcPr>
          <w:p w14:paraId="3EC9E900" w14:textId="77777777" w:rsidR="005F0F9A" w:rsidRDefault="005F0F9A" w:rsidP="003A7D8E">
            <w:pPr>
              <w:pStyle w:val="TAL"/>
              <w:keepNext w:val="0"/>
              <w:keepLines w:val="0"/>
              <w:widowControl w:val="0"/>
              <w:spacing w:after="0"/>
              <w:rPr>
                <w:bCs/>
              </w:rPr>
            </w:pPr>
          </w:p>
        </w:tc>
      </w:tr>
    </w:tbl>
    <w:p w14:paraId="0C89650C" w14:textId="77777777" w:rsidR="005F0F9A" w:rsidRDefault="005F0F9A" w:rsidP="005F0F9A"/>
    <w:p w14:paraId="3074F30D" w14:textId="77777777" w:rsidR="0077513F" w:rsidRPr="0077513F" w:rsidRDefault="0077513F" w:rsidP="0077513F">
      <w:pPr>
        <w:rPr>
          <w:lang w:eastAsia="ko-KR"/>
        </w:rPr>
      </w:pPr>
      <w:bookmarkStart w:id="1478" w:name="_Toc51776054"/>
      <w:bookmarkStart w:id="1479" w:name="_Toc56773076"/>
      <w:bookmarkStart w:id="1480" w:name="_Toc64447705"/>
      <w:bookmarkStart w:id="1481" w:name="_Toc74152361"/>
      <w:bookmarkStart w:id="1482" w:name="_Toc88654214"/>
      <w:bookmarkStart w:id="1483" w:name="_Toc99056283"/>
      <w:bookmarkStart w:id="1484" w:name="_Toc99959216"/>
      <w:bookmarkStart w:id="1485" w:name="_Toc105612402"/>
      <w:bookmarkStart w:id="1486" w:name="_Toc106109618"/>
      <w:bookmarkStart w:id="1487" w:name="_Toc112766510"/>
      <w:bookmarkStart w:id="1488" w:name="_Toc113379426"/>
      <w:bookmarkStart w:id="1489" w:name="_Toc120091979"/>
      <w:bookmarkStart w:id="1490" w:name="_Toc155982894"/>
      <w:r w:rsidRPr="0077513F">
        <w:rPr>
          <w:lang w:eastAsia="ko-KR"/>
        </w:rPr>
        <w:t>9.2.36</w:t>
      </w:r>
      <w:r w:rsidRPr="0077513F">
        <w:rPr>
          <w:lang w:eastAsia="ko-KR"/>
        </w:rPr>
        <w:tab/>
      </w:r>
      <w:bookmarkEnd w:id="1478"/>
      <w:bookmarkEnd w:id="1479"/>
      <w:bookmarkEnd w:id="1480"/>
      <w:r w:rsidRPr="0077513F">
        <w:rPr>
          <w:lang w:eastAsia="ko-KR"/>
        </w:rPr>
        <w:t>Relative Time 1900</w:t>
      </w:r>
      <w:bookmarkEnd w:id="1481"/>
      <w:bookmarkEnd w:id="1482"/>
      <w:bookmarkEnd w:id="1483"/>
      <w:bookmarkEnd w:id="1484"/>
      <w:bookmarkEnd w:id="1485"/>
      <w:bookmarkEnd w:id="1486"/>
      <w:bookmarkEnd w:id="1487"/>
      <w:bookmarkEnd w:id="1488"/>
      <w:bookmarkEnd w:id="1489"/>
      <w:bookmarkEnd w:id="1490"/>
    </w:p>
    <w:p w14:paraId="119D0D0C" w14:textId="77777777" w:rsidR="0077513F" w:rsidRPr="0077513F" w:rsidRDefault="0077513F" w:rsidP="0077513F">
      <w:pPr>
        <w:widowControl w:val="0"/>
        <w:overflowPunct w:val="0"/>
        <w:autoSpaceDE w:val="0"/>
        <w:autoSpaceDN w:val="0"/>
        <w:adjustRightInd w:val="0"/>
        <w:textAlignment w:val="baseline"/>
        <w:rPr>
          <w:lang w:eastAsia="ko-KR"/>
        </w:rPr>
      </w:pPr>
      <w:r w:rsidRPr="0077513F">
        <w:rPr>
          <w:lang w:eastAsia="ko-KR"/>
        </w:rPr>
        <w:t>This information element indicates the initialisation time (e.g. SFN Initalisation Time for a cell, requested time for an action, etc).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7513F" w:rsidRPr="0077513F" w14:paraId="19D1A3DF" w14:textId="77777777" w:rsidTr="00E23977">
        <w:trPr>
          <w:tblHeader/>
        </w:trPr>
        <w:tc>
          <w:tcPr>
            <w:tcW w:w="2448" w:type="dxa"/>
          </w:tcPr>
          <w:p w14:paraId="510A383C"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IE/Group Name</w:t>
            </w:r>
          </w:p>
        </w:tc>
        <w:tc>
          <w:tcPr>
            <w:tcW w:w="1080" w:type="dxa"/>
          </w:tcPr>
          <w:p w14:paraId="101C3C74"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Presence</w:t>
            </w:r>
          </w:p>
        </w:tc>
        <w:tc>
          <w:tcPr>
            <w:tcW w:w="1440" w:type="dxa"/>
          </w:tcPr>
          <w:p w14:paraId="2647DBC6"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Range</w:t>
            </w:r>
          </w:p>
        </w:tc>
        <w:tc>
          <w:tcPr>
            <w:tcW w:w="1872" w:type="dxa"/>
          </w:tcPr>
          <w:p w14:paraId="2DC70629"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IE Type and Reference</w:t>
            </w:r>
          </w:p>
        </w:tc>
        <w:tc>
          <w:tcPr>
            <w:tcW w:w="2880" w:type="dxa"/>
          </w:tcPr>
          <w:p w14:paraId="47441475"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Semantics Description</w:t>
            </w:r>
          </w:p>
        </w:tc>
      </w:tr>
      <w:tr w:rsidR="0077513F" w:rsidRPr="0077513F" w14:paraId="24C84B81" w14:textId="77777777" w:rsidTr="00E23977">
        <w:tc>
          <w:tcPr>
            <w:tcW w:w="2448" w:type="dxa"/>
          </w:tcPr>
          <w:p w14:paraId="1A8873E9" w14:textId="77777777" w:rsidR="0077513F" w:rsidRPr="0077513F" w:rsidRDefault="0077513F" w:rsidP="003A7D8E">
            <w:pPr>
              <w:widowControl w:val="0"/>
              <w:overflowPunct w:val="0"/>
              <w:autoSpaceDE w:val="0"/>
              <w:autoSpaceDN w:val="0"/>
              <w:adjustRightInd w:val="0"/>
              <w:spacing w:after="0"/>
              <w:textAlignment w:val="baseline"/>
              <w:rPr>
                <w:rFonts w:ascii="Arial" w:hAnsi="Arial"/>
                <w:b/>
                <w:bCs/>
                <w:sz w:val="18"/>
                <w:lang w:eastAsia="ko-KR"/>
              </w:rPr>
            </w:pPr>
            <w:r w:rsidRPr="0077513F">
              <w:rPr>
                <w:rFonts w:ascii="Arial" w:hAnsi="Arial"/>
                <w:sz w:val="18"/>
                <w:lang w:eastAsia="ko-KR"/>
              </w:rPr>
              <w:t>Relative Time 1900</w:t>
            </w:r>
          </w:p>
        </w:tc>
        <w:tc>
          <w:tcPr>
            <w:tcW w:w="1080" w:type="dxa"/>
          </w:tcPr>
          <w:p w14:paraId="7FD37992" w14:textId="77777777" w:rsidR="0077513F" w:rsidRPr="0077513F" w:rsidRDefault="0077513F" w:rsidP="003A7D8E">
            <w:pPr>
              <w:widowControl w:val="0"/>
              <w:overflowPunct w:val="0"/>
              <w:autoSpaceDE w:val="0"/>
              <w:autoSpaceDN w:val="0"/>
              <w:adjustRightInd w:val="0"/>
              <w:spacing w:after="0"/>
              <w:textAlignment w:val="baseline"/>
              <w:rPr>
                <w:rFonts w:ascii="Arial" w:hAnsi="Arial"/>
                <w:sz w:val="18"/>
                <w:lang w:eastAsia="ko-KR"/>
              </w:rPr>
            </w:pPr>
            <w:r w:rsidRPr="0077513F">
              <w:rPr>
                <w:rFonts w:ascii="Arial" w:hAnsi="Arial"/>
                <w:sz w:val="18"/>
                <w:lang w:eastAsia="ko-KR"/>
              </w:rPr>
              <w:t>M</w:t>
            </w:r>
          </w:p>
        </w:tc>
        <w:tc>
          <w:tcPr>
            <w:tcW w:w="1440" w:type="dxa"/>
          </w:tcPr>
          <w:p w14:paraId="6EEBE4A0" w14:textId="77777777" w:rsidR="0077513F" w:rsidRPr="0077513F" w:rsidRDefault="0077513F" w:rsidP="003A7D8E">
            <w:pPr>
              <w:widowControl w:val="0"/>
              <w:overflowPunct w:val="0"/>
              <w:autoSpaceDE w:val="0"/>
              <w:autoSpaceDN w:val="0"/>
              <w:adjustRightInd w:val="0"/>
              <w:spacing w:after="0"/>
              <w:textAlignment w:val="baseline"/>
              <w:rPr>
                <w:rFonts w:ascii="Arial" w:hAnsi="Arial"/>
                <w:i/>
                <w:iCs/>
                <w:sz w:val="18"/>
                <w:lang w:eastAsia="ko-KR"/>
              </w:rPr>
            </w:pPr>
          </w:p>
        </w:tc>
        <w:tc>
          <w:tcPr>
            <w:tcW w:w="1872" w:type="dxa"/>
          </w:tcPr>
          <w:p w14:paraId="6AAEC170" w14:textId="77777777" w:rsidR="0077513F" w:rsidRPr="0077513F" w:rsidRDefault="0077513F" w:rsidP="003A7D8E">
            <w:pPr>
              <w:widowControl w:val="0"/>
              <w:overflowPunct w:val="0"/>
              <w:autoSpaceDE w:val="0"/>
              <w:autoSpaceDN w:val="0"/>
              <w:adjustRightInd w:val="0"/>
              <w:spacing w:after="0"/>
              <w:textAlignment w:val="baseline"/>
              <w:rPr>
                <w:rFonts w:ascii="Arial" w:hAnsi="Arial"/>
                <w:sz w:val="18"/>
                <w:lang w:eastAsia="ko-KR"/>
              </w:rPr>
            </w:pPr>
            <w:r w:rsidRPr="0077513F">
              <w:rPr>
                <w:rFonts w:ascii="Arial" w:hAnsi="Arial"/>
                <w:sz w:val="18"/>
                <w:lang w:eastAsia="ko-KR"/>
              </w:rPr>
              <w:t>BIT STRING (SIZE(64))</w:t>
            </w:r>
          </w:p>
        </w:tc>
        <w:tc>
          <w:tcPr>
            <w:tcW w:w="2880" w:type="dxa"/>
          </w:tcPr>
          <w:p w14:paraId="4D3FD482" w14:textId="77777777" w:rsidR="0077513F" w:rsidRPr="0077513F" w:rsidRDefault="0077513F" w:rsidP="003A7D8E">
            <w:pPr>
              <w:widowControl w:val="0"/>
              <w:overflowPunct w:val="0"/>
              <w:autoSpaceDE w:val="0"/>
              <w:autoSpaceDN w:val="0"/>
              <w:adjustRightInd w:val="0"/>
              <w:spacing w:after="0"/>
              <w:textAlignment w:val="baseline"/>
              <w:rPr>
                <w:rFonts w:ascii="Arial" w:eastAsia="SimSun" w:hAnsi="Arial"/>
                <w:bCs/>
                <w:sz w:val="18"/>
                <w:lang w:eastAsia="zh-CN"/>
              </w:rPr>
            </w:pPr>
            <w:r w:rsidRPr="0077513F">
              <w:rPr>
                <w:rFonts w:ascii="Arial" w:eastAsia="SimSun" w:hAnsi="Arial"/>
                <w:bCs/>
                <w:sz w:val="18"/>
                <w:lang w:eastAsia="zh-CN"/>
              </w:rPr>
              <w:t xml:space="preserve">Time in seconds relative to 00:00:00 on 1 January 1900 (calculated as continuous time without leap seconds and traceable to a common time reference) where binary encoding of the integer part is in the first 32 bits and binary encoding of the fraction part in the last 32 bits. </w:t>
            </w:r>
            <w:r w:rsidRPr="0077513F">
              <w:rPr>
                <w:rFonts w:ascii="Arial" w:eastAsia="SimSun" w:hAnsi="Arial"/>
                <w:bCs/>
                <w:color w:val="FF0000"/>
                <w:sz w:val="18"/>
                <w:lang w:eastAsia="zh-CN"/>
              </w:rPr>
              <w:t>The fraction part is expressed with a granularity of 1 /2**32 second</w:t>
            </w:r>
          </w:p>
        </w:tc>
      </w:tr>
    </w:tbl>
    <w:p w14:paraId="33056A42" w14:textId="77777777" w:rsidR="0077513F" w:rsidRPr="0077513F" w:rsidRDefault="0077513F" w:rsidP="0077513F">
      <w:pPr>
        <w:widowControl w:val="0"/>
        <w:overflowPunct w:val="0"/>
        <w:autoSpaceDE w:val="0"/>
        <w:autoSpaceDN w:val="0"/>
        <w:adjustRightInd w:val="0"/>
        <w:textAlignment w:val="baseline"/>
        <w:rPr>
          <w:b/>
          <w:lang w:eastAsia="ko-KR"/>
        </w:rPr>
      </w:pPr>
    </w:p>
    <w:p w14:paraId="3841683F" w14:textId="77777777" w:rsidR="005F0F9A" w:rsidRDefault="005F0F9A" w:rsidP="005F0F9A">
      <w:pPr>
        <w:pStyle w:val="Proposal"/>
        <w:numPr>
          <w:ilvl w:val="0"/>
          <w:numId w:val="0"/>
        </w:numPr>
      </w:pPr>
    </w:p>
    <w:p w14:paraId="24011A2D" w14:textId="267A7F15" w:rsidR="00DA7485" w:rsidRDefault="00DA7485" w:rsidP="00DA7485">
      <w:pPr>
        <w:pStyle w:val="Heading3"/>
      </w:pPr>
      <w:bookmarkStart w:id="1491" w:name="_Toc173851036"/>
      <w:bookmarkStart w:id="1492" w:name="_Toc173940788"/>
      <w:bookmarkStart w:id="1493" w:name="_Toc173851044"/>
      <w:bookmarkStart w:id="1494" w:name="_Toc173940796"/>
      <w:bookmarkStart w:id="1495" w:name="_Toc173851045"/>
      <w:bookmarkStart w:id="1496" w:name="_Toc173940797"/>
      <w:bookmarkStart w:id="1497" w:name="_Toc173851046"/>
      <w:bookmarkStart w:id="1498" w:name="_Toc173940798"/>
      <w:bookmarkStart w:id="1499" w:name="_Toc173851047"/>
      <w:bookmarkStart w:id="1500" w:name="_Toc173940799"/>
      <w:bookmarkStart w:id="1501" w:name="_Toc173851048"/>
      <w:bookmarkStart w:id="1502" w:name="_Toc173940800"/>
      <w:bookmarkStart w:id="1503" w:name="_Ref163213782"/>
      <w:bookmarkStart w:id="1504" w:name="_Toc165991010"/>
      <w:bookmarkStart w:id="1505" w:name="_Toc178961674"/>
      <w:bookmarkEnd w:id="1491"/>
      <w:bookmarkEnd w:id="1492"/>
      <w:bookmarkEnd w:id="1493"/>
      <w:bookmarkEnd w:id="1494"/>
      <w:bookmarkEnd w:id="1495"/>
      <w:bookmarkEnd w:id="1496"/>
      <w:bookmarkEnd w:id="1497"/>
      <w:bookmarkEnd w:id="1498"/>
      <w:bookmarkEnd w:id="1499"/>
      <w:bookmarkEnd w:id="1500"/>
      <w:bookmarkEnd w:id="1501"/>
      <w:bookmarkEnd w:id="1502"/>
      <w:r>
        <w:t>Signalling and quality reporting for Part A</w:t>
      </w:r>
      <w:bookmarkEnd w:id="1505"/>
    </w:p>
    <w:p w14:paraId="5955FD26" w14:textId="6B8A72E7" w:rsidR="00DA7485" w:rsidRDefault="00DA7485" w:rsidP="00DA7485">
      <w:r>
        <w:t xml:space="preserve">From the </w:t>
      </w:r>
      <w:r w:rsidR="00850E62">
        <w:t xml:space="preserve">RAN </w:t>
      </w:r>
      <w:r>
        <w:t xml:space="preserve">1 perspective, </w:t>
      </w:r>
      <w:r w:rsidR="00731AE6">
        <w:t>d</w:t>
      </w:r>
      <w:r>
        <w:t xml:space="preserve">ata collection for </w:t>
      </w:r>
      <w:r w:rsidR="00731AE6">
        <w:t>P</w:t>
      </w:r>
      <w:r>
        <w:t>art A is the same procedure as measurement reporting /requests for inference. Additionally, legacy measurement request may be re-used.</w:t>
      </w:r>
    </w:p>
    <w:p w14:paraId="52DD7B9C" w14:textId="4FAFD046" w:rsidR="00DA7485" w:rsidRDefault="00DA7485" w:rsidP="00DA7485">
      <w:r>
        <w:t xml:space="preserve">For </w:t>
      </w:r>
      <w:r w:rsidR="00731AE6">
        <w:t>C</w:t>
      </w:r>
      <w:r>
        <w:t xml:space="preserve">ase 1 and </w:t>
      </w:r>
      <w:r w:rsidR="00731AE6">
        <w:t>C</w:t>
      </w:r>
      <w:r>
        <w:t xml:space="preserve">ase 2a, data collection for </w:t>
      </w:r>
      <w:r w:rsidR="00731AE6">
        <w:t>P</w:t>
      </w:r>
      <w:r>
        <w:t xml:space="preserve">art A between a UE and another PRU UEs is already supported by specification. For data collection between non-PRU UEs, 3GPP should not specify a method for data collection. Rather, an OTT solution is assumed. </w:t>
      </w:r>
    </w:p>
    <w:p w14:paraId="15DC0397" w14:textId="6096D5AF" w:rsidR="00DA7485" w:rsidRPr="00D17048" w:rsidRDefault="00BE4C4A" w:rsidP="00DA7485">
      <w:pPr>
        <w:pStyle w:val="Observation"/>
        <w:rPr>
          <w:lang w:val="en-GB"/>
        </w:rPr>
      </w:pPr>
      <w:bookmarkStart w:id="1506" w:name="_Toc178961874"/>
      <w:r>
        <w:t>From the RAN1 perspective, c</w:t>
      </w:r>
      <w:r w:rsidR="00DA7485">
        <w:t xml:space="preserve">urrent specification support for </w:t>
      </w:r>
      <w:r>
        <w:t>P</w:t>
      </w:r>
      <w:r w:rsidR="00DA7485">
        <w:t xml:space="preserve">art A data collection in </w:t>
      </w:r>
      <w:r>
        <w:t>C</w:t>
      </w:r>
      <w:r w:rsidR="00DA7485">
        <w:t>ase 1 is sufficient.</w:t>
      </w:r>
      <w:bookmarkEnd w:id="1506"/>
    </w:p>
    <w:p w14:paraId="34826B42" w14:textId="5871F0FC" w:rsidR="00DA7485" w:rsidRDefault="00DA7485" w:rsidP="00DA7485">
      <w:r>
        <w:lastRenderedPageBreak/>
        <w:t xml:space="preserve">For </w:t>
      </w:r>
      <w:r w:rsidR="004858E6">
        <w:t>C</w:t>
      </w:r>
      <w:r>
        <w:t xml:space="preserve">ase 3b and 2b, data collection for </w:t>
      </w:r>
      <w:r w:rsidR="00B90593">
        <w:t>P</w:t>
      </w:r>
      <w:r>
        <w:t xml:space="preserve">art A should not be different from measurement request during inference. For </w:t>
      </w:r>
      <w:r w:rsidR="004858E6">
        <w:t>C</w:t>
      </w:r>
      <w:r>
        <w:t>ase 3a with model in the gNB</w:t>
      </w:r>
      <w:r w:rsidR="008842FE">
        <w:t xml:space="preserve"> (CU if split architecture)</w:t>
      </w:r>
      <w:r>
        <w:t xml:space="preserve"> the situation is the same. </w:t>
      </w:r>
    </w:p>
    <w:p w14:paraId="0A598DAF" w14:textId="5AB5AA7A" w:rsidR="00DA7485" w:rsidRPr="00D17048" w:rsidRDefault="00BE4C4A" w:rsidP="00DA7485">
      <w:pPr>
        <w:pStyle w:val="Observation"/>
        <w:rPr>
          <w:lang w:val="en-GB"/>
        </w:rPr>
      </w:pPr>
      <w:bookmarkStart w:id="1507" w:name="_Toc178961875"/>
      <w:r>
        <w:t>From the RAN1 perspective, P</w:t>
      </w:r>
      <w:r w:rsidR="00DA7485">
        <w:t xml:space="preserve">art A data collection in </w:t>
      </w:r>
      <w:r>
        <w:t>C</w:t>
      </w:r>
      <w:r w:rsidR="00DA7485">
        <w:t>ase 2b and 3b is identical to measurement reporting for inference.</w:t>
      </w:r>
      <w:bookmarkEnd w:id="1507"/>
    </w:p>
    <w:p w14:paraId="289D29B9" w14:textId="6F52B263" w:rsidR="00DA7485" w:rsidRDefault="00DA7485" w:rsidP="00DA7485">
      <w:r>
        <w:t xml:space="preserve">For </w:t>
      </w:r>
      <w:r w:rsidR="004858E6">
        <w:t>C</w:t>
      </w:r>
      <w:r>
        <w:t xml:space="preserve">ase 3a with model in the TRP, the TRP can handle its own measurements. Thus measurement request for </w:t>
      </w:r>
      <w:r w:rsidR="00B90593">
        <w:t>P</w:t>
      </w:r>
      <w:r>
        <w:t xml:space="preserve">art A in </w:t>
      </w:r>
      <w:r w:rsidR="008842FE">
        <w:t>C</w:t>
      </w:r>
      <w:r>
        <w:t xml:space="preserve">ase 3a is not an issue. </w:t>
      </w:r>
    </w:p>
    <w:p w14:paraId="30566C0F" w14:textId="3CE9CF88" w:rsidR="00DA7485" w:rsidRPr="00D17048" w:rsidRDefault="00DA7485" w:rsidP="00DA7485">
      <w:pPr>
        <w:pStyle w:val="Observation"/>
        <w:rPr>
          <w:lang w:val="en-GB"/>
        </w:rPr>
      </w:pPr>
      <w:bookmarkStart w:id="1508" w:name="_Toc178961876"/>
      <w:r>
        <w:t xml:space="preserve">From the RAN1 perspective, </w:t>
      </w:r>
      <w:r w:rsidR="00B90593">
        <w:t>P</w:t>
      </w:r>
      <w:r>
        <w:t xml:space="preserve">art A data collection in </w:t>
      </w:r>
      <w:r w:rsidR="00DA6EB4">
        <w:t>C</w:t>
      </w:r>
      <w:r>
        <w:t>ase 3a is either up to the network implementation or identical to measurement reporting for inference.</w:t>
      </w:r>
      <w:bookmarkEnd w:id="1508"/>
      <w:r>
        <w:t xml:space="preserve">  </w:t>
      </w:r>
    </w:p>
    <w:p w14:paraId="7E7C4AB8" w14:textId="58438F94" w:rsidR="00DA7485" w:rsidRDefault="00DA7485" w:rsidP="00DA7485">
      <w:r>
        <w:t xml:space="preserve">Based on this analysis, RAN1 does not need further discussion on specific procedure for </w:t>
      </w:r>
      <w:r w:rsidR="00B90593">
        <w:t>P</w:t>
      </w:r>
      <w:r>
        <w:t xml:space="preserve">art A data collection.  </w:t>
      </w:r>
    </w:p>
    <w:p w14:paraId="014B7BCB" w14:textId="32E7FFC7" w:rsidR="00DA7485" w:rsidRDefault="00DA7485" w:rsidP="00DA7485">
      <w:pPr>
        <w:pStyle w:val="Proposal"/>
        <w:rPr>
          <w:lang w:val="en-GB"/>
        </w:rPr>
      </w:pPr>
      <w:bookmarkStart w:id="1509" w:name="_Toc178961926"/>
      <w:r>
        <w:t xml:space="preserve">RAN1 does not need to discuss further signalling to enable </w:t>
      </w:r>
      <w:r w:rsidR="00B90593">
        <w:t>P</w:t>
      </w:r>
      <w:r>
        <w:t xml:space="preserve">art A data collection.  Measurement reporting is jointly discussed for </w:t>
      </w:r>
      <w:r w:rsidR="00B90593">
        <w:t xml:space="preserve">training </w:t>
      </w:r>
      <w:r>
        <w:t>data collection and inference.</w:t>
      </w:r>
      <w:bookmarkEnd w:id="1509"/>
    </w:p>
    <w:p w14:paraId="4D4A381D" w14:textId="77777777" w:rsidR="00F7065A" w:rsidRDefault="00DA7485" w:rsidP="00DA7485">
      <w:r>
        <w:t>For quality indication of model input, i.e. Part A, the measurement quality can also</w:t>
      </w:r>
      <w:r w:rsidR="00F7065A">
        <w:t xml:space="preserve"> be</w:t>
      </w:r>
      <w:r>
        <w:t xml:space="preserve"> </w:t>
      </w:r>
      <w:r w:rsidR="00F7065A">
        <w:t>jointly discussed for training data collection and inference, since</w:t>
      </w:r>
      <w:r>
        <w:t xml:space="preserve"> the same measurement quality indicator type is </w:t>
      </w:r>
      <w:r w:rsidR="00F7065A">
        <w:t>expected to be</w:t>
      </w:r>
      <w:r>
        <w:t xml:space="preserve"> used for measurement reported during inference. </w:t>
      </w:r>
    </w:p>
    <w:p w14:paraId="47D8D377" w14:textId="353E14D9" w:rsidR="00DA7485" w:rsidRDefault="00F7065A" w:rsidP="00DA7485">
      <w:r>
        <w:t>Regarding timing measurements in Part A, e.g., the sample timing in PDP and DP, t</w:t>
      </w:r>
      <w:r w:rsidR="00DA7485" w:rsidRPr="00B250EE">
        <w:t xml:space="preserve">he </w:t>
      </w:r>
      <w:r>
        <w:t xml:space="preserve">existing </w:t>
      </w:r>
      <w:r w:rsidR="00DA7485" w:rsidRPr="00B250EE">
        <w:t xml:space="preserve">IE </w:t>
      </w:r>
      <w:r w:rsidR="00DA7485" w:rsidRPr="00B250EE">
        <w:rPr>
          <w:i/>
          <w:iCs/>
        </w:rPr>
        <w:t xml:space="preserve">NR-TimingQuality </w:t>
      </w:r>
      <w:r w:rsidR="00DA7485" w:rsidRPr="00B250EE">
        <w:t>defines the quality of a timing value (e.g., of a TOA measurement)</w:t>
      </w:r>
      <w:r w:rsidR="00DA7485">
        <w:t xml:space="preserve"> down to 0.1</w:t>
      </w:r>
      <w:r w:rsidR="00850E62">
        <w:t xml:space="preserve"> </w:t>
      </w:r>
      <w:r w:rsidR="00DA7485">
        <w:t>meter, and can be re-used</w:t>
      </w:r>
      <w:r w:rsidR="00DA7485" w:rsidRPr="00B250EE">
        <w:t>.</w:t>
      </w:r>
    </w:p>
    <w:p w14:paraId="19D37D2B" w14:textId="75EC27CD" w:rsidR="00F7065A" w:rsidRPr="00F7065A" w:rsidRDefault="00F7065A" w:rsidP="00F7065A">
      <w:r w:rsidRPr="00F7065A">
        <w:t>Re</w:t>
      </w:r>
      <w:r>
        <w:t xml:space="preserve">garding power measurements in Part A for PDP, quality indicator similar to </w:t>
      </w:r>
      <w:r w:rsidRPr="00F7065A">
        <w:rPr>
          <w:i/>
          <w:iCs/>
          <w:lang w:val="en-GB"/>
        </w:rPr>
        <w:t>NR-</w:t>
      </w:r>
      <w:r w:rsidRPr="00F7065A">
        <w:rPr>
          <w:i/>
          <w:iCs/>
        </w:rPr>
        <w:t>TimingQuality</w:t>
      </w:r>
      <w:r>
        <w:t xml:space="preserve"> can be provided. An example is </w:t>
      </w:r>
      <w:r w:rsidR="00D939A7">
        <w:t>shown</w:t>
      </w:r>
      <w:r>
        <w:t xml:space="preserve"> below.</w:t>
      </w:r>
    </w:p>
    <w:p w14:paraId="2AAC9634" w14:textId="77777777" w:rsidR="00F7065A" w:rsidRPr="00F7065A" w:rsidRDefault="00F7065A" w:rsidP="00F7065A">
      <w:pPr>
        <w:pStyle w:val="PL"/>
      </w:pPr>
      <w:r w:rsidRPr="00F7065A">
        <w:rPr>
          <w:snapToGrid w:val="0"/>
        </w:rPr>
        <w:t xml:space="preserve">NR-PowerQuality-r19 </w:t>
      </w:r>
      <w:r w:rsidRPr="00F7065A">
        <w:t>::= SEQUENCE {</w:t>
      </w:r>
    </w:p>
    <w:p w14:paraId="3A0B2188" w14:textId="0C7A49EC" w:rsidR="00F7065A" w:rsidRPr="00F7065A" w:rsidRDefault="00F7065A" w:rsidP="00F7065A">
      <w:pPr>
        <w:pStyle w:val="PL"/>
      </w:pPr>
      <w:r w:rsidRPr="00F7065A">
        <w:tab/>
        <w:t>powerQualityValue-r19</w:t>
      </w:r>
      <w:r w:rsidRPr="00F7065A">
        <w:tab/>
      </w:r>
      <w:r w:rsidRPr="00F7065A">
        <w:tab/>
      </w:r>
      <w:r w:rsidR="00D939A7">
        <w:tab/>
      </w:r>
      <w:r w:rsidRPr="00F7065A">
        <w:rPr>
          <w:snapToGrid w:val="0"/>
        </w:rPr>
        <w:t>INTEGER (0..9),</w:t>
      </w:r>
    </w:p>
    <w:p w14:paraId="581233AC" w14:textId="77777777" w:rsidR="00F7065A" w:rsidRPr="00F7065A" w:rsidRDefault="00F7065A" w:rsidP="00F7065A">
      <w:pPr>
        <w:pStyle w:val="PL"/>
        <w:rPr>
          <w:snapToGrid w:val="0"/>
        </w:rPr>
      </w:pPr>
      <w:r w:rsidRPr="00F7065A">
        <w:rPr>
          <w:snapToGrid w:val="0"/>
        </w:rPr>
        <w:tab/>
        <w:t>powerQualityResolution-r19</w:t>
      </w:r>
      <w:r w:rsidRPr="00F7065A">
        <w:rPr>
          <w:snapToGrid w:val="0"/>
        </w:rPr>
        <w:tab/>
      </w:r>
      <w:r w:rsidRPr="00F7065A">
        <w:rPr>
          <w:snapToGrid w:val="0"/>
        </w:rPr>
        <w:tab/>
      </w:r>
      <w:r w:rsidRPr="00F7065A">
        <w:t>ENUMERATED {dBdot1, dB1,…}</w:t>
      </w:r>
      <w:r w:rsidRPr="00F7065A">
        <w:rPr>
          <w:snapToGrid w:val="0"/>
        </w:rPr>
        <w:t>,</w:t>
      </w:r>
    </w:p>
    <w:p w14:paraId="5AE2FE02" w14:textId="77777777" w:rsidR="00F7065A" w:rsidRPr="00F7065A" w:rsidRDefault="00F7065A" w:rsidP="00F7065A">
      <w:pPr>
        <w:pStyle w:val="PL"/>
        <w:rPr>
          <w:snapToGrid w:val="0"/>
        </w:rPr>
      </w:pPr>
      <w:r w:rsidRPr="00F7065A">
        <w:rPr>
          <w:snapToGrid w:val="0"/>
        </w:rPr>
        <w:tab/>
        <w:t>...</w:t>
      </w:r>
    </w:p>
    <w:p w14:paraId="51377076" w14:textId="77777777" w:rsidR="00F7065A" w:rsidRPr="00BF49CC" w:rsidRDefault="00F7065A" w:rsidP="00F7065A">
      <w:pPr>
        <w:pStyle w:val="PL"/>
      </w:pPr>
      <w:r w:rsidRPr="00F7065A">
        <w:t>}</w:t>
      </w:r>
    </w:p>
    <w:p w14:paraId="56E2419F" w14:textId="77777777" w:rsidR="00F7065A" w:rsidRDefault="00F7065A" w:rsidP="00F7065A"/>
    <w:tbl>
      <w:tblPr>
        <w:tblW w:w="843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8437"/>
      </w:tblGrid>
      <w:tr w:rsidR="00F7065A" w:rsidRPr="00F1068D" w14:paraId="2C16ECFA" w14:textId="77777777" w:rsidTr="00441055">
        <w:trPr>
          <w:cantSplit/>
          <w:tblHeader/>
        </w:trPr>
        <w:tc>
          <w:tcPr>
            <w:tcW w:w="8437" w:type="dxa"/>
          </w:tcPr>
          <w:p w14:paraId="40FC5A09" w14:textId="77777777" w:rsidR="00F7065A" w:rsidRPr="00F1068D" w:rsidRDefault="00F7065A" w:rsidP="00500110">
            <w:pPr>
              <w:widowControl w:val="0"/>
              <w:spacing w:after="0"/>
              <w:jc w:val="center"/>
              <w:rPr>
                <w:rFonts w:ascii="Arial" w:eastAsia="Times New Roman" w:hAnsi="Arial" w:cs="Times New Roman"/>
                <w:b/>
                <w:sz w:val="18"/>
                <w:szCs w:val="20"/>
                <w:lang w:val="en-GB"/>
              </w:rPr>
            </w:pPr>
            <w:r w:rsidRPr="00F1068D">
              <w:rPr>
                <w:rFonts w:ascii="Arial" w:eastAsia="Times New Roman" w:hAnsi="Arial" w:cs="Times New Roman"/>
                <w:b/>
                <w:i/>
                <w:noProof/>
                <w:sz w:val="18"/>
                <w:szCs w:val="20"/>
                <w:lang w:val="en-GB"/>
              </w:rPr>
              <w:t>NR-</w:t>
            </w:r>
            <w:r>
              <w:rPr>
                <w:rFonts w:ascii="Arial" w:eastAsia="Times New Roman" w:hAnsi="Arial" w:cs="Times New Roman"/>
                <w:b/>
                <w:i/>
                <w:noProof/>
                <w:sz w:val="18"/>
                <w:szCs w:val="20"/>
                <w:lang w:val="en-GB"/>
              </w:rPr>
              <w:t>Power</w:t>
            </w:r>
            <w:r w:rsidRPr="00F1068D">
              <w:rPr>
                <w:rFonts w:ascii="Arial" w:eastAsia="Times New Roman" w:hAnsi="Arial" w:cs="Times New Roman"/>
                <w:b/>
                <w:i/>
                <w:noProof/>
                <w:sz w:val="18"/>
                <w:szCs w:val="20"/>
                <w:lang w:val="en-GB"/>
              </w:rPr>
              <w:t xml:space="preserve">Quality </w:t>
            </w:r>
            <w:r w:rsidRPr="00F1068D">
              <w:rPr>
                <w:rFonts w:ascii="Arial" w:eastAsia="Times New Roman" w:hAnsi="Arial" w:cs="Times New Roman"/>
                <w:b/>
                <w:iCs/>
                <w:noProof/>
                <w:sz w:val="18"/>
                <w:szCs w:val="20"/>
                <w:lang w:val="en-GB"/>
              </w:rPr>
              <w:t>field descriptions</w:t>
            </w:r>
          </w:p>
        </w:tc>
      </w:tr>
      <w:tr w:rsidR="00F7065A" w:rsidRPr="00F1068D" w14:paraId="15FE7A71" w14:textId="77777777" w:rsidTr="00441055">
        <w:trPr>
          <w:cantSplit/>
        </w:trPr>
        <w:tc>
          <w:tcPr>
            <w:tcW w:w="8437" w:type="dxa"/>
          </w:tcPr>
          <w:p w14:paraId="068E0745" w14:textId="77777777" w:rsidR="00F7065A" w:rsidRPr="00154503" w:rsidRDefault="00F7065A" w:rsidP="00500110">
            <w:pPr>
              <w:keepNext/>
              <w:keepLines/>
              <w:spacing w:after="0"/>
              <w:rPr>
                <w:rFonts w:ascii="Arial" w:eastAsia="Times New Roman" w:hAnsi="Arial" w:cs="Times New Roman"/>
                <w:sz w:val="18"/>
                <w:szCs w:val="18"/>
                <w:lang w:val="en-GB" w:eastAsia="ja-JP"/>
              </w:rPr>
            </w:pPr>
            <w:r w:rsidRPr="00154503">
              <w:rPr>
                <w:rFonts w:ascii="Arial" w:eastAsia="Times New Roman" w:hAnsi="Arial" w:cs="Times New Roman"/>
                <w:b/>
                <w:i/>
                <w:sz w:val="18"/>
                <w:szCs w:val="18"/>
                <w:lang w:val="en-GB" w:eastAsia="ja-JP"/>
              </w:rPr>
              <w:t>powerQualityValue</w:t>
            </w:r>
          </w:p>
          <w:p w14:paraId="11B98A62" w14:textId="01EE8363" w:rsidR="00F7065A" w:rsidRPr="00154503" w:rsidRDefault="00F7065A" w:rsidP="00500110">
            <w:pPr>
              <w:keepNext/>
              <w:keepLines/>
              <w:widowControl w:val="0"/>
              <w:spacing w:after="0"/>
              <w:rPr>
                <w:rFonts w:ascii="Arial" w:eastAsia="Times New Roman" w:hAnsi="Arial" w:cs="Times New Roman"/>
                <w:sz w:val="18"/>
                <w:szCs w:val="18"/>
                <w:lang w:val="en-GB"/>
              </w:rPr>
            </w:pPr>
            <w:r w:rsidRPr="00154503">
              <w:rPr>
                <w:rFonts w:ascii="Arial" w:eastAsia="Times New Roman" w:hAnsi="Arial" w:cs="Times New Roman"/>
                <w:sz w:val="18"/>
                <w:szCs w:val="18"/>
                <w:lang w:val="en-GB" w:eastAsia="ja-JP"/>
              </w:rPr>
              <w:t xml:space="preserve">This field provides an estimate of uncertainty </w:t>
            </w:r>
            <w:r w:rsidRPr="00DF2B5B">
              <w:rPr>
                <w:rFonts w:ascii="Arial" w:eastAsiaTheme="minorEastAsia" w:hAnsi="Arial" w:cs="Arial"/>
                <w:sz w:val="18"/>
                <w:szCs w:val="18"/>
                <w:lang w:eastAsia="zh-CN"/>
              </w:rPr>
              <w:t>±</w:t>
            </w:r>
            <w:r>
              <w:rPr>
                <w:rFonts w:ascii="Arial" w:eastAsiaTheme="minorEastAsia" w:hAnsi="Arial" w:cs="Arial"/>
                <w:sz w:val="18"/>
                <w:szCs w:val="18"/>
                <w:lang w:eastAsia="zh-CN"/>
              </w:rPr>
              <w:t>X dB</w:t>
            </w:r>
            <w:r w:rsidRPr="00154503">
              <w:rPr>
                <w:rFonts w:ascii="Arial" w:eastAsia="Times New Roman" w:hAnsi="Arial" w:cs="Times New Roman"/>
                <w:sz w:val="18"/>
                <w:szCs w:val="18"/>
                <w:lang w:val="en-GB" w:eastAsia="ja-JP"/>
              </w:rPr>
              <w:t xml:space="preserve"> of the power value for which the IE </w:t>
            </w:r>
            <w:r w:rsidRPr="00154503">
              <w:rPr>
                <w:rFonts w:ascii="Arial" w:eastAsia="Times New Roman" w:hAnsi="Arial" w:cs="Times New Roman"/>
                <w:i/>
                <w:noProof/>
                <w:sz w:val="18"/>
                <w:szCs w:val="18"/>
                <w:lang w:val="en-GB"/>
              </w:rPr>
              <w:t xml:space="preserve">NR-PowerQuality </w:t>
            </w:r>
            <w:r w:rsidRPr="00154503">
              <w:rPr>
                <w:rFonts w:ascii="Arial" w:eastAsia="Times New Roman" w:hAnsi="Arial" w:cs="Times New Roman"/>
                <w:iCs/>
                <w:noProof/>
                <w:sz w:val="18"/>
                <w:szCs w:val="18"/>
                <w:lang w:val="en-GB"/>
              </w:rPr>
              <w:t xml:space="preserve">is </w:t>
            </w:r>
            <w:r w:rsidRPr="003163C2">
              <w:rPr>
                <w:rFonts w:ascii="Arial" w:eastAsia="Times New Roman" w:hAnsi="Arial" w:cs="Times New Roman"/>
                <w:iCs/>
                <w:noProof/>
                <w:sz w:val="18"/>
                <w:szCs w:val="18"/>
                <w:lang w:val="en-GB"/>
              </w:rPr>
              <w:t>provided in units of dB</w:t>
            </w:r>
            <w:r w:rsidRPr="003163C2">
              <w:rPr>
                <w:rFonts w:ascii="Arial" w:eastAsia="Times New Roman" w:hAnsi="Arial" w:cs="Times New Roman"/>
                <w:sz w:val="18"/>
                <w:szCs w:val="18"/>
                <w:lang w:val="en-GB" w:eastAsia="ja-JP"/>
              </w:rPr>
              <w:t>.</w:t>
            </w:r>
            <w:r w:rsidRPr="00154503">
              <w:rPr>
                <w:rFonts w:ascii="Arial" w:eastAsia="Times New Roman" w:hAnsi="Arial" w:cs="Times New Roman"/>
                <w:sz w:val="18"/>
                <w:szCs w:val="18"/>
                <w:lang w:val="en-GB" w:eastAsia="ja-JP"/>
              </w:rPr>
              <w:t xml:space="preserve"> Represents the deviation (uncertainty) in power as compared to what is reported </w:t>
            </w:r>
            <w:r>
              <w:rPr>
                <w:rFonts w:ascii="Arial" w:eastAsia="Times New Roman" w:hAnsi="Arial" w:cs="Times New Roman"/>
                <w:sz w:val="18"/>
                <w:szCs w:val="18"/>
                <w:lang w:val="en-GB" w:eastAsia="ja-JP"/>
              </w:rPr>
              <w:t>for power level</w:t>
            </w:r>
            <w:r w:rsidRPr="00154503">
              <w:rPr>
                <w:rFonts w:ascii="Arial" w:eastAsia="Times New Roman" w:hAnsi="Arial" w:cs="Times New Roman"/>
                <w:sz w:val="18"/>
                <w:szCs w:val="18"/>
                <w:lang w:val="en-GB" w:eastAsia="ja-JP"/>
              </w:rPr>
              <w:t xml:space="preserve">. </w:t>
            </w:r>
            <w:r w:rsidRPr="00154503">
              <w:rPr>
                <w:rFonts w:ascii="Arial" w:eastAsia="Times New Roman" w:hAnsi="Arial" w:cs="Arial"/>
                <w:sz w:val="18"/>
                <w:szCs w:val="18"/>
                <w:lang w:val="en-GB" w:eastAsia="ja-JP"/>
              </w:rPr>
              <w:t>Scale factor</w:t>
            </w:r>
            <w:r w:rsidRPr="00154503">
              <w:rPr>
                <w:rFonts w:ascii="Arial" w:eastAsia="Times New Roman" w:hAnsi="Arial" w:cs="Times New Roman"/>
                <w:sz w:val="18"/>
                <w:szCs w:val="18"/>
                <w:lang w:val="en-GB" w:eastAsia="ja-JP"/>
              </w:rPr>
              <w:t xml:space="preserve"> is provided in </w:t>
            </w:r>
            <w:r w:rsidRPr="003163C2">
              <w:rPr>
                <w:rFonts w:ascii="Arial" w:eastAsia="Times New Roman" w:hAnsi="Arial" w:cs="Times New Roman"/>
                <w:i/>
                <w:sz w:val="18"/>
                <w:szCs w:val="18"/>
                <w:lang w:val="en-GB" w:eastAsia="ja-JP"/>
              </w:rPr>
              <w:t>powerQualityResolution</w:t>
            </w:r>
            <w:r w:rsidRPr="00154503">
              <w:rPr>
                <w:rFonts w:ascii="Arial" w:eastAsia="Times New Roman" w:hAnsi="Arial" w:cs="Times New Roman"/>
                <w:sz w:val="18"/>
                <w:szCs w:val="18"/>
                <w:lang w:val="en-GB" w:eastAsia="ja-JP"/>
              </w:rPr>
              <w:t>.</w:t>
            </w:r>
          </w:p>
        </w:tc>
      </w:tr>
      <w:tr w:rsidR="00F7065A" w:rsidRPr="00F1068D" w14:paraId="6744F832" w14:textId="77777777" w:rsidTr="00441055">
        <w:trPr>
          <w:cantSplit/>
        </w:trPr>
        <w:tc>
          <w:tcPr>
            <w:tcW w:w="8437" w:type="dxa"/>
          </w:tcPr>
          <w:p w14:paraId="5EABF44D" w14:textId="77777777" w:rsidR="00F7065A" w:rsidRPr="00F1068D" w:rsidRDefault="00F7065A" w:rsidP="00500110">
            <w:pPr>
              <w:keepNext/>
              <w:keepLines/>
              <w:spacing w:after="0"/>
              <w:rPr>
                <w:rFonts w:ascii="Arial" w:eastAsia="Times New Roman" w:hAnsi="Arial" w:cs="Times New Roman"/>
                <w:sz w:val="18"/>
                <w:lang w:val="en-GB" w:eastAsia="ja-JP"/>
              </w:rPr>
            </w:pPr>
            <w:r w:rsidRPr="00065613">
              <w:rPr>
                <w:rFonts w:ascii="Arial" w:eastAsia="Times New Roman" w:hAnsi="Arial" w:cs="Times New Roman"/>
                <w:b/>
                <w:i/>
                <w:sz w:val="18"/>
                <w:lang w:val="en-GB" w:eastAsia="ja-JP"/>
              </w:rPr>
              <w:t>power</w:t>
            </w:r>
            <w:r w:rsidRPr="00F1068D">
              <w:rPr>
                <w:rFonts w:ascii="Arial" w:eastAsia="Times New Roman" w:hAnsi="Arial" w:cs="Times New Roman"/>
                <w:b/>
                <w:i/>
                <w:sz w:val="18"/>
                <w:lang w:val="en-GB" w:eastAsia="ja-JP"/>
              </w:rPr>
              <w:t>QualityResolution</w:t>
            </w:r>
          </w:p>
          <w:p w14:paraId="05C8111B" w14:textId="77777777" w:rsidR="00F7065A" w:rsidRPr="00F1068D" w:rsidRDefault="00F7065A" w:rsidP="00500110">
            <w:pPr>
              <w:keepNext/>
              <w:keepLines/>
              <w:widowControl w:val="0"/>
              <w:spacing w:after="0"/>
              <w:rPr>
                <w:rFonts w:ascii="Arial" w:eastAsia="Times New Roman" w:hAnsi="Arial" w:cs="Times New Roman"/>
                <w:sz w:val="18"/>
                <w:szCs w:val="20"/>
                <w:lang w:val="en-GB"/>
              </w:rPr>
            </w:pPr>
            <w:r w:rsidRPr="00F1068D">
              <w:rPr>
                <w:rFonts w:ascii="Arial" w:eastAsia="Times New Roman" w:hAnsi="Arial" w:cs="Times New Roman"/>
                <w:sz w:val="18"/>
                <w:lang w:val="en-GB" w:eastAsia="ja-JP"/>
              </w:rPr>
              <w:t xml:space="preserve">This field provides the resolution used in the </w:t>
            </w:r>
            <w:r w:rsidRPr="00065613">
              <w:rPr>
                <w:rFonts w:ascii="Arial" w:eastAsia="Times New Roman" w:hAnsi="Arial" w:cs="Times New Roman"/>
                <w:i/>
                <w:iCs/>
                <w:sz w:val="18"/>
                <w:szCs w:val="20"/>
                <w:lang w:val="en-GB"/>
              </w:rPr>
              <w:t>power</w:t>
            </w:r>
            <w:r w:rsidRPr="00F1068D">
              <w:rPr>
                <w:rFonts w:ascii="Arial" w:eastAsia="Times New Roman" w:hAnsi="Arial" w:cs="Times New Roman"/>
                <w:i/>
                <w:iCs/>
                <w:sz w:val="18"/>
                <w:szCs w:val="20"/>
                <w:lang w:val="en-GB"/>
              </w:rPr>
              <w:t>QualityValue</w:t>
            </w:r>
            <w:r w:rsidRPr="00F1068D">
              <w:rPr>
                <w:rFonts w:ascii="Arial" w:eastAsia="Times New Roman" w:hAnsi="Arial" w:cs="Times New Roman"/>
                <w:sz w:val="18"/>
                <w:lang w:val="en-GB" w:eastAsia="ja-JP"/>
              </w:rPr>
              <w:t xml:space="preserve"> field. Enumerated values </w:t>
            </w:r>
            <w:r>
              <w:rPr>
                <w:rFonts w:ascii="Arial" w:eastAsia="Times New Roman" w:hAnsi="Arial" w:cs="Times New Roman"/>
                <w:i/>
                <w:iCs/>
                <w:sz w:val="18"/>
                <w:szCs w:val="20"/>
                <w:lang w:val="en-GB"/>
              </w:rPr>
              <w:t>dB</w:t>
            </w:r>
            <w:r w:rsidRPr="00F1068D">
              <w:rPr>
                <w:rFonts w:ascii="Arial" w:eastAsia="Times New Roman" w:hAnsi="Arial" w:cs="Times New Roman"/>
                <w:i/>
                <w:iCs/>
                <w:sz w:val="18"/>
                <w:szCs w:val="20"/>
                <w:lang w:val="en-GB"/>
              </w:rPr>
              <w:t>dot1</w:t>
            </w:r>
            <w:r w:rsidRPr="00F1068D">
              <w:rPr>
                <w:rFonts w:ascii="Arial" w:eastAsia="Times New Roman" w:hAnsi="Arial" w:cs="Times New Roman"/>
                <w:sz w:val="18"/>
                <w:szCs w:val="20"/>
                <w:lang w:val="en-GB"/>
              </w:rPr>
              <w:t xml:space="preserve">, </w:t>
            </w:r>
            <w:r>
              <w:rPr>
                <w:rFonts w:ascii="Arial" w:eastAsia="Times New Roman" w:hAnsi="Arial" w:cs="Times New Roman"/>
                <w:i/>
                <w:iCs/>
                <w:sz w:val="18"/>
                <w:szCs w:val="20"/>
                <w:lang w:val="en-GB"/>
              </w:rPr>
              <w:t>dB</w:t>
            </w:r>
            <w:r w:rsidRPr="00F1068D">
              <w:rPr>
                <w:rFonts w:ascii="Arial" w:eastAsia="Times New Roman" w:hAnsi="Arial" w:cs="Times New Roman"/>
                <w:i/>
                <w:iCs/>
                <w:sz w:val="18"/>
                <w:szCs w:val="20"/>
                <w:lang w:val="en-GB"/>
              </w:rPr>
              <w:t>1</w:t>
            </w:r>
            <w:r w:rsidRPr="00F1068D">
              <w:rPr>
                <w:rFonts w:ascii="Arial" w:eastAsia="Times New Roman" w:hAnsi="Arial" w:cs="Times New Roman"/>
                <w:sz w:val="18"/>
                <w:szCs w:val="20"/>
                <w:lang w:val="en-GB"/>
              </w:rPr>
              <w:t xml:space="preserve"> correspond to 0.1, 1</w:t>
            </w:r>
            <w:r>
              <w:rPr>
                <w:rFonts w:ascii="Arial" w:eastAsia="Times New Roman" w:hAnsi="Arial" w:cs="Times New Roman"/>
                <w:sz w:val="18"/>
                <w:szCs w:val="20"/>
                <w:lang w:val="en-GB"/>
              </w:rPr>
              <w:t xml:space="preserve"> dB</w:t>
            </w:r>
            <w:r w:rsidRPr="00F1068D">
              <w:rPr>
                <w:rFonts w:ascii="Arial" w:eastAsia="Times New Roman" w:hAnsi="Arial" w:cs="Times New Roman"/>
                <w:sz w:val="18"/>
                <w:szCs w:val="20"/>
                <w:lang w:val="en-GB"/>
              </w:rPr>
              <w:t>, respectively.</w:t>
            </w:r>
          </w:p>
        </w:tc>
      </w:tr>
    </w:tbl>
    <w:p w14:paraId="15207920" w14:textId="77777777" w:rsidR="00F7065A" w:rsidRPr="00955953" w:rsidRDefault="00F7065A" w:rsidP="00DA7485">
      <w:pPr>
        <w:rPr>
          <w:lang w:val="sv-SE"/>
        </w:rPr>
      </w:pPr>
    </w:p>
    <w:p w14:paraId="70168C70" w14:textId="3ACDC731" w:rsidR="00DA7485" w:rsidRDefault="00850E62" w:rsidP="00850E62">
      <w:pPr>
        <w:pStyle w:val="Proposal"/>
        <w:rPr>
          <w:lang w:val="en-GB"/>
        </w:rPr>
      </w:pPr>
      <w:bookmarkStart w:id="1510" w:name="_Toc178961927"/>
      <w:r>
        <w:rPr>
          <w:lang w:val="en-GB"/>
        </w:rPr>
        <w:t>F</w:t>
      </w:r>
      <w:r w:rsidR="00DA7485">
        <w:rPr>
          <w:lang w:val="en-GB"/>
        </w:rPr>
        <w:t xml:space="preserve">or </w:t>
      </w:r>
      <w:r w:rsidR="0015010E">
        <w:rPr>
          <w:lang w:val="en-GB"/>
        </w:rPr>
        <w:t xml:space="preserve">training </w:t>
      </w:r>
      <w:r w:rsidR="00DA7485">
        <w:rPr>
          <w:lang w:val="en-GB"/>
        </w:rPr>
        <w:t xml:space="preserve">data collection in all cases, the quality </w:t>
      </w:r>
      <w:r w:rsidR="00F43ECB">
        <w:rPr>
          <w:lang w:val="en-GB"/>
        </w:rPr>
        <w:t>of</w:t>
      </w:r>
      <w:r w:rsidR="00DA7485">
        <w:rPr>
          <w:lang w:val="en-GB"/>
        </w:rPr>
        <w:t xml:space="preserve"> </w:t>
      </w:r>
      <w:r w:rsidR="00B90593">
        <w:rPr>
          <w:lang w:val="en-GB"/>
        </w:rPr>
        <w:t xml:space="preserve">timing </w:t>
      </w:r>
      <w:r w:rsidR="00DA7485">
        <w:rPr>
          <w:lang w:val="en-GB"/>
        </w:rPr>
        <w:t>measurements in Part A</w:t>
      </w:r>
      <w:r w:rsidR="00B90593">
        <w:rPr>
          <w:lang w:val="en-GB"/>
        </w:rPr>
        <w:t xml:space="preserve"> (PDP, DP)</w:t>
      </w:r>
      <w:r w:rsidR="00765158">
        <w:rPr>
          <w:lang w:val="en-GB"/>
        </w:rPr>
        <w:t xml:space="preserve"> can reuse </w:t>
      </w:r>
      <w:r w:rsidR="00765158" w:rsidRPr="002022C0">
        <w:rPr>
          <w:lang w:val="en-GB"/>
        </w:rPr>
        <w:t xml:space="preserve">existing IE </w:t>
      </w:r>
      <w:r w:rsidR="00765158" w:rsidRPr="00F7065A">
        <w:rPr>
          <w:i/>
          <w:iCs/>
          <w:lang w:val="en-GB"/>
        </w:rPr>
        <w:t>NR-</w:t>
      </w:r>
      <w:r w:rsidR="00765158" w:rsidRPr="00B250EE">
        <w:rPr>
          <w:i/>
          <w:iCs/>
        </w:rPr>
        <w:t>TimingQuality</w:t>
      </w:r>
      <w:r w:rsidR="00765158">
        <w:rPr>
          <w:lang w:val="en-GB"/>
        </w:rPr>
        <w:t xml:space="preserve">, which has resolution </w:t>
      </w:r>
      <w:r w:rsidR="00DA7485">
        <w:rPr>
          <w:lang w:val="en-GB"/>
        </w:rPr>
        <w:t xml:space="preserve">down </w:t>
      </w:r>
      <w:r w:rsidR="00B90593">
        <w:rPr>
          <w:lang w:val="en-GB"/>
        </w:rPr>
        <w:t xml:space="preserve">to </w:t>
      </w:r>
      <w:r w:rsidR="00DA7485">
        <w:rPr>
          <w:lang w:val="en-GB"/>
        </w:rPr>
        <w:t>0.1m</w:t>
      </w:r>
      <w:r>
        <w:rPr>
          <w:lang w:val="en-GB"/>
        </w:rPr>
        <w:t>.</w:t>
      </w:r>
      <w:bookmarkEnd w:id="1510"/>
      <w:r>
        <w:rPr>
          <w:lang w:val="en-GB"/>
        </w:rPr>
        <w:t xml:space="preserve"> </w:t>
      </w:r>
    </w:p>
    <w:p w14:paraId="6588C458" w14:textId="0909A755" w:rsidR="0015010E" w:rsidRDefault="0015010E" w:rsidP="00850E62">
      <w:pPr>
        <w:pStyle w:val="Proposal"/>
        <w:rPr>
          <w:lang w:val="en-GB"/>
        </w:rPr>
      </w:pPr>
      <w:bookmarkStart w:id="1511" w:name="_Toc178961928"/>
      <w:r>
        <w:rPr>
          <w:lang w:val="en-GB"/>
        </w:rPr>
        <w:t xml:space="preserve">For training data collection in all cases, the </w:t>
      </w:r>
      <w:r w:rsidR="00F43ECB">
        <w:rPr>
          <w:lang w:val="en-GB"/>
        </w:rPr>
        <w:t xml:space="preserve">quality of power measurements is provided for PDP in </w:t>
      </w:r>
      <w:r>
        <w:rPr>
          <w:lang w:val="en-GB"/>
        </w:rPr>
        <w:t>Part A</w:t>
      </w:r>
      <w:r w:rsidR="00F43ECB">
        <w:rPr>
          <w:lang w:val="en-GB"/>
        </w:rPr>
        <w:t xml:space="preserve"> in units of dB. The </w:t>
      </w:r>
      <w:r w:rsidR="004470D6">
        <w:rPr>
          <w:lang w:val="en-GB"/>
        </w:rPr>
        <w:t xml:space="preserve">candidate </w:t>
      </w:r>
      <w:r w:rsidR="00F43ECB">
        <w:rPr>
          <w:lang w:val="en-GB"/>
        </w:rPr>
        <w:t>resolution include</w:t>
      </w:r>
      <w:r w:rsidR="009F6C8A">
        <w:rPr>
          <w:lang w:val="en-GB"/>
        </w:rPr>
        <w:t>s</w:t>
      </w:r>
      <w:r w:rsidR="00F43ECB">
        <w:rPr>
          <w:lang w:val="en-GB"/>
        </w:rPr>
        <w:t xml:space="preserve"> 0.1 dB and 1 dB.</w:t>
      </w:r>
      <w:bookmarkEnd w:id="1511"/>
    </w:p>
    <w:p w14:paraId="3889A6EF" w14:textId="77777777" w:rsidR="00F7065A" w:rsidRDefault="00F7065A" w:rsidP="009F6C8A">
      <w:pPr>
        <w:pStyle w:val="Proposal"/>
        <w:numPr>
          <w:ilvl w:val="0"/>
          <w:numId w:val="0"/>
        </w:numPr>
        <w:rPr>
          <w:lang w:val="en-GB"/>
        </w:rPr>
      </w:pPr>
    </w:p>
    <w:p w14:paraId="3F02698C" w14:textId="77777777" w:rsidR="00B90593" w:rsidRDefault="00B90593" w:rsidP="00B90593">
      <w:pPr>
        <w:rPr>
          <w:b/>
          <w:bCs/>
          <w:u w:val="single"/>
        </w:rPr>
      </w:pPr>
      <w:bookmarkStart w:id="1512" w:name="_Toc52547837"/>
      <w:bookmarkStart w:id="1513" w:name="_Toc171549857"/>
      <w:bookmarkStart w:id="1514" w:name="_Toc52547307"/>
      <w:bookmarkStart w:id="1515" w:name="_Toc46486432"/>
      <w:bookmarkStart w:id="1516" w:name="_Toc52546777"/>
      <w:bookmarkStart w:id="1517" w:name="_Toc52548367"/>
      <w:r>
        <w:rPr>
          <w:b/>
          <w:bCs/>
          <w:u w:val="single"/>
        </w:rPr>
        <w:t>For reference, existing signaling in 37.355 (LPP):</w:t>
      </w:r>
    </w:p>
    <w:p w14:paraId="75541782" w14:textId="38661362" w:rsidR="00B90593" w:rsidRDefault="00B90593" w:rsidP="00B90593">
      <w:r>
        <w:t>–</w:t>
      </w:r>
      <w:r>
        <w:tab/>
        <w:t>NR-TimingQuality</w:t>
      </w:r>
      <w:bookmarkEnd w:id="1512"/>
      <w:bookmarkEnd w:id="1513"/>
      <w:bookmarkEnd w:id="1514"/>
      <w:bookmarkEnd w:id="1515"/>
      <w:bookmarkEnd w:id="1516"/>
      <w:bookmarkEnd w:id="1517"/>
    </w:p>
    <w:p w14:paraId="3616D89A" w14:textId="77777777" w:rsidR="00B90593" w:rsidRDefault="00B90593" w:rsidP="00B90593">
      <w:pPr>
        <w:keepLines/>
      </w:pPr>
      <w:r>
        <w:t xml:space="preserve">The IE </w:t>
      </w:r>
      <w:r>
        <w:rPr>
          <w:i/>
        </w:rPr>
        <w:t xml:space="preserve">NR-TimingQuality </w:t>
      </w:r>
      <w:r>
        <w:t>defines the quality of a timing value (e.g., of a TOA measurement).</w:t>
      </w:r>
    </w:p>
    <w:p w14:paraId="258067E2" w14:textId="77777777" w:rsidR="00B90593" w:rsidRDefault="00B90593" w:rsidP="00B90593">
      <w:pPr>
        <w:pStyle w:val="PL"/>
      </w:pPr>
      <w:r>
        <w:t>-- ASN1START</w:t>
      </w:r>
    </w:p>
    <w:p w14:paraId="4A1E1E12" w14:textId="77777777" w:rsidR="00B90593" w:rsidRDefault="00B90593" w:rsidP="00B90593">
      <w:pPr>
        <w:pStyle w:val="PL"/>
      </w:pPr>
    </w:p>
    <w:p w14:paraId="007471A2" w14:textId="77777777" w:rsidR="00B90593" w:rsidRDefault="00B90593" w:rsidP="00B90593">
      <w:pPr>
        <w:pStyle w:val="PL"/>
      </w:pPr>
      <w:bookmarkStart w:id="1518" w:name="_Hlk176420089"/>
      <w:r>
        <w:t>NR-TimingQuality-r16</w:t>
      </w:r>
      <w:bookmarkEnd w:id="1518"/>
      <w:r>
        <w:t xml:space="preserve"> ::= SEQUENCE {</w:t>
      </w:r>
    </w:p>
    <w:p w14:paraId="0E380635" w14:textId="77777777" w:rsidR="00B90593" w:rsidRDefault="00B90593" w:rsidP="00B90593">
      <w:pPr>
        <w:pStyle w:val="PL"/>
      </w:pPr>
      <w:r>
        <w:tab/>
        <w:t>timingQualityValue-r16</w:t>
      </w:r>
      <w:r>
        <w:tab/>
      </w:r>
      <w:r>
        <w:tab/>
      </w:r>
      <w:r>
        <w:tab/>
        <w:t>INTEGER (0..31),</w:t>
      </w:r>
    </w:p>
    <w:p w14:paraId="1652D522" w14:textId="77777777" w:rsidR="00B90593" w:rsidRDefault="00B90593" w:rsidP="00B90593">
      <w:pPr>
        <w:pStyle w:val="PL"/>
      </w:pPr>
      <w:r>
        <w:tab/>
        <w:t>timingQualityResolution-r16</w:t>
      </w:r>
      <w:r>
        <w:tab/>
      </w:r>
      <w:r>
        <w:tab/>
        <w:t>ENUMERATED {mdot1, m1, m10, m30, …},</w:t>
      </w:r>
    </w:p>
    <w:p w14:paraId="02C728F9" w14:textId="77777777" w:rsidR="00B90593" w:rsidRDefault="00B90593" w:rsidP="00B90593">
      <w:pPr>
        <w:pStyle w:val="PL"/>
      </w:pPr>
      <w:r>
        <w:tab/>
        <w:t>…</w:t>
      </w:r>
    </w:p>
    <w:p w14:paraId="2D7B8959" w14:textId="77777777" w:rsidR="00B90593" w:rsidRDefault="00B90593" w:rsidP="00B90593">
      <w:pPr>
        <w:pStyle w:val="PL"/>
      </w:pPr>
      <w:r>
        <w:t>}</w:t>
      </w:r>
    </w:p>
    <w:p w14:paraId="7750F5F5" w14:textId="77777777" w:rsidR="00B90593" w:rsidRDefault="00B90593" w:rsidP="00B90593">
      <w:pPr>
        <w:pStyle w:val="PL"/>
      </w:pPr>
    </w:p>
    <w:p w14:paraId="77F8B04C" w14:textId="77777777" w:rsidR="00B90593" w:rsidRDefault="00B90593" w:rsidP="00B90593">
      <w:pPr>
        <w:pStyle w:val="PL"/>
      </w:pPr>
      <w:r>
        <w:t>-- ASN1STOP</w:t>
      </w:r>
    </w:p>
    <w:p w14:paraId="1A90589C" w14:textId="77777777" w:rsidR="00B90593" w:rsidRDefault="00B90593" w:rsidP="00B90593">
      <w:pPr>
        <w:rPr>
          <w:iCs/>
        </w:rPr>
      </w:pPr>
    </w:p>
    <w:tbl>
      <w:tblPr>
        <w:tblW w:w="9639" w:type="dxa"/>
        <w:tblInd w:w="108" w:type="dxa"/>
        <w:tblLayout w:type="fixed"/>
        <w:tblLook w:val="04A0" w:firstRow="1" w:lastRow="0" w:firstColumn="1" w:lastColumn="0" w:noHBand="0" w:noVBand="1"/>
      </w:tblPr>
      <w:tblGrid>
        <w:gridCol w:w="9639"/>
      </w:tblGrid>
      <w:tr w:rsidR="00B90593" w14:paraId="68D4440F" w14:textId="7777777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EA41C09" w14:textId="77777777" w:rsidR="00B90593" w:rsidRDefault="00B90593">
            <w:pPr>
              <w:pStyle w:val="TAH"/>
              <w:keepNext w:val="0"/>
              <w:keepLines w:val="0"/>
              <w:widowControl w:val="0"/>
              <w:spacing w:after="0"/>
            </w:pPr>
            <w:r>
              <w:rPr>
                <w:i/>
              </w:rPr>
              <w:t xml:space="preserve">NR-TimingQuality </w:t>
            </w:r>
            <w:r>
              <w:rPr>
                <w:iCs/>
              </w:rPr>
              <w:t>field descriptions</w:t>
            </w:r>
          </w:p>
        </w:tc>
      </w:tr>
      <w:tr w:rsidR="00B90593" w14:paraId="5A17DDF2" w14:textId="77777777">
        <w:trPr>
          <w:cantSplit/>
        </w:trPr>
        <w:tc>
          <w:tcPr>
            <w:tcW w:w="9639" w:type="dxa"/>
            <w:tcBorders>
              <w:top w:val="single" w:sz="4" w:space="0" w:color="808080"/>
              <w:left w:val="single" w:sz="4" w:space="0" w:color="808080"/>
              <w:bottom w:val="single" w:sz="4" w:space="0" w:color="808080"/>
              <w:right w:val="single" w:sz="4" w:space="0" w:color="808080"/>
            </w:tcBorders>
          </w:tcPr>
          <w:p w14:paraId="3243D588" w14:textId="77777777" w:rsidR="00B90593" w:rsidRDefault="00B90593">
            <w:pPr>
              <w:pStyle w:val="TAL"/>
              <w:widowControl w:val="0"/>
              <w:spacing w:after="0"/>
              <w:rPr>
                <w:lang w:val="en-US"/>
              </w:rPr>
            </w:pPr>
            <w:r>
              <w:rPr>
                <w:b/>
                <w:i/>
                <w:lang w:val="en-US"/>
              </w:rPr>
              <w:t>timingQualityValue</w:t>
            </w:r>
          </w:p>
          <w:p w14:paraId="6F639354" w14:textId="77777777" w:rsidR="00B90593" w:rsidRDefault="00B90593">
            <w:pPr>
              <w:pStyle w:val="TAL"/>
              <w:widowControl w:val="0"/>
              <w:spacing w:after="0"/>
              <w:rPr>
                <w:lang w:val="en-US"/>
              </w:rPr>
            </w:pPr>
            <w:r>
              <w:rPr>
                <w:lang w:val="en-US"/>
              </w:rPr>
              <w:t xml:space="preserve">This field provides an estimate of </w:t>
            </w:r>
            <w:r>
              <w:rPr>
                <w:color w:val="FF0000"/>
                <w:lang w:val="en-US"/>
              </w:rPr>
              <w:t xml:space="preserve">uncertainty </w:t>
            </w:r>
            <w:r>
              <w:rPr>
                <w:lang w:val="en-US"/>
              </w:rPr>
              <w:t xml:space="preserve">of the timing value for which the IE </w:t>
            </w:r>
            <w:r>
              <w:rPr>
                <w:i/>
                <w:lang w:val="en-US"/>
              </w:rPr>
              <w:t xml:space="preserve">NR-TimingQuality </w:t>
            </w:r>
            <w:r>
              <w:rPr>
                <w:iCs/>
                <w:lang w:val="en-US"/>
              </w:rPr>
              <w:t xml:space="preserve">is provided in </w:t>
            </w:r>
            <w:r>
              <w:rPr>
                <w:iCs/>
                <w:color w:val="FF0000"/>
                <w:lang w:val="en-US"/>
              </w:rPr>
              <w:t>units of metres</w:t>
            </w:r>
            <w:r>
              <w:rPr>
                <w:color w:val="FF0000"/>
                <w:lang w:val="en-US"/>
              </w:rPr>
              <w:t>.</w:t>
            </w:r>
          </w:p>
        </w:tc>
      </w:tr>
      <w:tr w:rsidR="00B90593" w14:paraId="0D66841D" w14:textId="77777777">
        <w:trPr>
          <w:cantSplit/>
        </w:trPr>
        <w:tc>
          <w:tcPr>
            <w:tcW w:w="9639" w:type="dxa"/>
            <w:tcBorders>
              <w:top w:val="single" w:sz="4" w:space="0" w:color="808080"/>
              <w:left w:val="single" w:sz="4" w:space="0" w:color="808080"/>
              <w:bottom w:val="single" w:sz="4" w:space="0" w:color="808080"/>
              <w:right w:val="single" w:sz="4" w:space="0" w:color="808080"/>
            </w:tcBorders>
          </w:tcPr>
          <w:p w14:paraId="60AA846C" w14:textId="77777777" w:rsidR="00B90593" w:rsidRDefault="00B90593">
            <w:pPr>
              <w:pStyle w:val="TAL"/>
              <w:widowControl w:val="0"/>
              <w:spacing w:after="0"/>
              <w:rPr>
                <w:lang w:val="en-US"/>
              </w:rPr>
            </w:pPr>
            <w:r>
              <w:rPr>
                <w:b/>
                <w:i/>
                <w:lang w:val="en-US"/>
              </w:rPr>
              <w:t>timingQualityResolution</w:t>
            </w:r>
          </w:p>
          <w:p w14:paraId="08A71893" w14:textId="77777777" w:rsidR="00B90593" w:rsidRDefault="00B90593">
            <w:pPr>
              <w:pStyle w:val="TAL"/>
              <w:widowControl w:val="0"/>
              <w:spacing w:after="0"/>
              <w:rPr>
                <w:lang w:val="en-US"/>
              </w:rPr>
            </w:pPr>
            <w:r>
              <w:rPr>
                <w:lang w:val="en-US"/>
              </w:rPr>
              <w:t xml:space="preserve">This field provides the resolution used in the </w:t>
            </w:r>
            <w:r>
              <w:rPr>
                <w:i/>
                <w:iCs/>
                <w:lang w:val="en-US"/>
              </w:rPr>
              <w:t>timingQualityValue</w:t>
            </w:r>
            <w:r>
              <w:rPr>
                <w:lang w:val="en-US"/>
              </w:rPr>
              <w:t xml:space="preserve"> field. Enumerated values </w:t>
            </w:r>
            <w:r>
              <w:rPr>
                <w:i/>
                <w:iCs/>
                <w:lang w:val="en-US"/>
              </w:rPr>
              <w:t>mdot1</w:t>
            </w:r>
            <w:r>
              <w:rPr>
                <w:lang w:val="en-US"/>
              </w:rPr>
              <w:t xml:space="preserve">, </w:t>
            </w:r>
            <w:r>
              <w:rPr>
                <w:i/>
                <w:iCs/>
                <w:lang w:val="en-US"/>
              </w:rPr>
              <w:t>m1</w:t>
            </w:r>
            <w:r>
              <w:rPr>
                <w:lang w:val="en-US"/>
              </w:rPr>
              <w:t xml:space="preserve">, </w:t>
            </w:r>
            <w:r>
              <w:rPr>
                <w:i/>
                <w:iCs/>
                <w:lang w:val="en-US"/>
              </w:rPr>
              <w:t>m10</w:t>
            </w:r>
            <w:r>
              <w:rPr>
                <w:lang w:val="en-US"/>
              </w:rPr>
              <w:t xml:space="preserve">, </w:t>
            </w:r>
            <w:r>
              <w:rPr>
                <w:i/>
                <w:iCs/>
                <w:lang w:val="en-US"/>
              </w:rPr>
              <w:t>m30</w:t>
            </w:r>
            <w:r>
              <w:rPr>
                <w:lang w:val="en-US"/>
              </w:rPr>
              <w:t xml:space="preserve"> correspond to </w:t>
            </w:r>
            <w:r w:rsidRPr="00DA6EB4">
              <w:rPr>
                <w:color w:val="FF0000"/>
                <w:lang w:val="en-US"/>
              </w:rPr>
              <w:t>0.1</w:t>
            </w:r>
            <w:r>
              <w:rPr>
                <w:lang w:val="en-US"/>
              </w:rPr>
              <w:t>, 1, 10, 30 metres, respectively.</w:t>
            </w:r>
          </w:p>
        </w:tc>
      </w:tr>
    </w:tbl>
    <w:p w14:paraId="42B27BC3" w14:textId="77777777" w:rsidR="00B90593" w:rsidRPr="00850E62" w:rsidRDefault="00B90593">
      <w:pPr>
        <w:pStyle w:val="Proposal"/>
        <w:numPr>
          <w:ilvl w:val="0"/>
          <w:numId w:val="0"/>
        </w:numPr>
        <w:rPr>
          <w:lang w:val="en-GB"/>
        </w:rPr>
      </w:pPr>
    </w:p>
    <w:p w14:paraId="2C16851F" w14:textId="77777777" w:rsidR="00DA7485" w:rsidRDefault="00DA7485" w:rsidP="00DA7485">
      <w:pPr>
        <w:pStyle w:val="Heading3"/>
      </w:pPr>
      <w:bookmarkStart w:id="1519" w:name="_Toc178961675"/>
      <w:r>
        <w:t>Signalling and quality reporting for Part B</w:t>
      </w:r>
      <w:bookmarkEnd w:id="1519"/>
    </w:p>
    <w:p w14:paraId="76FDC768" w14:textId="54971005" w:rsidR="00DA7485" w:rsidRPr="008B2BAD" w:rsidRDefault="002755B3" w:rsidP="00DA7485">
      <w:r>
        <w:t>For training data collection of Part B, t</w:t>
      </w:r>
      <w:r w:rsidR="00DA7485">
        <w:t>he label</w:t>
      </w:r>
      <w:r w:rsidR="00DB1B6D">
        <w:t xml:space="preserve"> generation entitie</w:t>
      </w:r>
      <w:r w:rsidR="00DA7485">
        <w:t xml:space="preserve">s for each case is already agreed by RAN1.  </w:t>
      </w:r>
      <w:r>
        <w:t>T</w:t>
      </w:r>
      <w:r w:rsidR="00DA7485">
        <w:t>he working assumption</w:t>
      </w:r>
      <w:r>
        <w:t>s</w:t>
      </w:r>
      <w:r w:rsidR="00DA7485">
        <w:t xml:space="preserve"> could be confirmed in order to close the discussion. </w:t>
      </w:r>
    </w:p>
    <w:p w14:paraId="733E27F8" w14:textId="77777777" w:rsidR="00DA7485" w:rsidRPr="00AE0323" w:rsidRDefault="00DA7485" w:rsidP="00DA7485">
      <w:pPr>
        <w:pStyle w:val="Proposal"/>
      </w:pPr>
      <w:bookmarkStart w:id="1520" w:name="_Toc178961929"/>
      <w:r w:rsidRPr="00AE0323">
        <w:t>Confirm the existing WAs on label generation for all cases and send the agreements to RAN2.</w:t>
      </w:r>
      <w:bookmarkEnd w:id="1520"/>
    </w:p>
    <w:p w14:paraId="2A391003" w14:textId="77777777" w:rsidR="00DA7485" w:rsidRDefault="00DA7485" w:rsidP="00DA7485">
      <w:pPr>
        <w:tabs>
          <w:tab w:val="left" w:pos="2123"/>
        </w:tabs>
      </w:pPr>
    </w:p>
    <w:p w14:paraId="6A281C07" w14:textId="77C650B3" w:rsidR="00DA7485" w:rsidRDefault="00DA7485" w:rsidP="00DA7485">
      <w:pPr>
        <w:tabs>
          <w:tab w:val="left" w:pos="2123"/>
        </w:tabs>
      </w:pPr>
      <w:r>
        <w:t>For label quality, RAN1 extensively discussed how to attach a quality to part B, with the following being the latest proposal</w:t>
      </w:r>
      <w:r w:rsidR="007C36DC">
        <w:t xml:space="preserve"> from RAN1#118</w:t>
      </w:r>
      <w:r>
        <w:t>:</w:t>
      </w:r>
    </w:p>
    <w:tbl>
      <w:tblPr>
        <w:tblStyle w:val="TableGrid"/>
        <w:tblW w:w="0" w:type="auto"/>
        <w:tblLook w:val="04A0" w:firstRow="1" w:lastRow="0" w:firstColumn="1" w:lastColumn="0" w:noHBand="0" w:noVBand="1"/>
      </w:tblPr>
      <w:tblGrid>
        <w:gridCol w:w="9962"/>
      </w:tblGrid>
      <w:tr w:rsidR="00DA7485" w:rsidRPr="00DA6EB4" w14:paraId="46110088" w14:textId="77777777">
        <w:tc>
          <w:tcPr>
            <w:tcW w:w="9962" w:type="dxa"/>
          </w:tcPr>
          <w:p w14:paraId="5CF4030D" w14:textId="77777777" w:rsidR="00DA7485" w:rsidRPr="00DA6EB4" w:rsidRDefault="00DA7485">
            <w:pPr>
              <w:rPr>
                <w:b/>
                <w:sz w:val="20"/>
                <w:szCs w:val="18"/>
                <w:u w:val="single"/>
              </w:rPr>
            </w:pPr>
            <w:r w:rsidRPr="00DA6EB4">
              <w:rPr>
                <w:b/>
                <w:sz w:val="20"/>
                <w:szCs w:val="18"/>
                <w:u w:val="single"/>
              </w:rPr>
              <w:t>Proposal 4.1.3-2</w:t>
            </w:r>
          </w:p>
          <w:p w14:paraId="1825F9D1" w14:textId="77777777" w:rsidR="00DA7485" w:rsidRPr="00DA6EB4" w:rsidRDefault="00DA7485">
            <w:pPr>
              <w:rPr>
                <w:sz w:val="20"/>
                <w:szCs w:val="18"/>
              </w:rPr>
            </w:pPr>
            <w:r w:rsidRPr="00DA6EB4">
              <w:rPr>
                <w:sz w:val="20"/>
                <w:szCs w:val="18"/>
              </w:rPr>
              <w:t>For training data collection of AI/ML based positioning Cases 1, 2b, 3b, from RAN1 perspective, quality indicator of label is represented using one of the following options. RAN1 study and decide on the option to select between Option 1 and Option 2.</w:t>
            </w:r>
          </w:p>
          <w:p w14:paraId="03ED9694" w14:textId="77777777" w:rsidR="00DA7485" w:rsidRPr="00DA6EB4" w:rsidRDefault="00DA7485" w:rsidP="00D35F36">
            <w:pPr>
              <w:pStyle w:val="ListParagraph"/>
              <w:numPr>
                <w:ilvl w:val="0"/>
                <w:numId w:val="80"/>
              </w:numPr>
              <w:spacing w:line="276" w:lineRule="auto"/>
              <w:rPr>
                <w:sz w:val="20"/>
                <w:szCs w:val="18"/>
              </w:rPr>
            </w:pPr>
            <w:r w:rsidRPr="00DA6EB4">
              <w:rPr>
                <w:sz w:val="20"/>
                <w:szCs w:val="18"/>
              </w:rPr>
              <w:t xml:space="preserve">Option 1: reuse an existing IE that provides UE location uncertainty. For example, LocationUncertainty-r16 in 37.355; </w:t>
            </w:r>
          </w:p>
          <w:p w14:paraId="4CB66276" w14:textId="77777777" w:rsidR="00DA7485" w:rsidRPr="00DA6EB4" w:rsidRDefault="00DA7485" w:rsidP="00D35F36">
            <w:pPr>
              <w:pStyle w:val="ListParagraph"/>
              <w:numPr>
                <w:ilvl w:val="0"/>
                <w:numId w:val="80"/>
              </w:numPr>
              <w:spacing w:line="276" w:lineRule="auto"/>
              <w:rPr>
                <w:sz w:val="20"/>
                <w:szCs w:val="18"/>
              </w:rPr>
            </w:pPr>
            <w:r w:rsidRPr="00DA6EB4">
              <w:rPr>
                <w:sz w:val="20"/>
                <w:szCs w:val="18"/>
              </w:rPr>
              <w:t>Option 2: define a new IE on UE location quality. Use hard (1 or 0) and soft values (0, 0.1, 0.2, …, 1.0), with value 1 indicate the highest quality.</w:t>
            </w:r>
          </w:p>
          <w:p w14:paraId="006BE3DB" w14:textId="790A0CAF" w:rsidR="00DA7485" w:rsidRPr="00DA6EB4" w:rsidRDefault="00DA7485" w:rsidP="00D35F36">
            <w:pPr>
              <w:pStyle w:val="ListParagraph"/>
              <w:numPr>
                <w:ilvl w:val="1"/>
                <w:numId w:val="80"/>
              </w:numPr>
              <w:spacing w:line="276" w:lineRule="auto"/>
              <w:rPr>
                <w:sz w:val="20"/>
                <w:szCs w:val="18"/>
                <w:lang w:val="en-GB"/>
              </w:rPr>
            </w:pPr>
            <w:r w:rsidRPr="00DA6EB4">
              <w:rPr>
                <w:sz w:val="20"/>
                <w:szCs w:val="18"/>
              </w:rPr>
              <w:t>FFS: how to determine the value.</w:t>
            </w:r>
          </w:p>
        </w:tc>
      </w:tr>
    </w:tbl>
    <w:p w14:paraId="154E2F30" w14:textId="77777777" w:rsidR="00DA7485" w:rsidRDefault="00DA7485" w:rsidP="00DA7485">
      <w:pPr>
        <w:tabs>
          <w:tab w:val="left" w:pos="2123"/>
        </w:tabs>
      </w:pPr>
    </w:p>
    <w:p w14:paraId="5806210A" w14:textId="77777777" w:rsidR="002023E3" w:rsidRDefault="00DA7485" w:rsidP="00DA7485">
      <w:pPr>
        <w:tabs>
          <w:tab w:val="left" w:pos="2123"/>
        </w:tabs>
      </w:pPr>
      <w:r>
        <w:t xml:space="preserve">Option 1 can already be supported by a UE or LMF </w:t>
      </w:r>
      <w:r w:rsidR="00AE0323">
        <w:t xml:space="preserve">for </w:t>
      </w:r>
      <w:r>
        <w:t>positioning solution</w:t>
      </w:r>
      <w:r w:rsidR="00AE0323">
        <w:t>s</w:t>
      </w:r>
      <w:r>
        <w:t xml:space="preserve"> prior to </w:t>
      </w:r>
      <w:r w:rsidR="00AE0323">
        <w:t>R</w:t>
      </w:r>
      <w:r>
        <w:t>el</w:t>
      </w:r>
      <w:r w:rsidR="00AE0323">
        <w:t>-</w:t>
      </w:r>
      <w:r>
        <w:t xml:space="preserve">19.  Note that when providing a location information, a UE also reports the method used to generate that information (e.g. GNSS, WLAN, DL-TDOA).  </w:t>
      </w:r>
    </w:p>
    <w:p w14:paraId="29F5FF78" w14:textId="212266A2" w:rsidR="002023E3" w:rsidRDefault="00DA7485" w:rsidP="00DA7485">
      <w:pPr>
        <w:tabs>
          <w:tab w:val="left" w:pos="2123"/>
        </w:tabs>
      </w:pPr>
      <w:r>
        <w:t>Option 2 provides a generic metric for quality. However, the quality level depends also o</w:t>
      </w:r>
      <w:r w:rsidR="00AE0323">
        <w:t>n</w:t>
      </w:r>
      <w:r>
        <w:t xml:space="preserve"> the</w:t>
      </w:r>
      <w:r w:rsidR="002023E3">
        <w:t xml:space="preserve"> specific positioning use case, </w:t>
      </w:r>
      <w:r>
        <w:t xml:space="preserve"> </w:t>
      </w:r>
      <w:r w:rsidR="002023E3">
        <w:t xml:space="preserve">the desired positioning accuracy, and the </w:t>
      </w:r>
      <w:r w:rsidR="00AE0323">
        <w:t xml:space="preserve">AI/ML </w:t>
      </w:r>
      <w:r>
        <w:t>model</w:t>
      </w:r>
      <w:r w:rsidR="002023E3">
        <w:t xml:space="preserve"> design</w:t>
      </w:r>
      <w:r w:rsidR="00AE0323">
        <w:t xml:space="preserve"> </w:t>
      </w:r>
      <w:r w:rsidR="002023E3">
        <w:t xml:space="preserve">(e.g., </w:t>
      </w:r>
      <w:r w:rsidR="00AE0323">
        <w:t>structure</w:t>
      </w:r>
      <w:r w:rsidR="002023E3">
        <w:t xml:space="preserve">, </w:t>
      </w:r>
      <w:r w:rsidR="00AE0323">
        <w:t>size</w:t>
      </w:r>
      <w:r w:rsidR="002023E3">
        <w:t>, parameter quantization, etc). S</w:t>
      </w:r>
      <w:r w:rsidR="00AE0323">
        <w:t xml:space="preserve">uch </w:t>
      </w:r>
      <w:r w:rsidR="002023E3">
        <w:t xml:space="preserve">information </w:t>
      </w:r>
      <w:r w:rsidR="00AE0323">
        <w:t xml:space="preserve">may not be known </w:t>
      </w:r>
      <w:r w:rsidR="002023E3">
        <w:t xml:space="preserve">at the time </w:t>
      </w:r>
      <w:r w:rsidR="00AE0323">
        <w:t xml:space="preserve">the </w:t>
      </w:r>
      <w:r w:rsidR="002023E3">
        <w:t>training data is collected. Furthermore, a given training data set can be used to train multiple models,</w:t>
      </w:r>
      <w:r w:rsidR="007C36DC">
        <w:t xml:space="preserve"> potentially</w:t>
      </w:r>
      <w:r w:rsidR="002023E3">
        <w:t xml:space="preserve"> each with a different accuracy target and a different model design</w:t>
      </w:r>
      <w:r>
        <w:t xml:space="preserve">. </w:t>
      </w:r>
      <w:r w:rsidR="002023E3">
        <w:t>Depending on the training context, as an example, s</w:t>
      </w:r>
      <w:r>
        <w:t xml:space="preserve">ome </w:t>
      </w:r>
      <w:r w:rsidR="000F55B3">
        <w:t>deployment/model</w:t>
      </w:r>
      <w:r>
        <w:t xml:space="preserve"> </w:t>
      </w:r>
      <w:r w:rsidR="007C36DC">
        <w:t>may</w:t>
      </w:r>
      <w:r>
        <w:t xml:space="preserve"> treat 1m accuracy as low quality, </w:t>
      </w:r>
      <w:r w:rsidR="000F55B3">
        <w:t>while</w:t>
      </w:r>
      <w:r>
        <w:t xml:space="preserve"> </w:t>
      </w:r>
      <w:r w:rsidR="007C36DC">
        <w:t>an</w:t>
      </w:r>
      <w:r>
        <w:t xml:space="preserve">other </w:t>
      </w:r>
      <w:r w:rsidR="007C36DC">
        <w:t xml:space="preserve">treat 1m accuracy </w:t>
      </w:r>
      <w:r>
        <w:t xml:space="preserve">as high quality. </w:t>
      </w:r>
      <w:r w:rsidR="002023E3">
        <w:t>Also,</w:t>
      </w:r>
      <w:r w:rsidR="00AE0323">
        <w:t xml:space="preserve"> Option 2 requires high standardization effort to defin</w:t>
      </w:r>
      <w:r w:rsidR="000F55B3">
        <w:t>e</w:t>
      </w:r>
      <w:r w:rsidR="00AE0323">
        <w:t xml:space="preserve"> the quality values, e.g., how to determine the quality value given a UE location error in meters.   </w:t>
      </w:r>
      <w:r>
        <w:t xml:space="preserve"> </w:t>
      </w:r>
    </w:p>
    <w:p w14:paraId="7374F1D7" w14:textId="36C67918" w:rsidR="00DA7485" w:rsidRDefault="00DA7485" w:rsidP="00DA7485">
      <w:pPr>
        <w:tabs>
          <w:tab w:val="left" w:pos="2123"/>
        </w:tabs>
      </w:pPr>
      <w:r>
        <w:t>Hence, keeping legacy quality metrics is preferable</w:t>
      </w:r>
      <w:r w:rsidR="002023E3">
        <w:t>. We</w:t>
      </w:r>
      <w:r>
        <w:t xml:space="preserve"> support </w:t>
      </w:r>
      <w:r w:rsidR="00AE0323">
        <w:t>O</w:t>
      </w:r>
      <w:r>
        <w:t>ption 1</w:t>
      </w:r>
      <w:r w:rsidR="002023E3">
        <w:t>, and don’t support Option 2</w:t>
      </w:r>
      <w:r>
        <w:t xml:space="preserve">.  </w:t>
      </w:r>
    </w:p>
    <w:p w14:paraId="63B664C0" w14:textId="77777777" w:rsidR="00AE0323" w:rsidRDefault="00AE0323" w:rsidP="00DA7485">
      <w:pPr>
        <w:tabs>
          <w:tab w:val="left" w:pos="2123"/>
        </w:tabs>
      </w:pPr>
    </w:p>
    <w:p w14:paraId="27A83DB6" w14:textId="3AF80246" w:rsidR="002023E3" w:rsidRDefault="002023E3" w:rsidP="00DA7485">
      <w:pPr>
        <w:tabs>
          <w:tab w:val="left" w:pos="2123"/>
        </w:tabs>
      </w:pPr>
      <w:r>
        <w:t xml:space="preserve">Regarding the specific quality metrics, the existing IE </w:t>
      </w:r>
      <w:r w:rsidRPr="002023E3">
        <w:rPr>
          <w:rFonts w:eastAsia="Batang"/>
          <w:i/>
          <w:iCs/>
        </w:rPr>
        <w:t>LocationUncertainty</w:t>
      </w:r>
      <w:r>
        <w:t xml:space="preserve"> has been defined to provide horizontal and vertical information for ARP, as shown below</w:t>
      </w:r>
      <w:r w:rsidR="00523B84">
        <w:t xml:space="preserve"> from LPP</w:t>
      </w:r>
      <w:r>
        <w:t>.</w:t>
      </w:r>
      <w:r w:rsidR="00523B84">
        <w:t xml:space="preserve"> Similar IEs exist for NRPPa.</w:t>
      </w:r>
      <w:r w:rsidR="006C7A08">
        <w:t xml:space="preserve"> Label uncertainty is analogous to ARP location in that these location information are considered known, though with error margins in real-world applications. This is in contrast to location of target UE, which is unknown, and to be determined using the positioning methods.</w:t>
      </w:r>
    </w:p>
    <w:p w14:paraId="25364D28"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z w:val="16"/>
          <w:lang w:eastAsia="sv-SE"/>
        </w:rPr>
      </w:pPr>
      <w:r w:rsidRPr="004E0235">
        <w:rPr>
          <w:rFonts w:ascii="Courier New" w:eastAsia="Batang" w:hAnsi="Courier New"/>
          <w:sz w:val="16"/>
          <w:lang w:eastAsia="sv-SE"/>
        </w:rPr>
        <w:t>locationUNC-r16</w:t>
      </w:r>
      <w:r w:rsidRPr="004E0235">
        <w:rPr>
          <w:rFonts w:ascii="Courier New" w:eastAsia="Batang" w:hAnsi="Courier New"/>
          <w:sz w:val="16"/>
          <w:lang w:eastAsia="sv-SE"/>
        </w:rPr>
        <w:tab/>
      </w:r>
      <w:r w:rsidRPr="004E0235">
        <w:rPr>
          <w:rFonts w:ascii="Courier New" w:eastAsia="Batang" w:hAnsi="Courier New"/>
          <w:sz w:val="16"/>
          <w:lang w:eastAsia="sv-SE"/>
        </w:rPr>
        <w:tab/>
      </w:r>
      <w:r w:rsidRPr="004E0235">
        <w:rPr>
          <w:rFonts w:ascii="Courier New" w:eastAsia="Batang" w:hAnsi="Courier New"/>
          <w:sz w:val="16"/>
          <w:lang w:eastAsia="sv-SE"/>
        </w:rPr>
        <w:tab/>
      </w:r>
      <w:r w:rsidRPr="004E0235">
        <w:rPr>
          <w:rFonts w:ascii="Courier New" w:eastAsia="Batang" w:hAnsi="Courier New"/>
          <w:sz w:val="16"/>
          <w:lang w:eastAsia="sv-SE"/>
        </w:rPr>
        <w:tab/>
      </w:r>
      <w:bookmarkStart w:id="1521" w:name="_Hlk176420079"/>
      <w:r w:rsidRPr="004E0235">
        <w:rPr>
          <w:rFonts w:ascii="Courier New" w:eastAsia="Batang" w:hAnsi="Courier New"/>
          <w:sz w:val="16"/>
          <w:lang w:eastAsia="sv-SE"/>
        </w:rPr>
        <w:t>LocationUncertainty-r16</w:t>
      </w:r>
      <w:bookmarkEnd w:id="1521"/>
      <w:r w:rsidRPr="004E0235">
        <w:rPr>
          <w:rFonts w:ascii="Courier New" w:eastAsia="Batang" w:hAnsi="Courier New"/>
          <w:sz w:val="16"/>
          <w:lang w:eastAsia="sv-SE"/>
        </w:rPr>
        <w:tab/>
      </w:r>
      <w:r w:rsidRPr="004E0235">
        <w:rPr>
          <w:rFonts w:ascii="Courier New" w:eastAsia="Batang" w:hAnsi="Courier New"/>
          <w:sz w:val="16"/>
          <w:lang w:eastAsia="sv-SE"/>
        </w:rPr>
        <w:tab/>
      </w:r>
      <w:r w:rsidRPr="004E0235">
        <w:rPr>
          <w:rFonts w:ascii="Courier New" w:eastAsia="Batang" w:hAnsi="Courier New"/>
          <w:sz w:val="16"/>
          <w:lang w:eastAsia="sv-SE"/>
        </w:rPr>
        <w:tab/>
      </w:r>
      <w:r w:rsidRPr="004E0235">
        <w:rPr>
          <w:rFonts w:ascii="Courier New" w:eastAsia="Batang" w:hAnsi="Courier New"/>
          <w:sz w:val="16"/>
          <w:lang w:eastAsia="sv-SE"/>
        </w:rPr>
        <w:tab/>
        <w:t>OPTIONAL,</w:t>
      </w:r>
      <w:r w:rsidRPr="004E0235">
        <w:rPr>
          <w:rFonts w:ascii="Courier New" w:eastAsia="Batang" w:hAnsi="Courier New"/>
          <w:sz w:val="16"/>
          <w:lang w:eastAsia="sv-SE"/>
        </w:rPr>
        <w:tab/>
      </w:r>
      <w:r w:rsidRPr="004E0235">
        <w:rPr>
          <w:rFonts w:ascii="Courier New" w:eastAsia="Batang" w:hAnsi="Courier New"/>
          <w:sz w:val="16"/>
          <w:lang w:eastAsia="sv-SE"/>
        </w:rPr>
        <w:tab/>
        <w:t>-- Need OP</w:t>
      </w:r>
    </w:p>
    <w:p w14:paraId="2F3AC6BB"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z w:val="16"/>
          <w:lang w:eastAsia="sv-SE"/>
        </w:rPr>
      </w:pPr>
      <w:r w:rsidRPr="002023E3">
        <w:rPr>
          <w:rFonts w:ascii="Courier New" w:eastAsia="Batang" w:hAnsi="Courier New"/>
          <w:color w:val="FF0000"/>
          <w:sz w:val="16"/>
          <w:lang w:eastAsia="sv-SE"/>
        </w:rPr>
        <w:t>LocationUncertainty</w:t>
      </w:r>
      <w:r w:rsidRPr="002023E3">
        <w:rPr>
          <w:rFonts w:ascii="Courier New" w:eastAsia="Batang" w:hAnsi="Courier New"/>
          <w:sz w:val="16"/>
          <w:lang w:eastAsia="sv-SE"/>
        </w:rPr>
        <w:t>-r16</w:t>
      </w:r>
      <w:r w:rsidRPr="004E0235">
        <w:rPr>
          <w:rFonts w:ascii="Courier New" w:eastAsia="Batang" w:hAnsi="Courier New"/>
          <w:sz w:val="16"/>
          <w:lang w:eastAsia="sv-SE"/>
        </w:rPr>
        <w:t xml:space="preserve"> ::= SEQUENCE {</w:t>
      </w:r>
    </w:p>
    <w:p w14:paraId="7CE6CD8B" w14:textId="77777777" w:rsidR="002023E3" w:rsidRPr="008A08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napToGrid w:val="0"/>
          <w:color w:val="FF0000"/>
          <w:sz w:val="16"/>
          <w:lang w:val="pt-BR" w:eastAsia="sv-SE"/>
        </w:rPr>
      </w:pPr>
      <w:r w:rsidRPr="004E0235">
        <w:rPr>
          <w:rFonts w:ascii="Courier New" w:eastAsia="Batang" w:hAnsi="Courier New"/>
          <w:snapToGrid w:val="0"/>
          <w:sz w:val="16"/>
          <w:lang w:eastAsia="sv-SE"/>
        </w:rPr>
        <w:tab/>
      </w:r>
      <w:r w:rsidRPr="008A0835">
        <w:rPr>
          <w:rFonts w:ascii="Courier New" w:eastAsia="Batang" w:hAnsi="Courier New"/>
          <w:snapToGrid w:val="0"/>
          <w:color w:val="FF0000"/>
          <w:sz w:val="16"/>
          <w:lang w:val="pt-BR" w:eastAsia="sv-SE"/>
        </w:rPr>
        <w:t>horizontalUncertainty-r16</w:t>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t>INTEGER (0..255),</w:t>
      </w:r>
    </w:p>
    <w:p w14:paraId="3D6856FD"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napToGrid w:val="0"/>
          <w:sz w:val="16"/>
          <w:lang w:val="pt-BR" w:eastAsia="sv-SE"/>
        </w:rPr>
      </w:pPr>
      <w:r w:rsidRPr="004E0235">
        <w:rPr>
          <w:rFonts w:ascii="Courier New" w:eastAsia="Batang" w:hAnsi="Courier New"/>
          <w:snapToGrid w:val="0"/>
          <w:sz w:val="16"/>
          <w:lang w:val="pt-BR" w:eastAsia="sv-SE"/>
        </w:rPr>
        <w:tab/>
        <w:t>horizontalConfidence-r16</w:t>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t>INTEGER (0..100),</w:t>
      </w:r>
    </w:p>
    <w:p w14:paraId="66DE0DBC"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napToGrid w:val="0"/>
          <w:sz w:val="16"/>
          <w:lang w:val="pt-BR" w:eastAsia="sv-SE"/>
        </w:rPr>
      </w:pPr>
      <w:r w:rsidRPr="004E0235">
        <w:rPr>
          <w:rFonts w:ascii="Courier New" w:eastAsia="Batang" w:hAnsi="Courier New"/>
          <w:snapToGrid w:val="0"/>
          <w:sz w:val="16"/>
          <w:lang w:val="pt-BR" w:eastAsia="sv-SE"/>
        </w:rPr>
        <w:tab/>
      </w:r>
      <w:bookmarkStart w:id="1522" w:name="_Hlk178692197"/>
      <w:r w:rsidRPr="008A0835">
        <w:rPr>
          <w:rFonts w:ascii="Courier New" w:eastAsia="Batang" w:hAnsi="Courier New"/>
          <w:snapToGrid w:val="0"/>
          <w:color w:val="FF0000"/>
          <w:sz w:val="16"/>
          <w:lang w:val="pt-BR" w:eastAsia="sv-SE"/>
        </w:rPr>
        <w:t>verticalUncertainty-r16</w:t>
      </w:r>
      <w:bookmarkEnd w:id="1522"/>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t>INTEGER (0..255),</w:t>
      </w:r>
    </w:p>
    <w:p w14:paraId="6FC1DFBA"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z w:val="16"/>
          <w:lang w:val="pt-BR" w:eastAsia="sv-SE"/>
        </w:rPr>
      </w:pPr>
      <w:r w:rsidRPr="004E0235">
        <w:rPr>
          <w:rFonts w:ascii="Courier New" w:eastAsia="Batang" w:hAnsi="Courier New"/>
          <w:snapToGrid w:val="0"/>
          <w:sz w:val="16"/>
          <w:lang w:val="pt-BR" w:eastAsia="sv-SE"/>
        </w:rPr>
        <w:lastRenderedPageBreak/>
        <w:tab/>
        <w:t>verticalConfidence-r16</w:t>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t>INTEGER (0..100)</w:t>
      </w:r>
    </w:p>
    <w:p w14:paraId="7BB0DB20"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z w:val="16"/>
          <w:lang w:eastAsia="sv-SE"/>
        </w:rPr>
      </w:pPr>
      <w:r w:rsidRPr="004E0235">
        <w:rPr>
          <w:rFonts w:ascii="Courier New" w:eastAsia="Batang" w:hAnsi="Courier New"/>
          <w:sz w:val="16"/>
          <w:lang w:eastAsia="sv-SE"/>
        </w:rP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2023E3" w:rsidRPr="004E0235" w14:paraId="55FA981A" w14:textId="77777777" w:rsidTr="00E23977">
        <w:trPr>
          <w:tblHeader/>
        </w:trPr>
        <w:tc>
          <w:tcPr>
            <w:tcW w:w="9639" w:type="dxa"/>
          </w:tcPr>
          <w:p w14:paraId="4AD364DE" w14:textId="77777777" w:rsidR="002023E3" w:rsidRPr="004E0235" w:rsidRDefault="002023E3" w:rsidP="003A7D8E">
            <w:pPr>
              <w:keepNext/>
              <w:keepLines/>
              <w:suppressAutoHyphens/>
              <w:spacing w:after="0" w:line="276" w:lineRule="auto"/>
              <w:rPr>
                <w:rFonts w:eastAsia="DengXian" w:cs="DengXian"/>
                <w:b/>
                <w:i/>
                <w:sz w:val="18"/>
                <w:lang w:eastAsia="zh-CN"/>
              </w:rPr>
            </w:pPr>
            <w:r w:rsidRPr="004E0235">
              <w:rPr>
                <w:rFonts w:eastAsia="DengXian" w:cs="DengXian"/>
                <w:b/>
                <w:i/>
                <w:sz w:val="18"/>
                <w:lang w:eastAsia="zh-CN"/>
              </w:rPr>
              <w:t>locationUNC</w:t>
            </w:r>
          </w:p>
          <w:p w14:paraId="2AD1776F" w14:textId="77777777" w:rsidR="002023E3" w:rsidRPr="004E0235" w:rsidRDefault="002023E3" w:rsidP="003A7D8E">
            <w:pPr>
              <w:keepNext/>
              <w:keepLines/>
              <w:suppressAutoHyphens/>
              <w:spacing w:after="0" w:line="276" w:lineRule="auto"/>
              <w:rPr>
                <w:rFonts w:eastAsia="DengXian" w:cs="DengXian"/>
                <w:sz w:val="18"/>
                <w:lang w:eastAsia="zh-CN"/>
              </w:rPr>
            </w:pPr>
            <w:r w:rsidRPr="004E0235">
              <w:rPr>
                <w:rFonts w:eastAsia="DengXian" w:cs="DengXian"/>
                <w:sz w:val="18"/>
                <w:lang w:eastAsia="zh-CN"/>
              </w:rPr>
              <w:t>This field specifies the uncertainty of the location coordinates and comprises the following sub-fields:</w:t>
            </w:r>
          </w:p>
          <w:p w14:paraId="40DFAE8C" w14:textId="77777777" w:rsidR="002023E3" w:rsidRPr="004E0235" w:rsidRDefault="002023E3" w:rsidP="003A7D8E">
            <w:pPr>
              <w:suppressAutoHyphens/>
              <w:spacing w:after="0" w:line="276" w:lineRule="auto"/>
              <w:ind w:left="568" w:hanging="284"/>
              <w:rPr>
                <w:rFonts w:eastAsia="DengXian" w:cs="Arial"/>
                <w:sz w:val="18"/>
                <w:szCs w:val="18"/>
                <w:lang w:eastAsia="zh-CN"/>
              </w:rPr>
            </w:pPr>
            <w:r w:rsidRPr="004E0235">
              <w:rPr>
                <w:rFonts w:eastAsia="DengXian" w:cs="Arial"/>
                <w:sz w:val="18"/>
                <w:szCs w:val="18"/>
                <w:lang w:eastAsia="zh-CN"/>
              </w:rPr>
              <w:t>-</w:t>
            </w:r>
            <w:r w:rsidRPr="004E0235">
              <w:rPr>
                <w:rFonts w:eastAsia="DengXian" w:cs="Arial"/>
                <w:snapToGrid w:val="0"/>
                <w:sz w:val="18"/>
                <w:szCs w:val="18"/>
                <w:lang w:eastAsia="zh-CN"/>
              </w:rPr>
              <w:tab/>
            </w:r>
            <w:r w:rsidRPr="009C30A2">
              <w:rPr>
                <w:rFonts w:eastAsia="DengXian" w:cs="Arial"/>
                <w:b/>
                <w:i/>
                <w:snapToGrid w:val="0"/>
                <w:color w:val="FF0000"/>
                <w:sz w:val="18"/>
                <w:szCs w:val="18"/>
                <w:lang w:eastAsia="zh-CN"/>
              </w:rPr>
              <w:t>horizontalUncertainty</w:t>
            </w:r>
            <w:r w:rsidRPr="009C30A2">
              <w:rPr>
                <w:rFonts w:eastAsia="DengXian" w:cs="Arial"/>
                <w:snapToGrid w:val="0"/>
                <w:color w:val="FF0000"/>
                <w:sz w:val="18"/>
                <w:szCs w:val="18"/>
                <w:lang w:eastAsia="zh-CN"/>
              </w:rPr>
              <w:t xml:space="preserve"> indicates the horizontal uncertainty of the </w:t>
            </w:r>
            <w:r w:rsidRPr="009C30A2">
              <w:rPr>
                <w:rFonts w:eastAsia="DengXian" w:cs="Arial"/>
                <w:snapToGrid w:val="0"/>
                <w:color w:val="FF0000"/>
                <w:sz w:val="18"/>
                <w:szCs w:val="18"/>
                <w:highlight w:val="darkGray"/>
                <w:lang w:eastAsia="zh-CN"/>
              </w:rPr>
              <w:t>ARP</w:t>
            </w:r>
            <w:r w:rsidRPr="009C30A2">
              <w:rPr>
                <w:rFonts w:eastAsia="DengXian" w:cs="Arial"/>
                <w:snapToGrid w:val="0"/>
                <w:color w:val="FF0000"/>
                <w:sz w:val="18"/>
                <w:szCs w:val="18"/>
                <w:lang w:eastAsia="zh-CN"/>
              </w:rPr>
              <w:t xml:space="preserve"> latitude/longitude. </w:t>
            </w:r>
            <w:r w:rsidRPr="009C30A2">
              <w:rPr>
                <w:rFonts w:eastAsia="DengXian" w:cs="Arial"/>
                <w:color w:val="FF0000"/>
                <w:sz w:val="18"/>
                <w:szCs w:val="18"/>
                <w:lang w:eastAsia="zh-CN"/>
              </w:rPr>
              <w:t>The ′</w:t>
            </w:r>
            <w:r w:rsidRPr="009C30A2">
              <w:rPr>
                <w:rFonts w:eastAsia="DengXian" w:cs="Arial"/>
                <w:i/>
                <w:color w:val="FF0000"/>
                <w:sz w:val="18"/>
                <w:szCs w:val="18"/>
                <w:lang w:eastAsia="zh-CN"/>
              </w:rPr>
              <w:t>horizontalUncertainty</w:t>
            </w:r>
            <w:r w:rsidRPr="009C30A2">
              <w:rPr>
                <w:rFonts w:eastAsia="DengXian" w:cs="Arial"/>
                <w:color w:val="FF0000"/>
                <w:sz w:val="18"/>
                <w:szCs w:val="18"/>
                <w:lang w:eastAsia="zh-CN"/>
              </w:rPr>
              <w:t xml:space="preserve">′ corresponds to the encoded high accuracy uncertainty as defined in TS 23.032 </w:t>
            </w:r>
            <w:r w:rsidRPr="004E0235">
              <w:rPr>
                <w:rFonts w:eastAsia="DengXian" w:cs="Arial"/>
                <w:sz w:val="18"/>
                <w:szCs w:val="18"/>
                <w:lang w:eastAsia="zh-CN"/>
              </w:rPr>
              <w:t>[15] and ′</w:t>
            </w:r>
            <w:r w:rsidRPr="004E0235">
              <w:rPr>
                <w:rFonts w:eastAsia="DengXian" w:cs="Arial"/>
                <w:i/>
                <w:sz w:val="18"/>
                <w:szCs w:val="18"/>
                <w:lang w:eastAsia="zh-CN"/>
              </w:rPr>
              <w:t>horizontalConfidence</w:t>
            </w:r>
            <w:r w:rsidRPr="004E0235">
              <w:rPr>
                <w:rFonts w:eastAsia="DengXian" w:cs="Arial"/>
                <w:sz w:val="18"/>
                <w:szCs w:val="18"/>
                <w:lang w:eastAsia="zh-CN"/>
              </w:rPr>
              <w:t>′ corresponds to confidence as defined in TS 23.032 [15].</w:t>
            </w:r>
          </w:p>
          <w:p w14:paraId="603806CD" w14:textId="77777777" w:rsidR="002023E3" w:rsidRPr="004E0235" w:rsidRDefault="002023E3" w:rsidP="003A7D8E">
            <w:pPr>
              <w:suppressAutoHyphens/>
              <w:spacing w:after="0" w:line="276" w:lineRule="auto"/>
              <w:ind w:left="568" w:hanging="284"/>
              <w:rPr>
                <w:rFonts w:eastAsia="DengXian" w:cs="Arial"/>
                <w:sz w:val="18"/>
                <w:szCs w:val="18"/>
                <w:lang w:eastAsia="zh-CN"/>
              </w:rPr>
            </w:pPr>
            <w:r w:rsidRPr="004E0235">
              <w:rPr>
                <w:rFonts w:eastAsia="DengXian" w:cs="Arial"/>
                <w:snapToGrid w:val="0"/>
                <w:sz w:val="18"/>
                <w:szCs w:val="18"/>
                <w:lang w:eastAsia="zh-CN"/>
              </w:rPr>
              <w:t>-</w:t>
            </w:r>
            <w:r w:rsidRPr="004E0235">
              <w:rPr>
                <w:rFonts w:eastAsia="DengXian" w:cs="Arial"/>
                <w:snapToGrid w:val="0"/>
                <w:sz w:val="18"/>
                <w:szCs w:val="18"/>
                <w:lang w:eastAsia="zh-CN"/>
              </w:rPr>
              <w:tab/>
            </w:r>
            <w:r w:rsidRPr="009C30A2">
              <w:rPr>
                <w:rFonts w:eastAsia="DengXian" w:cs="Arial"/>
                <w:b/>
                <w:i/>
                <w:snapToGrid w:val="0"/>
                <w:color w:val="FF0000"/>
                <w:sz w:val="18"/>
                <w:szCs w:val="18"/>
                <w:lang w:eastAsia="zh-CN"/>
              </w:rPr>
              <w:t>verticalUncertainty</w:t>
            </w:r>
            <w:r w:rsidRPr="009C30A2">
              <w:rPr>
                <w:rFonts w:eastAsia="DengXian" w:cs="Arial"/>
                <w:snapToGrid w:val="0"/>
                <w:color w:val="FF0000"/>
                <w:sz w:val="18"/>
                <w:szCs w:val="18"/>
                <w:lang w:eastAsia="zh-CN"/>
              </w:rPr>
              <w:t xml:space="preserve"> indicates the vertical uncertainty of the </w:t>
            </w:r>
            <w:r w:rsidRPr="009C30A2">
              <w:rPr>
                <w:rFonts w:eastAsia="DengXian" w:cs="Arial"/>
                <w:snapToGrid w:val="0"/>
                <w:color w:val="FF0000"/>
                <w:sz w:val="18"/>
                <w:szCs w:val="18"/>
                <w:highlight w:val="darkGray"/>
                <w:lang w:eastAsia="zh-CN"/>
              </w:rPr>
              <w:t>ARP</w:t>
            </w:r>
            <w:r w:rsidRPr="009C30A2">
              <w:rPr>
                <w:rFonts w:eastAsia="DengXian" w:cs="Arial"/>
                <w:snapToGrid w:val="0"/>
                <w:color w:val="FF0000"/>
                <w:sz w:val="18"/>
                <w:szCs w:val="18"/>
                <w:lang w:eastAsia="zh-CN"/>
              </w:rPr>
              <w:t xml:space="preserve"> altitude. </w:t>
            </w:r>
            <w:r w:rsidRPr="009C30A2">
              <w:rPr>
                <w:rFonts w:eastAsia="DengXian" w:cs="Arial"/>
                <w:color w:val="FF0000"/>
                <w:sz w:val="18"/>
                <w:szCs w:val="18"/>
                <w:lang w:eastAsia="zh-CN"/>
              </w:rPr>
              <w:t>The ‘</w:t>
            </w:r>
            <w:r w:rsidRPr="009C30A2">
              <w:rPr>
                <w:rFonts w:eastAsia="DengXian" w:cs="Arial"/>
                <w:i/>
                <w:color w:val="FF0000"/>
                <w:sz w:val="18"/>
                <w:szCs w:val="18"/>
                <w:lang w:eastAsia="zh-CN"/>
              </w:rPr>
              <w:t>verticalUncertainty</w:t>
            </w:r>
            <w:r w:rsidRPr="009C30A2">
              <w:rPr>
                <w:rFonts w:eastAsia="DengXian" w:cs="Arial"/>
                <w:color w:val="FF0000"/>
                <w:sz w:val="18"/>
                <w:szCs w:val="18"/>
                <w:lang w:eastAsia="zh-CN"/>
              </w:rPr>
              <w:t xml:space="preserve">’ corresponds to the encoded high accuracy uncertainty as defined in TS 23.032 </w:t>
            </w:r>
            <w:r w:rsidRPr="004E0235">
              <w:rPr>
                <w:rFonts w:eastAsia="DengXian" w:cs="Arial"/>
                <w:sz w:val="18"/>
                <w:szCs w:val="18"/>
                <w:lang w:eastAsia="zh-CN"/>
              </w:rPr>
              <w:t>[15] and ‘</w:t>
            </w:r>
            <w:r w:rsidRPr="004E0235">
              <w:rPr>
                <w:rFonts w:eastAsia="DengXian" w:cs="Arial"/>
                <w:i/>
                <w:sz w:val="18"/>
                <w:szCs w:val="18"/>
                <w:lang w:eastAsia="zh-CN"/>
              </w:rPr>
              <w:t>verticalConfidence</w:t>
            </w:r>
            <w:r w:rsidRPr="004E0235">
              <w:rPr>
                <w:rFonts w:eastAsia="DengXian" w:cs="Arial"/>
                <w:sz w:val="18"/>
                <w:szCs w:val="18"/>
                <w:lang w:eastAsia="zh-CN"/>
              </w:rPr>
              <w:t>’ corresponds to confidence as defined in TS 23.032 [15].</w:t>
            </w:r>
          </w:p>
          <w:p w14:paraId="6069CD6C" w14:textId="77777777" w:rsidR="002023E3" w:rsidRPr="004E0235" w:rsidRDefault="002023E3" w:rsidP="003A7D8E">
            <w:pPr>
              <w:keepNext/>
              <w:keepLines/>
              <w:suppressAutoHyphens/>
              <w:spacing w:after="0" w:line="276" w:lineRule="auto"/>
              <w:rPr>
                <w:rFonts w:eastAsia="DengXian" w:cs="DengXian"/>
                <w:sz w:val="18"/>
                <w:lang w:val="zh-CN" w:eastAsia="zh-CN"/>
              </w:rPr>
            </w:pPr>
            <w:r w:rsidRPr="004E0235">
              <w:rPr>
                <w:rFonts w:eastAsia="DengXian" w:cs="DengXian"/>
                <w:sz w:val="18"/>
                <w:lang w:val="zh-CN" w:eastAsia="zh-CN"/>
              </w:rPr>
              <w:t>If this field is absent, the uncertainty is the same as for the associated reference point location.</w:t>
            </w:r>
          </w:p>
        </w:tc>
      </w:tr>
    </w:tbl>
    <w:p w14:paraId="09A9FE8E" w14:textId="77777777" w:rsidR="002023E3" w:rsidRDefault="002023E3" w:rsidP="002023E3">
      <w:pPr>
        <w:suppressAutoHyphens/>
        <w:spacing w:line="276" w:lineRule="auto"/>
        <w:rPr>
          <w:rFonts w:eastAsia="DengXian" w:cs="DengXian"/>
          <w:lang w:eastAsia="zh-CN"/>
        </w:rPr>
      </w:pPr>
    </w:p>
    <w:p w14:paraId="238A830F" w14:textId="6C777222" w:rsidR="00AE0323" w:rsidRDefault="008A0835" w:rsidP="00DA7485">
      <w:pPr>
        <w:tabs>
          <w:tab w:val="left" w:pos="2123"/>
        </w:tabs>
      </w:pPr>
      <w:r>
        <w:t xml:space="preserve">For horizontal and vertical uncertainty, the value range of </w:t>
      </w:r>
      <w:r w:rsidRPr="008A0835">
        <w:t>(0..255)</w:t>
      </w:r>
      <w:r>
        <w:t xml:space="preserve"> indicate a location error range between 0 and 46.49129 metres, with the smallest indicated value of 6 millimeters</w:t>
      </w:r>
      <w:r w:rsidR="009C30A2">
        <w:t>, see Appendix A</w:t>
      </w:r>
      <w:r>
        <w:t xml:space="preserve">. In our view, the existing </w:t>
      </w:r>
      <w:r w:rsidRPr="008A0835">
        <w:rPr>
          <w:i/>
          <w:iCs/>
        </w:rPr>
        <w:t xml:space="preserve">horizontalUncertainty-r16 </w:t>
      </w:r>
      <w:r>
        <w:t xml:space="preserve">and </w:t>
      </w:r>
      <w:r w:rsidRPr="008A0835">
        <w:rPr>
          <w:i/>
          <w:iCs/>
          <w:lang w:val="pt-BR"/>
        </w:rPr>
        <w:t>verticalUncertainty-r16</w:t>
      </w:r>
      <w:r>
        <w:t xml:space="preserve"> can be </w:t>
      </w:r>
      <w:r w:rsidR="006C7A08">
        <w:t>re</w:t>
      </w:r>
      <w:r>
        <w:t xml:space="preserve">used to indicate the UE location quality for labels, including </w:t>
      </w:r>
      <w:r w:rsidRPr="008A0835">
        <w:t>the encoded high accuracy uncertainty as defined in TS 23.032</w:t>
      </w:r>
      <w:r>
        <w:t>. The definition of the fields would naturally clarify that the uncertainty values are for UE location (PRU or non-PRU UE), instead of ARP.</w:t>
      </w:r>
    </w:p>
    <w:p w14:paraId="46469768" w14:textId="2DC36F7A" w:rsidR="009C30A2" w:rsidRDefault="009C30A2" w:rsidP="00DA7485">
      <w:pPr>
        <w:tabs>
          <w:tab w:val="left" w:pos="2123"/>
        </w:tabs>
      </w:pPr>
      <w:r>
        <w:t>Addition</w:t>
      </w:r>
      <w:r w:rsidR="00E978FC">
        <w:t xml:space="preserve">ally, one question is whether the label quality should be provided differently depending on model output, for example, timing information (UL RTOA) for assisted positioning or UE location for direct positioning. In our view, the training dataset is agnostic of the model architecture and model training methodology. Thus, </w:t>
      </w:r>
      <w:r w:rsidR="005D5E5C">
        <w:t xml:space="preserve">for </w:t>
      </w:r>
      <w:r w:rsidR="00E978FC">
        <w:t xml:space="preserve">the </w:t>
      </w:r>
      <w:r w:rsidR="005D5E5C">
        <w:t xml:space="preserve">purpose of training data collection, label quality only needs to be recorded as UE location error in meters. If the model training entity has a need of a quality of an intermediate metric (e.g., UL RTOA), then </w:t>
      </w:r>
      <w:r w:rsidR="00B50F85">
        <w:t xml:space="preserve">such quality can be calculated using the UE location error in meters. Such procedure is out of scope for RAN1 standardization in our view. </w:t>
      </w:r>
    </w:p>
    <w:p w14:paraId="4E714AE3" w14:textId="4095EBDF" w:rsidR="00B50F85" w:rsidRDefault="00B50F85" w:rsidP="00DA7485">
      <w:pPr>
        <w:pStyle w:val="Proposal"/>
      </w:pPr>
      <w:bookmarkStart w:id="1523" w:name="_Toc178961930"/>
      <w:r>
        <w:t xml:space="preserve">From RAN1 perspective, the same label (UE location) and label quality (UE location uncertainty) are collected, irrespective of the type of model </w:t>
      </w:r>
      <w:r w:rsidR="001E03F7">
        <w:t xml:space="preserve">architecture </w:t>
      </w:r>
      <w:r>
        <w:t>(e.g., assisted or direct positioning) that may be selected by the model training entity.</w:t>
      </w:r>
      <w:bookmarkEnd w:id="1523"/>
      <w:r>
        <w:t xml:space="preserve"> </w:t>
      </w:r>
    </w:p>
    <w:p w14:paraId="686EC827" w14:textId="1601B88F" w:rsidR="00DA7485" w:rsidRDefault="009C30A2" w:rsidP="00DA7485">
      <w:pPr>
        <w:pStyle w:val="Proposal"/>
      </w:pPr>
      <w:bookmarkStart w:id="1524" w:name="_Toc178961931"/>
      <w:r>
        <w:t>F</w:t>
      </w:r>
      <w:r w:rsidR="00DA7485" w:rsidRPr="00405120">
        <w:t xml:space="preserve">or </w:t>
      </w:r>
      <w:r>
        <w:t xml:space="preserve">training </w:t>
      </w:r>
      <w:r w:rsidR="00DA7485" w:rsidRPr="00405120">
        <w:t>data collection</w:t>
      </w:r>
      <w:r>
        <w:t>,</w:t>
      </w:r>
      <w:r w:rsidR="00DA7485" w:rsidRPr="00405120">
        <w:t xml:space="preserve"> </w:t>
      </w:r>
      <w:r w:rsidR="00DA7485">
        <w:t xml:space="preserve">the label quality for </w:t>
      </w:r>
      <w:r>
        <w:t>P</w:t>
      </w:r>
      <w:r w:rsidR="00DA7485">
        <w:t>art B</w:t>
      </w:r>
      <w:r w:rsidR="00DA7485" w:rsidRPr="00405120">
        <w:t xml:space="preserve"> </w:t>
      </w:r>
      <w:r w:rsidR="00DA7485">
        <w:t xml:space="preserve">reuse the </w:t>
      </w:r>
      <w:r>
        <w:t>existing uncertainty IEs</w:t>
      </w:r>
      <w:r w:rsidR="004304F3">
        <w:t xml:space="preserve"> for indicating UE location error</w:t>
      </w:r>
      <w:r>
        <w:t xml:space="preserve">, </w:t>
      </w:r>
      <w:r w:rsidR="00BF21D0">
        <w:t>e.g.</w:t>
      </w:r>
      <w:r>
        <w:t xml:space="preserve">, </w:t>
      </w:r>
      <w:r w:rsidRPr="009C30A2">
        <w:t>horizontalUncertainty-r16</w:t>
      </w:r>
      <w:r>
        <w:t xml:space="preserve"> and </w:t>
      </w:r>
      <w:r w:rsidRPr="009C30A2">
        <w:t>verticalUncertainty-r16</w:t>
      </w:r>
      <w:r w:rsidR="00DA7485">
        <w:t>.</w:t>
      </w:r>
      <w:bookmarkEnd w:id="1524"/>
      <w:r>
        <w:t xml:space="preserve"> </w:t>
      </w:r>
    </w:p>
    <w:p w14:paraId="684D9A24" w14:textId="77777777" w:rsidR="00DA7485" w:rsidRDefault="00DA7485" w:rsidP="00DA7485">
      <w:pPr>
        <w:pStyle w:val="Heading3"/>
      </w:pPr>
      <w:bookmarkStart w:id="1525" w:name="_Toc178961676"/>
      <w:r>
        <w:t>Overhead reduction for label delivery</w:t>
      </w:r>
      <w:bookmarkEnd w:id="1525"/>
    </w:p>
    <w:p w14:paraId="041F4826" w14:textId="540E27C8" w:rsidR="00DA7485" w:rsidRDefault="00DA7485" w:rsidP="00DA7485">
      <w:r>
        <w:t>When the UE is either static or slowly moving, it is not efficient for labels to be recorded for every measurement</w:t>
      </w:r>
      <w:r w:rsidR="00FF275A">
        <w:t>. I</w:t>
      </w:r>
      <w:r>
        <w:t>nstead, a single label can be applied for multiple time stamps, or a span of time stamp</w:t>
      </w:r>
      <w:r w:rsidR="00965089">
        <w:t>s</w:t>
      </w:r>
      <w:r>
        <w:t xml:space="preserve">.  </w:t>
      </w:r>
    </w:p>
    <w:p w14:paraId="3F1F90F4" w14:textId="26E674CD" w:rsidR="00DA7485" w:rsidRPr="008805D5" w:rsidRDefault="00DA7485" w:rsidP="00DA7485">
      <w:pPr>
        <w:pStyle w:val="Proposal"/>
        <w:rPr>
          <w:lang w:val="en-GB"/>
        </w:rPr>
      </w:pPr>
      <w:bookmarkStart w:id="1526" w:name="_Toc178961932"/>
      <w:r>
        <w:rPr>
          <w:lang w:val="en-GB"/>
        </w:rPr>
        <w:t xml:space="preserve">A label provided by a LMF, PRU, or </w:t>
      </w:r>
      <w:r w:rsidR="00722C96">
        <w:rPr>
          <w:lang w:val="en-GB"/>
        </w:rPr>
        <w:t xml:space="preserve">non-PRU </w:t>
      </w:r>
      <w:r>
        <w:rPr>
          <w:lang w:val="en-GB"/>
        </w:rPr>
        <w:t>UE can be attached with one or more timestamp, or a span of time stamps, for which the label is valid.</w:t>
      </w:r>
      <w:bookmarkEnd w:id="1526"/>
      <w:r>
        <w:rPr>
          <w:lang w:val="en-GB"/>
        </w:rPr>
        <w:t xml:space="preserve"> </w:t>
      </w:r>
    </w:p>
    <w:p w14:paraId="14D2F1C8" w14:textId="77777777" w:rsidR="00DA7485" w:rsidRPr="003F02AA" w:rsidRDefault="00DA7485" w:rsidP="00DA6EB4"/>
    <w:p w14:paraId="419A57C0" w14:textId="476A7D39" w:rsidR="00DA206E" w:rsidRPr="0012123B" w:rsidRDefault="00AF187F" w:rsidP="00DA206E">
      <w:pPr>
        <w:pStyle w:val="Heading2"/>
        <w:rPr>
          <w:lang w:val="en-US"/>
        </w:rPr>
      </w:pPr>
      <w:bookmarkStart w:id="1527" w:name="_Ref178955360"/>
      <w:bookmarkStart w:id="1528" w:name="_Toc165991012"/>
      <w:bookmarkStart w:id="1529" w:name="_Toc178961677"/>
      <w:bookmarkEnd w:id="1503"/>
      <w:bookmarkEnd w:id="1504"/>
      <w:r>
        <w:rPr>
          <w:lang w:val="en-US"/>
        </w:rPr>
        <w:t>Metadata for t</w:t>
      </w:r>
      <w:r w:rsidR="00380F93">
        <w:rPr>
          <w:lang w:val="en-US"/>
        </w:rPr>
        <w:t>raining</w:t>
      </w:r>
      <w:r w:rsidR="004079B7" w:rsidRPr="2673A75D">
        <w:rPr>
          <w:lang w:val="en-US"/>
        </w:rPr>
        <w:t xml:space="preserve"> data</w:t>
      </w:r>
      <w:r>
        <w:rPr>
          <w:lang w:val="en-US"/>
        </w:rPr>
        <w:t>set</w:t>
      </w:r>
      <w:bookmarkEnd w:id="1527"/>
      <w:bookmarkEnd w:id="1529"/>
    </w:p>
    <w:p w14:paraId="677DE277" w14:textId="5ACD712A" w:rsidR="007A2EE4" w:rsidRDefault="00380F93" w:rsidP="007A2EE4">
      <w:pPr>
        <w:pStyle w:val="Heading3"/>
      </w:pPr>
      <w:bookmarkStart w:id="1530" w:name="_Toc178961678"/>
      <w:r>
        <w:t>Request for training data collection assistance data</w:t>
      </w:r>
      <w:bookmarkEnd w:id="1530"/>
    </w:p>
    <w:p w14:paraId="7556D272" w14:textId="68623838" w:rsidR="007A2EE4" w:rsidRPr="007A2EE4" w:rsidRDefault="007A2EE4" w:rsidP="007A2EE4">
      <w:pPr>
        <w:rPr>
          <w:lang w:val="sv-SE"/>
        </w:rPr>
      </w:pPr>
      <w:r>
        <w:t xml:space="preserve">As agreed by RAN1, </w:t>
      </w:r>
      <w:r w:rsidR="00C8263E">
        <w:t>existing</w:t>
      </w:r>
      <w:r>
        <w:t xml:space="preserve"> assistance data requests may be re-used for data collection purpose, and the purpose is spec</w:t>
      </w:r>
      <w:r w:rsidR="00BF485B">
        <w:t>ification</w:t>
      </w:r>
      <w:r>
        <w:t xml:space="preserve"> transparent. RAN1 also agreed to further study LMF or UE initiated </w:t>
      </w:r>
      <w:r w:rsidR="00A376FA">
        <w:t>PRS configuration for data collection</w:t>
      </w:r>
      <w:r w:rsidR="007E4352">
        <w:t>, see agreements made in RAN1#118 below</w:t>
      </w:r>
      <w:r w:rsidR="00A376FA">
        <w:t>.</w:t>
      </w:r>
    </w:p>
    <w:p w14:paraId="1ED451FB" w14:textId="77777777" w:rsidR="007A2EE4" w:rsidRDefault="007A2EE4" w:rsidP="007A2EE4"/>
    <w:tbl>
      <w:tblPr>
        <w:tblStyle w:val="TableGrid"/>
        <w:tblW w:w="0" w:type="auto"/>
        <w:tblLook w:val="04A0" w:firstRow="1" w:lastRow="0" w:firstColumn="1" w:lastColumn="0" w:noHBand="0" w:noVBand="1"/>
      </w:tblPr>
      <w:tblGrid>
        <w:gridCol w:w="9962"/>
      </w:tblGrid>
      <w:tr w:rsidR="007A2EE4" w:rsidRPr="00FF275A" w14:paraId="38BE8EFC" w14:textId="77777777">
        <w:tc>
          <w:tcPr>
            <w:tcW w:w="9962" w:type="dxa"/>
          </w:tcPr>
          <w:p w14:paraId="5259D9AF" w14:textId="77777777" w:rsidR="007A2EE4" w:rsidRPr="00FF275A" w:rsidRDefault="007A2EE4" w:rsidP="00DA6EB4">
            <w:pPr>
              <w:spacing w:after="0"/>
              <w:rPr>
                <w:rFonts w:ascii="Times New Roman" w:eastAsia="DengXian" w:hAnsi="Times New Roman" w:cs="Times New Roman"/>
                <w:sz w:val="20"/>
                <w:szCs w:val="18"/>
                <w:highlight w:val="green"/>
                <w:lang w:eastAsia="zh-CN"/>
              </w:rPr>
            </w:pPr>
            <w:r w:rsidRPr="00FF275A">
              <w:rPr>
                <w:rFonts w:ascii="Times New Roman" w:eastAsia="DengXian" w:hAnsi="Times New Roman" w:cs="Times New Roman"/>
                <w:sz w:val="20"/>
                <w:szCs w:val="18"/>
                <w:highlight w:val="green"/>
                <w:lang w:eastAsia="zh-CN"/>
              </w:rPr>
              <w:t>Agreement</w:t>
            </w:r>
          </w:p>
          <w:p w14:paraId="5C00DDB2" w14:textId="77777777" w:rsidR="007A2EE4" w:rsidRPr="00FF275A" w:rsidRDefault="007A2EE4" w:rsidP="00DA6EB4">
            <w:pPr>
              <w:spacing w:after="0"/>
              <w:rPr>
                <w:rFonts w:ascii="Times New Roman" w:hAnsi="Times New Roman" w:cs="Times New Roman"/>
                <w:sz w:val="20"/>
                <w:szCs w:val="18"/>
              </w:rPr>
            </w:pPr>
            <w:r w:rsidRPr="00FF275A">
              <w:rPr>
                <w:rFonts w:ascii="Times New Roman" w:hAnsi="Times New Roman" w:cs="Times New Roman"/>
                <w:sz w:val="20"/>
                <w:szCs w:val="18"/>
              </w:rPr>
              <w:t>For training data collection of Case 1 and 2a, in terms of DL PRS configuration for collecting training data, RAN1 study the following options on assistance data, using legacy mechanisms as a starting point:</w:t>
            </w:r>
          </w:p>
          <w:p w14:paraId="2845EEAD" w14:textId="77777777" w:rsidR="007A2EE4" w:rsidRPr="00FF275A" w:rsidRDefault="007A2EE4" w:rsidP="00DA6EB4">
            <w:pPr>
              <w:snapToGrid w:val="0"/>
              <w:spacing w:after="0"/>
              <w:ind w:left="1440" w:hanging="1080"/>
              <w:rPr>
                <w:rFonts w:ascii="Times New Roman" w:hAnsi="Times New Roman" w:cs="Times New Roman"/>
                <w:sz w:val="20"/>
                <w:szCs w:val="18"/>
              </w:rPr>
            </w:pPr>
            <w:r w:rsidRPr="00FF275A">
              <w:rPr>
                <w:rFonts w:ascii="Times New Roman" w:hAnsi="Times New Roman" w:cs="Times New Roman"/>
                <w:sz w:val="20"/>
                <w:szCs w:val="18"/>
              </w:rPr>
              <w:lastRenderedPageBreak/>
              <w:t xml:space="preserve">Option A. </w:t>
            </w:r>
            <w:r w:rsidRPr="00FF275A">
              <w:rPr>
                <w:rFonts w:ascii="Times New Roman" w:hAnsi="Times New Roman" w:cs="Times New Roman"/>
                <w:sz w:val="20"/>
                <w:szCs w:val="18"/>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1DE223BD" w14:textId="77777777" w:rsidR="007A2EE4" w:rsidRPr="00FF275A" w:rsidRDefault="007A2EE4" w:rsidP="00DA6EB4">
            <w:pPr>
              <w:snapToGrid w:val="0"/>
              <w:spacing w:after="0"/>
              <w:ind w:left="1440" w:hanging="1080"/>
              <w:rPr>
                <w:rFonts w:ascii="Times New Roman" w:hAnsi="Times New Roman" w:cs="Times New Roman"/>
                <w:sz w:val="20"/>
                <w:szCs w:val="18"/>
              </w:rPr>
            </w:pPr>
            <w:r w:rsidRPr="00FF275A">
              <w:rPr>
                <w:rFonts w:ascii="Times New Roman" w:hAnsi="Times New Roman" w:cs="Times New Roman"/>
                <w:sz w:val="20"/>
                <w:szCs w:val="18"/>
              </w:rPr>
              <w:t xml:space="preserve">Option B. </w:t>
            </w:r>
            <w:r w:rsidRPr="00FF275A">
              <w:rPr>
                <w:rFonts w:ascii="Times New Roman" w:hAnsi="Times New Roman" w:cs="Times New Roman"/>
                <w:sz w:val="20"/>
                <w:szCs w:val="18"/>
              </w:rPr>
              <w:tab/>
              <w:t>(LMF initiated) LMF determines the DL PRS configuration for training data collection and provides the assistance data to the UE.</w:t>
            </w:r>
          </w:p>
          <w:p w14:paraId="0781C8AE" w14:textId="77777777" w:rsidR="007A2EE4" w:rsidRPr="00FF275A" w:rsidRDefault="007A2EE4" w:rsidP="00DA6EB4">
            <w:pPr>
              <w:spacing w:after="0"/>
              <w:rPr>
                <w:rFonts w:ascii="Times New Roman" w:hAnsi="Times New Roman" w:cs="Times New Roman"/>
                <w:sz w:val="20"/>
                <w:szCs w:val="18"/>
              </w:rPr>
            </w:pPr>
            <w:r w:rsidRPr="00FF275A">
              <w:rPr>
                <w:rFonts w:ascii="Times New Roman" w:hAnsi="Times New Roman" w:cs="Times New Roman"/>
                <w:sz w:val="20"/>
                <w:szCs w:val="18"/>
              </w:rPr>
              <w:t>Note: the UE can be a PRU and/or a Non-PRU UE.</w:t>
            </w:r>
          </w:p>
          <w:p w14:paraId="18FC6579" w14:textId="77777777" w:rsidR="007A2EE4" w:rsidRPr="00FF275A" w:rsidRDefault="007A2EE4" w:rsidP="00C102AB">
            <w:pPr>
              <w:spacing w:after="0"/>
              <w:rPr>
                <w:rFonts w:ascii="Times New Roman" w:hAnsi="Times New Roman" w:cs="Times New Roman"/>
                <w:sz w:val="20"/>
                <w:szCs w:val="18"/>
              </w:rPr>
            </w:pPr>
            <w:r w:rsidRPr="00FF275A">
              <w:rPr>
                <w:rFonts w:ascii="Times New Roman" w:hAnsi="Times New Roman" w:cs="Times New Roman"/>
                <w:sz w:val="20"/>
                <w:szCs w:val="18"/>
              </w:rPr>
              <w:t>Note: as in existing specification, the DL PRS configurations in the assistance data from LMF to UE are based on DL PRS configuration coordinated between LMF and gNB.</w:t>
            </w:r>
          </w:p>
          <w:p w14:paraId="650F0CE0" w14:textId="77777777" w:rsidR="00C102AB" w:rsidRPr="00FF275A" w:rsidRDefault="00C102AB" w:rsidP="00DA6EB4">
            <w:pPr>
              <w:spacing w:after="0"/>
              <w:rPr>
                <w:rFonts w:ascii="Times New Roman" w:hAnsi="Times New Roman" w:cs="Times New Roman"/>
                <w:sz w:val="20"/>
                <w:szCs w:val="18"/>
              </w:rPr>
            </w:pPr>
          </w:p>
          <w:p w14:paraId="25CD9785" w14:textId="77777777" w:rsidR="007A2EE4" w:rsidRPr="00FF275A" w:rsidRDefault="007A2EE4" w:rsidP="00DA6EB4">
            <w:pPr>
              <w:spacing w:after="0"/>
              <w:rPr>
                <w:rFonts w:ascii="Times New Roman" w:eastAsia="DengXian" w:hAnsi="Times New Roman" w:cs="Times New Roman"/>
                <w:b/>
                <w:bCs/>
                <w:sz w:val="20"/>
                <w:szCs w:val="18"/>
                <w:lang w:eastAsia="zh-CN"/>
              </w:rPr>
            </w:pPr>
            <w:r w:rsidRPr="00FF275A">
              <w:rPr>
                <w:rFonts w:ascii="Times New Roman" w:eastAsia="DengXian" w:hAnsi="Times New Roman" w:cs="Times New Roman"/>
                <w:b/>
                <w:bCs/>
                <w:sz w:val="20"/>
                <w:szCs w:val="18"/>
                <w:lang w:eastAsia="zh-CN"/>
              </w:rPr>
              <w:t>Conclusion</w:t>
            </w:r>
          </w:p>
          <w:p w14:paraId="5B3A8482" w14:textId="77777777" w:rsidR="007A2EE4" w:rsidRPr="00FF275A" w:rsidRDefault="007A2EE4" w:rsidP="00DA6EB4">
            <w:pPr>
              <w:spacing w:after="0"/>
              <w:rPr>
                <w:rFonts w:ascii="Times New Roman" w:hAnsi="Times New Roman" w:cs="Times New Roman"/>
                <w:sz w:val="20"/>
                <w:szCs w:val="18"/>
              </w:rPr>
            </w:pPr>
            <w:r w:rsidRPr="00FF275A">
              <w:rPr>
                <w:rFonts w:ascii="Times New Roman" w:eastAsia="Calibri" w:hAnsi="Times New Roman" w:cs="Times New Roman"/>
                <w:sz w:val="20"/>
                <w:szCs w:val="18"/>
              </w:rPr>
              <w:t>From RAN1 perspective,</w:t>
            </w:r>
            <w:r w:rsidRPr="00FF275A">
              <w:rPr>
                <w:rFonts w:ascii="Times New Roman" w:hAnsi="Times New Roman" w:cs="Times New Roman"/>
                <w:sz w:val="20"/>
                <w:szCs w:val="18"/>
              </w:rPr>
              <w:t xml:space="preserve"> for Case 3a measurements,  </w:t>
            </w:r>
          </w:p>
          <w:p w14:paraId="6EFA5C18" w14:textId="77777777" w:rsidR="007A2EE4" w:rsidRPr="00FF275A" w:rsidRDefault="007A2EE4" w:rsidP="00D35F36">
            <w:pPr>
              <w:pStyle w:val="ListParagraph"/>
              <w:numPr>
                <w:ilvl w:val="0"/>
                <w:numId w:val="79"/>
              </w:numPr>
              <w:spacing w:line="276" w:lineRule="auto"/>
              <w:rPr>
                <w:rFonts w:ascii="Times New Roman" w:hAnsi="Times New Roman" w:cs="Times New Roman"/>
                <w:sz w:val="20"/>
                <w:szCs w:val="18"/>
              </w:rPr>
            </w:pPr>
            <w:r w:rsidRPr="00FF275A">
              <w:rPr>
                <w:rFonts w:ascii="Times New Roman" w:hAnsi="Times New Roman" w:cs="Times New Roman"/>
                <w:sz w:val="20"/>
                <w:szCs w:val="18"/>
              </w:rPr>
              <w:t xml:space="preserve">The existing procedures </w:t>
            </w:r>
            <w:r w:rsidRPr="00FF275A">
              <w:rPr>
                <w:rFonts w:ascii="Times New Roman" w:eastAsia="DengXian" w:hAnsi="Times New Roman" w:cs="Times New Roman"/>
                <w:sz w:val="20"/>
                <w:szCs w:val="18"/>
              </w:rPr>
              <w:t xml:space="preserve">can be </w:t>
            </w:r>
            <w:r w:rsidRPr="00FF275A">
              <w:rPr>
                <w:rFonts w:ascii="Times New Roman" w:hAnsi="Times New Roman" w:cs="Times New Roman"/>
                <w:sz w:val="20"/>
                <w:szCs w:val="18"/>
              </w:rPr>
              <w:t>reused in terms of SRS configuration.</w:t>
            </w:r>
          </w:p>
          <w:p w14:paraId="15AC0200" w14:textId="77777777" w:rsidR="007A2EE4" w:rsidRPr="00FF275A" w:rsidRDefault="007A2EE4" w:rsidP="00D35F36">
            <w:pPr>
              <w:pStyle w:val="ListParagraph"/>
              <w:numPr>
                <w:ilvl w:val="1"/>
                <w:numId w:val="79"/>
              </w:numPr>
              <w:spacing w:line="276" w:lineRule="auto"/>
              <w:rPr>
                <w:rFonts w:ascii="Times New Roman" w:hAnsi="Times New Roman" w:cs="Times New Roman"/>
                <w:sz w:val="20"/>
                <w:szCs w:val="18"/>
              </w:rPr>
            </w:pPr>
            <w:r w:rsidRPr="00FF275A">
              <w:rPr>
                <w:rFonts w:ascii="Times New Roman" w:hAnsi="Times New Roman" w:cs="Times New Roman"/>
                <w:sz w:val="20"/>
                <w:szCs w:val="18"/>
              </w:rPr>
              <w:t>Note: parameter values for SRS configuration can be further discussed</w:t>
            </w:r>
          </w:p>
          <w:p w14:paraId="02D58874" w14:textId="77777777" w:rsidR="007A2EE4" w:rsidRPr="00FF275A" w:rsidRDefault="007A2EE4" w:rsidP="00D35F36">
            <w:pPr>
              <w:pStyle w:val="ListParagraph"/>
              <w:numPr>
                <w:ilvl w:val="0"/>
                <w:numId w:val="79"/>
              </w:numPr>
              <w:spacing w:line="276" w:lineRule="auto"/>
              <w:rPr>
                <w:rFonts w:ascii="Times New Roman" w:hAnsi="Times New Roman" w:cs="Times New Roman"/>
                <w:sz w:val="20"/>
                <w:szCs w:val="18"/>
              </w:rPr>
            </w:pPr>
            <w:r w:rsidRPr="00FF275A">
              <w:rPr>
                <w:rFonts w:ascii="Times New Roman" w:hAnsi="Times New Roman" w:cs="Times New Roman"/>
                <w:sz w:val="20"/>
                <w:szCs w:val="18"/>
              </w:rPr>
              <w:t xml:space="preserve">These measurements can be used for multiple aspects related to case 3a, e.g. training data collection, monitoring, or inference procedures. </w:t>
            </w:r>
          </w:p>
          <w:p w14:paraId="54E0846F" w14:textId="77777777" w:rsidR="007A2EE4" w:rsidRPr="00FF275A" w:rsidRDefault="007A2EE4" w:rsidP="00D35F36">
            <w:pPr>
              <w:numPr>
                <w:ilvl w:val="0"/>
                <w:numId w:val="79"/>
              </w:numPr>
              <w:spacing w:after="0"/>
              <w:rPr>
                <w:rFonts w:ascii="Times New Roman" w:hAnsi="Times New Roman" w:cs="Times New Roman"/>
                <w:sz w:val="20"/>
                <w:szCs w:val="18"/>
              </w:rPr>
            </w:pPr>
            <w:r w:rsidRPr="00FF275A">
              <w:rPr>
                <w:rFonts w:ascii="Times New Roman" w:hAnsi="Times New Roman" w:cs="Times New Roman"/>
                <w:sz w:val="20"/>
                <w:szCs w:val="18"/>
              </w:rPr>
              <w:t>Note: Purpose, such as the</w:t>
            </w:r>
            <w:r w:rsidRPr="00FF275A">
              <w:rPr>
                <w:rFonts w:ascii="Times New Roman" w:eastAsia="DengXian" w:hAnsi="Times New Roman" w:cs="Times New Roman"/>
                <w:sz w:val="20"/>
                <w:szCs w:val="18"/>
                <w:lang w:eastAsia="zh-CN"/>
              </w:rPr>
              <w:t xml:space="preserve"> training</w:t>
            </w:r>
            <w:r w:rsidRPr="00FF275A">
              <w:rPr>
                <w:rFonts w:ascii="Times New Roman" w:hAnsi="Times New Roman" w:cs="Times New Roman"/>
                <w:sz w:val="20"/>
                <w:szCs w:val="18"/>
              </w:rPr>
              <w:t xml:space="preserve"> data collection</w:t>
            </w:r>
            <w:r w:rsidRPr="00FF275A">
              <w:rPr>
                <w:rFonts w:ascii="Times New Roman" w:eastAsia="DengXian" w:hAnsi="Times New Roman" w:cs="Times New Roman"/>
                <w:sz w:val="20"/>
                <w:szCs w:val="18"/>
                <w:lang w:eastAsia="zh-CN"/>
              </w:rPr>
              <w:t>,</w:t>
            </w:r>
            <w:r w:rsidRPr="00FF275A">
              <w:rPr>
                <w:rFonts w:ascii="Times New Roman" w:hAnsi="Times New Roman" w:cs="Times New Roman"/>
                <w:sz w:val="20"/>
                <w:szCs w:val="18"/>
              </w:rPr>
              <w:t xml:space="preserve"> monitoring, or inference procedures mentioned above, will not necessarily be specified in RAN 1 specifications</w:t>
            </w:r>
          </w:p>
          <w:p w14:paraId="44457C4E" w14:textId="77777777" w:rsidR="007A2EE4" w:rsidRPr="00FF275A" w:rsidRDefault="007A2EE4" w:rsidP="00DA6EB4">
            <w:pPr>
              <w:spacing w:after="0"/>
              <w:rPr>
                <w:rFonts w:ascii="Times New Roman" w:hAnsi="Times New Roman" w:cs="Times New Roman"/>
                <w:sz w:val="20"/>
                <w:szCs w:val="18"/>
              </w:rPr>
            </w:pPr>
          </w:p>
        </w:tc>
      </w:tr>
    </w:tbl>
    <w:p w14:paraId="0C5FE7E6" w14:textId="77777777" w:rsidR="006410AF" w:rsidRDefault="006410AF" w:rsidP="002A1C0D"/>
    <w:p w14:paraId="3154AD1E" w14:textId="3DAC54B2" w:rsidR="00A376FA" w:rsidRDefault="00A376FA" w:rsidP="002A1C0D">
      <w:r>
        <w:t xml:space="preserve">The current specification already supports procedures for UE initiated </w:t>
      </w:r>
      <w:r w:rsidR="005309C9">
        <w:t xml:space="preserve">or LMF initiated PRS configuration, both for UE based and UE assisted positioning. </w:t>
      </w:r>
      <w:r w:rsidR="00EF6B33">
        <w:t xml:space="preserve">Hence </w:t>
      </w:r>
      <w:r w:rsidR="005309C9">
        <w:t>from the spec</w:t>
      </w:r>
      <w:r w:rsidR="00EF6B33">
        <w:t>ification</w:t>
      </w:r>
      <w:r w:rsidR="005309C9">
        <w:t xml:space="preserve"> perspective, </w:t>
      </w:r>
      <w:r w:rsidR="006A0284">
        <w:t xml:space="preserve">both </w:t>
      </w:r>
      <w:r w:rsidR="00EF6B33">
        <w:t xml:space="preserve">Option A (UE initiated) and Option B (LMF initiated) procedures for DL PRS configuration </w:t>
      </w:r>
      <w:r w:rsidR="006A0284">
        <w:t xml:space="preserve">can be supported. </w:t>
      </w:r>
    </w:p>
    <w:p w14:paraId="3FB3E625" w14:textId="0F57FC2B" w:rsidR="00EF6B33" w:rsidRDefault="00EF6B33" w:rsidP="00EF6B33">
      <w:r>
        <w:t xml:space="preserve">Furthermore, legacy mechanisms should be reused, and they are adequate for training data collection of Case 1. There may </w:t>
      </w:r>
      <w:r w:rsidR="00787284">
        <w:t xml:space="preserve">be </w:t>
      </w:r>
      <w:r>
        <w:t xml:space="preserve">necessary coordination to collect the desired quantity and quality of training data samples. For example, in order to provide label data samples, LMF needs to make sure that PRU location information is collected at the same time that the PRU is triggered to measure DL PRS.  However, such coordination can be accomplished by LMF implementation in our view. We do not identify any enhancements that need to be explicitly standardized </w:t>
      </w:r>
      <w:r w:rsidR="004525F0">
        <w:t xml:space="preserve">to support training data collection, </w:t>
      </w:r>
      <w:r>
        <w:t xml:space="preserve">beyond the legacy signaling for DL PRS configuration.  </w:t>
      </w:r>
    </w:p>
    <w:p w14:paraId="1AE77F07" w14:textId="77777777" w:rsidR="00EF6B33" w:rsidRDefault="00EF6B33" w:rsidP="002A1C0D"/>
    <w:p w14:paraId="78C462EA" w14:textId="6A4E7D3A" w:rsidR="00656267" w:rsidRPr="00DF1814" w:rsidRDefault="0023368D" w:rsidP="00DF1814">
      <w:pPr>
        <w:pStyle w:val="Observation"/>
        <w:rPr>
          <w:lang w:val="en-GB"/>
        </w:rPr>
      </w:pPr>
      <w:bookmarkStart w:id="1531" w:name="_Toc178961877"/>
      <w:r>
        <w:rPr>
          <w:lang w:val="en-GB"/>
        </w:rPr>
        <w:t xml:space="preserve">Positioning procedure for assistance data requests at the UE can cover </w:t>
      </w:r>
      <w:r w:rsidR="00DF1814">
        <w:rPr>
          <w:lang w:val="en-GB"/>
        </w:rPr>
        <w:t>O</w:t>
      </w:r>
      <w:r>
        <w:rPr>
          <w:lang w:val="en-GB"/>
        </w:rPr>
        <w:t>ption A</w:t>
      </w:r>
      <w:r w:rsidR="0047093C">
        <w:rPr>
          <w:lang w:val="en-GB"/>
        </w:rPr>
        <w:t xml:space="preserve"> and B</w:t>
      </w:r>
      <w:r>
        <w:rPr>
          <w:lang w:val="en-GB"/>
        </w:rPr>
        <w:t xml:space="preserve">, both for UE based and UE assisted positioning. </w:t>
      </w:r>
      <w:r w:rsidR="00656267" w:rsidRPr="00DF1814">
        <w:rPr>
          <w:rFonts w:cs="Arial"/>
        </w:rPr>
        <w:t>Positioning procedure for assistance d</w:t>
      </w:r>
      <w:r w:rsidR="00FE58F3" w:rsidRPr="00DF1814">
        <w:rPr>
          <w:rFonts w:cs="Arial"/>
        </w:rPr>
        <w:t>a</w:t>
      </w:r>
      <w:r w:rsidR="00656267" w:rsidRPr="00DF1814">
        <w:rPr>
          <w:rFonts w:cs="Arial"/>
        </w:rPr>
        <w:t>ta requests for on-demand PRS can also be used to complement the received assistance data.</w:t>
      </w:r>
      <w:bookmarkEnd w:id="1531"/>
      <w:r w:rsidR="00656267" w:rsidRPr="00DF1814">
        <w:rPr>
          <w:rFonts w:cs="Arial"/>
        </w:rPr>
        <w:t xml:space="preserve"> </w:t>
      </w:r>
    </w:p>
    <w:p w14:paraId="31088958" w14:textId="11346340" w:rsidR="00656267" w:rsidRDefault="0047093C" w:rsidP="00656267">
      <w:r>
        <w:t xml:space="preserve"> </w:t>
      </w:r>
      <w:r w:rsidR="00E02286">
        <w:t xml:space="preserve">Therefore, we think it is sufficient for RAN1 to conclude that option A and option B are feasible and let RAN2/3 work out the procedure details. </w:t>
      </w:r>
    </w:p>
    <w:p w14:paraId="47BAC598" w14:textId="77777777" w:rsidR="00DF1814" w:rsidRDefault="00DF1814" w:rsidP="00656267"/>
    <w:p w14:paraId="3F4145CA" w14:textId="37CBFF53" w:rsidR="00E02286" w:rsidRPr="009035C9" w:rsidRDefault="00E02286" w:rsidP="003D7F3B">
      <w:pPr>
        <w:pStyle w:val="Proposal"/>
      </w:pPr>
      <w:bookmarkStart w:id="1532" w:name="_Toc178961933"/>
      <w:r w:rsidRPr="009035C9">
        <w:t xml:space="preserve">For training data collection of Case 1, in terms of DL PRS configuration for collecting training data, RAN1 </w:t>
      </w:r>
      <w:r>
        <w:t>concludes</w:t>
      </w:r>
      <w:r w:rsidRPr="009035C9">
        <w:t xml:space="preserve"> </w:t>
      </w:r>
      <w:r w:rsidR="00787284">
        <w:t xml:space="preserve">that </w:t>
      </w:r>
      <w:r w:rsidRPr="009035C9">
        <w:t>the following options on assistance data, using legacy mechanisms</w:t>
      </w:r>
      <w:r w:rsidR="008222E3">
        <w:t>, can be supported:</w:t>
      </w:r>
      <w:bookmarkEnd w:id="1532"/>
      <w:r w:rsidRPr="009035C9">
        <w:t xml:space="preserve"> </w:t>
      </w:r>
    </w:p>
    <w:p w14:paraId="461F1C4B" w14:textId="77777777" w:rsidR="00E02286" w:rsidRPr="009035C9" w:rsidRDefault="00E02286" w:rsidP="003D7F3B">
      <w:pPr>
        <w:pStyle w:val="Proposal"/>
        <w:numPr>
          <w:ilvl w:val="1"/>
          <w:numId w:val="2"/>
        </w:numPr>
        <w:rPr>
          <w:rFonts w:cs="Arial"/>
        </w:rPr>
      </w:pPr>
      <w:bookmarkStart w:id="1533" w:name="_Toc178961934"/>
      <w:r w:rsidRPr="009035C9">
        <w:rPr>
          <w:rFonts w:cs="Arial"/>
        </w:rPr>
        <w:t xml:space="preserve">Option A. </w:t>
      </w:r>
      <w:r w:rsidRPr="009035C9">
        <w:rPr>
          <w:rFonts w:cs="Arial"/>
        </w:rPr>
        <w:tab/>
        <w:t>(UE initiated) UE makes a request to LMF on the preferred DL PRS configuration for training data collection, e.g., on-demand PRS. LMF makes the decision on determining the DL PRS configuration for training data collection and provides the assistance data to the UE.</w:t>
      </w:r>
      <w:bookmarkEnd w:id="1533"/>
      <w:r w:rsidRPr="009035C9">
        <w:rPr>
          <w:rFonts w:cs="Arial"/>
        </w:rPr>
        <w:t xml:space="preserve"> </w:t>
      </w:r>
    </w:p>
    <w:p w14:paraId="328D3D2B" w14:textId="77777777" w:rsidR="00E02286" w:rsidRPr="009035C9" w:rsidRDefault="00E02286" w:rsidP="003D7F3B">
      <w:pPr>
        <w:pStyle w:val="Proposal"/>
        <w:numPr>
          <w:ilvl w:val="1"/>
          <w:numId w:val="2"/>
        </w:numPr>
        <w:rPr>
          <w:rFonts w:cs="Arial"/>
        </w:rPr>
      </w:pPr>
      <w:bookmarkStart w:id="1534" w:name="_Toc178961935"/>
      <w:r w:rsidRPr="009035C9">
        <w:rPr>
          <w:rFonts w:cs="Arial"/>
        </w:rPr>
        <w:t xml:space="preserve">Option B. </w:t>
      </w:r>
      <w:r w:rsidRPr="009035C9">
        <w:rPr>
          <w:rFonts w:cs="Arial"/>
        </w:rPr>
        <w:tab/>
        <w:t>(LMF initiated) LMF determines the DL PRS configuration for training data collection and provides the assistance data to the UE.</w:t>
      </w:r>
      <w:bookmarkEnd w:id="1534"/>
    </w:p>
    <w:p w14:paraId="2D177961" w14:textId="26D9D1FA" w:rsidR="00091772" w:rsidRDefault="00D766FB" w:rsidP="00DA6EB4">
      <w:pPr>
        <w:pStyle w:val="Heading3"/>
      </w:pPr>
      <w:bookmarkStart w:id="1535" w:name="_Toc178961679"/>
      <w:r>
        <w:t>Elements in m</w:t>
      </w:r>
      <w:r w:rsidR="00091772">
        <w:t>etadata</w:t>
      </w:r>
      <w:r w:rsidR="00091772" w:rsidRPr="00E215F0">
        <w:t xml:space="preserve"> </w:t>
      </w:r>
      <w:r w:rsidR="00091772">
        <w:t>of the</w:t>
      </w:r>
      <w:r w:rsidR="00091772" w:rsidRPr="00E215F0">
        <w:t xml:space="preserve"> training data</w:t>
      </w:r>
      <w:r w:rsidR="00091772">
        <w:t>set</w:t>
      </w:r>
      <w:bookmarkEnd w:id="1535"/>
    </w:p>
    <w:p w14:paraId="78984D49" w14:textId="06FB2D9D" w:rsidR="00091772" w:rsidRDefault="00091772" w:rsidP="00091772">
      <w:r>
        <w:t>To keep consistency between training and inference phase, it is crucial that the node operating the model can secure that the assistance data and signals received during inference are the same as what was used for training the model. For this purpose, in addition to the list of training data samples, the training dataset also needs to record the context information of the collected data. Such context information is attached to the training dataset as its metadata. The context information should include basic information like:</w:t>
      </w:r>
    </w:p>
    <w:p w14:paraId="05D9DB90" w14:textId="77777777" w:rsidR="00091772" w:rsidRPr="006B06B9" w:rsidRDefault="00091772" w:rsidP="00D35F36">
      <w:pPr>
        <w:pStyle w:val="ListParagraph"/>
        <w:numPr>
          <w:ilvl w:val="0"/>
          <w:numId w:val="45"/>
        </w:numPr>
      </w:pPr>
      <w:r>
        <w:lastRenderedPageBreak/>
        <w:t>Where the training data is collected</w:t>
      </w:r>
    </w:p>
    <w:p w14:paraId="11C8E853" w14:textId="77777777" w:rsidR="00091772" w:rsidRPr="006B06B9" w:rsidRDefault="00091772" w:rsidP="00D35F36">
      <w:pPr>
        <w:pStyle w:val="ListParagraph"/>
        <w:numPr>
          <w:ilvl w:val="0"/>
          <w:numId w:val="45"/>
        </w:numPr>
      </w:pPr>
      <w:r>
        <w:t>When the training data is collected, for example, year/month/date</w:t>
      </w:r>
    </w:p>
    <w:p w14:paraId="638576CA" w14:textId="77777777" w:rsidR="00091772" w:rsidRPr="006B06B9" w:rsidRDefault="00091772" w:rsidP="00D35F36">
      <w:pPr>
        <w:pStyle w:val="ListParagraph"/>
        <w:numPr>
          <w:ilvl w:val="0"/>
          <w:numId w:val="45"/>
        </w:numPr>
      </w:pPr>
      <w:r>
        <w:t>Which nodes provided the measurement data, for example, TRP ID, UE ID.</w:t>
      </w:r>
    </w:p>
    <w:p w14:paraId="122B1DE5" w14:textId="77777777" w:rsidR="00091772" w:rsidRPr="005F13A6" w:rsidRDefault="00091772" w:rsidP="00D35F36">
      <w:pPr>
        <w:pStyle w:val="ListParagraph"/>
        <w:numPr>
          <w:ilvl w:val="0"/>
          <w:numId w:val="45"/>
        </w:numPr>
      </w:pPr>
      <w:r>
        <w:t>Which nodes provided the label data, for example, PRU ID, UE ID, LMF ID.</w:t>
      </w:r>
    </w:p>
    <w:p w14:paraId="1B268CFF" w14:textId="77777777" w:rsidR="00091772" w:rsidRPr="005F13A6" w:rsidRDefault="00091772" w:rsidP="00D35F36">
      <w:pPr>
        <w:pStyle w:val="ListParagraph"/>
        <w:numPr>
          <w:ilvl w:val="0"/>
          <w:numId w:val="45"/>
        </w:numPr>
      </w:pPr>
      <w:r w:rsidRPr="005F13A6">
        <w:t>What kind of reference signals are used in generating the measurement data, for example, PRS configuration for DL measurement, SRS configuration for UL measurement.</w:t>
      </w:r>
    </w:p>
    <w:p w14:paraId="30FBCBF5" w14:textId="77777777" w:rsidR="00091772" w:rsidRPr="00800734" w:rsidRDefault="00091772" w:rsidP="00D35F36">
      <w:pPr>
        <w:pStyle w:val="ListParagraph"/>
        <w:numPr>
          <w:ilvl w:val="0"/>
          <w:numId w:val="45"/>
        </w:numPr>
      </w:pPr>
      <w:r>
        <w:t xml:space="preserve">Type and format of the measurement data, for example, </w:t>
      </w:r>
    </w:p>
    <w:p w14:paraId="46CC4E1F" w14:textId="77777777" w:rsidR="00091772" w:rsidRPr="00800734" w:rsidRDefault="00091772" w:rsidP="00D35F36">
      <w:pPr>
        <w:pStyle w:val="ListParagraph"/>
        <w:numPr>
          <w:ilvl w:val="1"/>
          <w:numId w:val="45"/>
        </w:numPr>
      </w:pPr>
      <w:r>
        <w:t>Type (e.g., DP/PDP) and size (e.g., N</w:t>
      </w:r>
      <w:r w:rsidRPr="00800734">
        <w:rPr>
          <w:vertAlign w:val="subscript"/>
        </w:rPr>
        <w:t>t</w:t>
      </w:r>
      <w:r>
        <w:t>, N'</w:t>
      </w:r>
      <w:r w:rsidRPr="00800734">
        <w:rPr>
          <w:vertAlign w:val="subscript"/>
        </w:rPr>
        <w:t>t</w:t>
      </w:r>
      <w:r>
        <w:t>) of the measurement data</w:t>
      </w:r>
    </w:p>
    <w:p w14:paraId="26DDC61E" w14:textId="77777777" w:rsidR="00091772" w:rsidRPr="00800734" w:rsidRDefault="00091772" w:rsidP="00D35F36">
      <w:pPr>
        <w:pStyle w:val="ListParagraph"/>
        <w:numPr>
          <w:ilvl w:val="1"/>
          <w:numId w:val="45"/>
        </w:numPr>
      </w:pPr>
      <w:r>
        <w:t xml:space="preserve">Quantization granularity used in recording the measurement values </w:t>
      </w:r>
    </w:p>
    <w:p w14:paraId="250631FC" w14:textId="77777777" w:rsidR="00091772" w:rsidRPr="00800734" w:rsidRDefault="00091772" w:rsidP="00D35F36">
      <w:pPr>
        <w:pStyle w:val="ListParagraph"/>
        <w:numPr>
          <w:ilvl w:val="0"/>
          <w:numId w:val="45"/>
        </w:numPr>
      </w:pPr>
      <w:r>
        <w:t xml:space="preserve">Type and format of the label data, for example, </w:t>
      </w:r>
    </w:p>
    <w:p w14:paraId="79B85627" w14:textId="77777777" w:rsidR="00091772" w:rsidRPr="00800734" w:rsidRDefault="00091772" w:rsidP="00D35F36">
      <w:pPr>
        <w:pStyle w:val="ListParagraph"/>
        <w:numPr>
          <w:ilvl w:val="1"/>
          <w:numId w:val="45"/>
        </w:numPr>
      </w:pPr>
      <w:r>
        <w:t>Type of information for label data, for example, UE location or information corresponding to model output of AI/ML assisted positioning models;</w:t>
      </w:r>
    </w:p>
    <w:p w14:paraId="2FCE0C8E" w14:textId="77777777" w:rsidR="00091772" w:rsidRPr="00800734" w:rsidRDefault="00091772" w:rsidP="00D35F36">
      <w:pPr>
        <w:pStyle w:val="ListParagraph"/>
        <w:numPr>
          <w:ilvl w:val="1"/>
          <w:numId w:val="45"/>
        </w:numPr>
      </w:pPr>
      <w:r>
        <w:t xml:space="preserve">Format used to record the location information (for labels), </w:t>
      </w:r>
    </w:p>
    <w:p w14:paraId="0EC47D21" w14:textId="77777777" w:rsidR="00091772" w:rsidRPr="00800734" w:rsidRDefault="00091772" w:rsidP="00D35F36">
      <w:pPr>
        <w:pStyle w:val="ListParagraph"/>
        <w:numPr>
          <w:ilvl w:val="1"/>
          <w:numId w:val="45"/>
        </w:numPr>
      </w:pPr>
      <w:r>
        <w:t>2D or 3D location coordinates</w:t>
      </w:r>
    </w:p>
    <w:p w14:paraId="230110CA" w14:textId="77777777" w:rsidR="00091772" w:rsidRDefault="00091772" w:rsidP="00D35F36">
      <w:pPr>
        <w:pStyle w:val="ListParagraph"/>
        <w:numPr>
          <w:ilvl w:val="0"/>
          <w:numId w:val="45"/>
        </w:numPr>
      </w:pPr>
      <w:r>
        <w:t>Criteria (if any) applied before a data sample can be accepted as part of the training dataset, for example, label quality requirement, SINR requirement, etc.</w:t>
      </w:r>
    </w:p>
    <w:p w14:paraId="7AEDD8E4" w14:textId="77777777" w:rsidR="00091772" w:rsidRDefault="00091772" w:rsidP="00D35F36">
      <w:pPr>
        <w:pStyle w:val="ListParagraph"/>
        <w:numPr>
          <w:ilvl w:val="0"/>
          <w:numId w:val="45"/>
        </w:numPr>
      </w:pPr>
      <w:r>
        <w:t>Version ID of the training dataset, if the training dataset may be updated over time.</w:t>
      </w:r>
    </w:p>
    <w:p w14:paraId="72B4043A" w14:textId="77777777" w:rsidR="0057419D" w:rsidRDefault="0057419D" w:rsidP="00091772"/>
    <w:p w14:paraId="11A695EC" w14:textId="4E088D4F" w:rsidR="00091772" w:rsidRDefault="00091772" w:rsidP="00091772">
      <w:r>
        <w:t>Regarding the criteria applied to collect data samples of adequate quality, it should cover both measurement data (corresponding to model input) and label data (corresponding to model output).</w:t>
      </w:r>
      <w:r w:rsidR="0057419D">
        <w:t xml:space="preserve"> This gives the high-level information on the training dataset: </w:t>
      </w:r>
    </w:p>
    <w:p w14:paraId="3ED23236" w14:textId="26F684E9" w:rsidR="00091772" w:rsidRPr="00194B5B" w:rsidRDefault="0057419D" w:rsidP="00D35F36">
      <w:pPr>
        <w:pStyle w:val="ListParagraph"/>
        <w:numPr>
          <w:ilvl w:val="0"/>
          <w:numId w:val="39"/>
        </w:numPr>
      </w:pPr>
      <w:r>
        <w:t xml:space="preserve">The accepted range of </w:t>
      </w:r>
      <w:r w:rsidR="00091772" w:rsidRPr="00194B5B">
        <w:t>measurement data quality.</w:t>
      </w:r>
    </w:p>
    <w:p w14:paraId="20DD134B" w14:textId="550F1BDB" w:rsidR="00091772" w:rsidRPr="00492B22" w:rsidRDefault="0057419D" w:rsidP="00D35F36">
      <w:pPr>
        <w:pStyle w:val="ListParagraph"/>
        <w:numPr>
          <w:ilvl w:val="0"/>
          <w:numId w:val="39"/>
        </w:numPr>
      </w:pPr>
      <w:r>
        <w:t xml:space="preserve">The accepted range of </w:t>
      </w:r>
      <w:r w:rsidR="00091772" w:rsidRPr="00194B5B">
        <w:t>label error</w:t>
      </w:r>
      <w:r>
        <w:t xml:space="preserve"> </w:t>
      </w:r>
      <w:r w:rsidR="00091772" w:rsidRPr="00194B5B">
        <w:t xml:space="preserve">(or: uncertainty of ground truth label). </w:t>
      </w:r>
    </w:p>
    <w:p w14:paraId="56C68DE4" w14:textId="77777777" w:rsidR="0057419D" w:rsidRDefault="0057419D" w:rsidP="00091772"/>
    <w:p w14:paraId="5C39D745" w14:textId="63D2B8DB" w:rsidR="00091772" w:rsidRDefault="00091772" w:rsidP="00091772">
      <w:r w:rsidRPr="00492B22">
        <w:t xml:space="preserve">When the training dataset is used for training a model, the model training entity may </w:t>
      </w:r>
      <w:r w:rsidR="00D56707">
        <w:t xml:space="preserve">further </w:t>
      </w:r>
      <w:r w:rsidRPr="00492B22">
        <w:t>decide to include only data</w:t>
      </w:r>
      <w:r>
        <w:t xml:space="preserve"> samples</w:t>
      </w:r>
      <w:r w:rsidRPr="00492B22">
        <w:t xml:space="preserve"> with sufficient quality, where the quality is determined according to the targeted positioning accuracy requirement.</w:t>
      </w:r>
      <w:r w:rsidR="00992735">
        <w:t xml:space="preserve"> For instance, during training data collection, data samples with label error &lt; 2.0 meters are collected into the training dataset. During model training, two models may be trained, one model is trained using filtered data samples with label error &lt; 1.0 m for higher accuracy applications, while the other using all data samples (thus label error &lt; 2.0 m) for lower accuracy applications.</w:t>
      </w:r>
    </w:p>
    <w:p w14:paraId="21F2441B" w14:textId="138133D9" w:rsidR="00E85E46" w:rsidRDefault="0088532A" w:rsidP="00E85E46">
      <w:r>
        <w:t>Specific to training data collection of Part A</w:t>
      </w:r>
      <w:r w:rsidR="00E85E46">
        <w:t xml:space="preserve">, the model host (TRP, gNB, LMF or UE)  will integrate measurements together with related metadata. To enable accurate inference result, the metadata should ideally not differ between the training data set and the measurement performed during inference.  </w:t>
      </w:r>
      <w:r w:rsidR="00E85E46" w:rsidRPr="005C6195">
        <w:t>The metadata that need to be recorded for Part</w:t>
      </w:r>
      <w:r w:rsidR="00E85E46">
        <w:t xml:space="preserve"> A of the training dataset can be grouped as follows:</w:t>
      </w:r>
    </w:p>
    <w:p w14:paraId="662B85A4" w14:textId="77777777" w:rsidR="00E85E46" w:rsidRDefault="00E85E46" w:rsidP="00D35F36">
      <w:pPr>
        <w:pStyle w:val="ListParagraph"/>
        <w:numPr>
          <w:ilvl w:val="0"/>
          <w:numId w:val="39"/>
        </w:numPr>
        <w:rPr>
          <w:lang w:val="en-GB"/>
        </w:rPr>
      </w:pPr>
      <w:r w:rsidRPr="00DA6EB4">
        <w:rPr>
          <w:b/>
          <w:bCs/>
          <w:lang w:val="en-GB"/>
        </w:rPr>
        <w:t>Group 1, assistance data</w:t>
      </w:r>
      <w:r>
        <w:rPr>
          <w:lang w:val="en-GB"/>
        </w:rPr>
        <w:t xml:space="preserve">.  In the positioning framework, assistance data is sent from LMF to either gNBs or UEs to enable reference signal measurements. For training data collection, the LMF should provide suitable assistance data to the measuring nodes.  </w:t>
      </w:r>
    </w:p>
    <w:p w14:paraId="2EB2C982" w14:textId="77777777" w:rsidR="00E85E46" w:rsidRPr="00841E6F" w:rsidRDefault="00E85E46" w:rsidP="00D35F36">
      <w:pPr>
        <w:pStyle w:val="ListParagraph"/>
        <w:numPr>
          <w:ilvl w:val="0"/>
          <w:numId w:val="39"/>
        </w:numPr>
        <w:rPr>
          <w:lang w:val="en-GB"/>
        </w:rPr>
      </w:pPr>
      <w:r w:rsidRPr="00DA6EB4">
        <w:rPr>
          <w:b/>
          <w:bCs/>
          <w:lang w:val="en-GB"/>
        </w:rPr>
        <w:t>Group 2, signal measurement configuration</w:t>
      </w:r>
      <w:r>
        <w:rPr>
          <w:lang w:val="en-GB"/>
        </w:rPr>
        <w:t xml:space="preserve">, for example, PDP or DP, </w:t>
      </w:r>
      <w:r>
        <w:t xml:space="preserve">measurement </w:t>
      </w:r>
      <w:r>
        <w:rPr>
          <w:lang w:val="en-GB"/>
        </w:rPr>
        <w:t xml:space="preserve">parameters </w:t>
      </w:r>
      <w:r>
        <w:t>{</w:t>
      </w:r>
      <w:r w:rsidRPr="0002562A">
        <w:t>N</w:t>
      </w:r>
      <w:r w:rsidRPr="001B4A11">
        <w:rPr>
          <w:vertAlign w:val="subscript"/>
        </w:rPr>
        <w:t>t</w:t>
      </w:r>
      <w:r>
        <w:t xml:space="preserve">, </w:t>
      </w:r>
      <w:r w:rsidRPr="0002562A">
        <w:t>N</w:t>
      </w:r>
      <w:r w:rsidRPr="001B4A11">
        <w:rPr>
          <w:vertAlign w:val="subscript"/>
        </w:rPr>
        <w:t>t</w:t>
      </w:r>
      <w:r w:rsidRPr="0002562A">
        <w:t>'</w:t>
      </w:r>
      <w:r>
        <w:t>, k}</w:t>
      </w:r>
      <w:r>
        <w:rPr>
          <w:lang w:val="en-GB"/>
        </w:rPr>
        <w:t xml:space="preserve">. For Case 2b, 3b, and potentially 3a, this is the information included the measurement request, sent from LMF to UE or gNB, for model inference. For cases where the channel measurement is not sent to LMF for model inference (Case 1, 2a, and potentially 3a), the analogous signal measurement information should be recorded as well.  </w:t>
      </w:r>
    </w:p>
    <w:p w14:paraId="1BE94D68" w14:textId="7EFD214E" w:rsidR="00E85E46" w:rsidRDefault="00E85E46" w:rsidP="00D35F36">
      <w:pPr>
        <w:pStyle w:val="ListParagraph"/>
        <w:numPr>
          <w:ilvl w:val="0"/>
          <w:numId w:val="39"/>
        </w:numPr>
        <w:rPr>
          <w:lang w:val="en-GB"/>
        </w:rPr>
      </w:pPr>
      <w:r w:rsidRPr="00DA6EB4">
        <w:rPr>
          <w:b/>
          <w:bCs/>
          <w:lang w:val="en-GB"/>
        </w:rPr>
        <w:t>Group 3, measurement environment condition and quality</w:t>
      </w:r>
      <w:r w:rsidRPr="00497234">
        <w:rPr>
          <w:lang w:val="en-GB"/>
        </w:rPr>
        <w:t>. This</w:t>
      </w:r>
      <w:r>
        <w:rPr>
          <w:lang w:val="en-GB"/>
        </w:rPr>
        <w:t xml:space="preserve"> may</w:t>
      </w:r>
      <w:r w:rsidRPr="00497234">
        <w:rPr>
          <w:lang w:val="en-GB"/>
        </w:rPr>
        <w:t xml:space="preserve"> include</w:t>
      </w:r>
      <w:r>
        <w:rPr>
          <w:lang w:val="en-GB"/>
        </w:rPr>
        <w:t>: network synchronization error</w:t>
      </w:r>
      <w:r w:rsidR="007C37EE">
        <w:rPr>
          <w:lang w:val="en-GB"/>
        </w:rPr>
        <w:t xml:space="preserve"> range</w:t>
      </w:r>
      <w:r>
        <w:rPr>
          <w:lang w:val="en-GB"/>
        </w:rPr>
        <w:t>,</w:t>
      </w:r>
      <w:r w:rsidRPr="00497234">
        <w:rPr>
          <w:lang w:val="en-GB"/>
        </w:rPr>
        <w:t xml:space="preserve"> </w:t>
      </w:r>
      <w:r w:rsidRPr="00497234">
        <w:t>UE/gNB RX and TX timing error</w:t>
      </w:r>
      <w:r>
        <w:t xml:space="preserve"> range</w:t>
      </w:r>
      <w:r w:rsidRPr="00497234">
        <w:rPr>
          <w:lang w:val="en-GB"/>
        </w:rPr>
        <w:t xml:space="preserve">, </w:t>
      </w:r>
      <w:r>
        <w:rPr>
          <w:lang w:val="en-GB"/>
        </w:rPr>
        <w:t>interference range</w:t>
      </w:r>
      <w:r w:rsidRPr="00497234">
        <w:rPr>
          <w:lang w:val="en-GB"/>
        </w:rPr>
        <w:t xml:space="preserve">, </w:t>
      </w:r>
      <w:r>
        <w:rPr>
          <w:rFonts w:eastAsia="DengXian"/>
        </w:rPr>
        <w:t>c</w:t>
      </w:r>
      <w:r w:rsidRPr="00497234">
        <w:rPr>
          <w:rFonts w:eastAsia="DengXian"/>
        </w:rPr>
        <w:t>hannel estimation error</w:t>
      </w:r>
      <w:r>
        <w:rPr>
          <w:rFonts w:eastAsia="DengXian"/>
        </w:rPr>
        <w:t xml:space="preserve"> range</w:t>
      </w:r>
      <w:r w:rsidRPr="00497234">
        <w:rPr>
          <w:rFonts w:eastAsia="DengXian"/>
        </w:rPr>
        <w:t>,</w:t>
      </w:r>
      <w:r>
        <w:rPr>
          <w:rFonts w:eastAsia="DengXian"/>
        </w:rPr>
        <w:t xml:space="preserve"> </w:t>
      </w:r>
      <w:r w:rsidRPr="00497234">
        <w:rPr>
          <w:lang w:val="en-GB"/>
        </w:rPr>
        <w:t>etc.</w:t>
      </w:r>
    </w:p>
    <w:p w14:paraId="604B45B4" w14:textId="0B8EE95A" w:rsidR="00E85E46" w:rsidRDefault="00E85E46" w:rsidP="00E85E46">
      <w:r>
        <w:t xml:space="preserve">Thus RAN1 should discuss for each of these groups firstly whether new signalling is needed, and second how to keep consistency between training and inference.  </w:t>
      </w:r>
    </w:p>
    <w:p w14:paraId="21CF7404" w14:textId="77777777" w:rsidR="00E85E46" w:rsidRDefault="00E85E46" w:rsidP="00091772"/>
    <w:p w14:paraId="6DE306C8" w14:textId="638FC50F" w:rsidR="00091772" w:rsidRPr="00B93280" w:rsidRDefault="0088532A" w:rsidP="00091772">
      <w:r>
        <w:t>For Group 3</w:t>
      </w:r>
      <w:r w:rsidR="00091772">
        <w:t xml:space="preserve">, Rel-18 study item evaluations show that </w:t>
      </w:r>
      <w:r w:rsidR="00E55EED">
        <w:t>such</w:t>
      </w:r>
      <w:r w:rsidR="00091772">
        <w:t xml:space="preserve"> </w:t>
      </w:r>
      <w:r w:rsidR="00091772" w:rsidRPr="005F0C39">
        <w:t xml:space="preserve">context information </w:t>
      </w:r>
      <w:r w:rsidR="00091772">
        <w:t xml:space="preserve">also affect the </w:t>
      </w:r>
      <w:r w:rsidR="00091772" w:rsidRPr="005F0C39">
        <w:t>validity of the trained model in the deployment scenario.</w:t>
      </w:r>
      <w:r w:rsidR="00091772">
        <w:t xml:space="preserve"> Thus such </w:t>
      </w:r>
      <w:r w:rsidR="00091772" w:rsidRPr="005F0C39">
        <w:t xml:space="preserve">context information about the </w:t>
      </w:r>
      <w:r w:rsidR="00091772">
        <w:t>training dataset also needs to be recorded as part of the metadata</w:t>
      </w:r>
      <w:r w:rsidR="00190C04">
        <w:t>, including</w:t>
      </w:r>
      <w:r w:rsidR="00091772">
        <w:t>:</w:t>
      </w:r>
    </w:p>
    <w:p w14:paraId="398818FF" w14:textId="77777777" w:rsidR="00091772" w:rsidRPr="00E215F0" w:rsidRDefault="00091772" w:rsidP="00091772">
      <w:pPr>
        <w:pStyle w:val="ListParagraph"/>
        <w:numPr>
          <w:ilvl w:val="4"/>
          <w:numId w:val="14"/>
        </w:numPr>
        <w:ind w:left="1080"/>
      </w:pPr>
      <w:r>
        <w:lastRenderedPageBreak/>
        <w:t>Range of SNR/SINR</w:t>
      </w:r>
    </w:p>
    <w:p w14:paraId="3533CF85" w14:textId="77777777" w:rsidR="00091772" w:rsidRPr="00E215F0" w:rsidRDefault="00091772" w:rsidP="00091772">
      <w:pPr>
        <w:pStyle w:val="ListParagraph"/>
        <w:numPr>
          <w:ilvl w:val="4"/>
          <w:numId w:val="14"/>
        </w:numPr>
        <w:ind w:left="1080"/>
      </w:pPr>
      <w:r>
        <w:rPr>
          <w:rFonts w:eastAsia="DengXian"/>
        </w:rPr>
        <w:t xml:space="preserve">Range of </w:t>
      </w:r>
      <w:r w:rsidRPr="00E215F0">
        <w:rPr>
          <w:rFonts w:eastAsia="DengXian"/>
        </w:rPr>
        <w:t>Channel estimation error</w:t>
      </w:r>
    </w:p>
    <w:p w14:paraId="1FACF5D6" w14:textId="77777777" w:rsidR="00091772" w:rsidRPr="00E215F0" w:rsidRDefault="00091772" w:rsidP="00091772">
      <w:pPr>
        <w:pStyle w:val="ListParagraph"/>
        <w:numPr>
          <w:ilvl w:val="4"/>
          <w:numId w:val="14"/>
        </w:numPr>
        <w:ind w:left="1080"/>
      </w:pPr>
      <w:r>
        <w:t xml:space="preserve">Range of NW synchronization error </w:t>
      </w:r>
    </w:p>
    <w:p w14:paraId="495FE863" w14:textId="77777777" w:rsidR="00091772" w:rsidRPr="00E215F0" w:rsidRDefault="00091772" w:rsidP="00091772">
      <w:pPr>
        <w:pStyle w:val="ListParagraph"/>
        <w:numPr>
          <w:ilvl w:val="4"/>
          <w:numId w:val="14"/>
        </w:numPr>
        <w:ind w:left="1080"/>
      </w:pPr>
      <w:r>
        <w:t xml:space="preserve">Range of </w:t>
      </w:r>
      <w:r w:rsidRPr="00E215F0">
        <w:t>UE/gNB RX and TX timing error</w:t>
      </w:r>
    </w:p>
    <w:p w14:paraId="7F62E90A" w14:textId="77777777" w:rsidR="00091772" w:rsidRPr="00E215F0" w:rsidRDefault="00091772" w:rsidP="00091772">
      <w:pPr>
        <w:pStyle w:val="ListParagraph"/>
        <w:numPr>
          <w:ilvl w:val="4"/>
          <w:numId w:val="14"/>
        </w:numPr>
        <w:ind w:left="1080"/>
      </w:pPr>
      <w:r>
        <w:t>…</w:t>
      </w:r>
    </w:p>
    <w:p w14:paraId="109324FD" w14:textId="77777777" w:rsidR="00091772" w:rsidRDefault="00091772" w:rsidP="00091772"/>
    <w:p w14:paraId="569534FE" w14:textId="0348C804" w:rsidR="00B7735A" w:rsidRDefault="00B7735A" w:rsidP="00091772">
      <w:pPr>
        <w:pStyle w:val="Proposal"/>
      </w:pPr>
      <w:bookmarkStart w:id="1536" w:name="_Toc178961936"/>
      <w:r>
        <w:t>The training dataset is attached with metadata which describes the context information on the set of collected training data samples.</w:t>
      </w:r>
      <w:bookmarkEnd w:id="1536"/>
    </w:p>
    <w:p w14:paraId="7B55A649" w14:textId="2AEDF2BD" w:rsidR="00B7735A" w:rsidRDefault="00B7735A" w:rsidP="00091772">
      <w:pPr>
        <w:pStyle w:val="Proposal"/>
      </w:pPr>
      <w:bookmarkStart w:id="1537" w:name="_Toc178961937"/>
      <w:r>
        <w:t xml:space="preserve">For training data collection of Part A, the metadata includes: Group 1 for assistance data, </w:t>
      </w:r>
      <w:r w:rsidRPr="00B7735A">
        <w:t>Group 2</w:t>
      </w:r>
      <w:r>
        <w:t xml:space="preserve"> for</w:t>
      </w:r>
      <w:r w:rsidRPr="00B7735A">
        <w:t xml:space="preserve"> signal measurement configuration</w:t>
      </w:r>
      <w:r>
        <w:t xml:space="preserve">, and </w:t>
      </w:r>
      <w:r w:rsidRPr="00B7735A">
        <w:t>Group 3</w:t>
      </w:r>
      <w:r>
        <w:t xml:space="preserve"> for</w:t>
      </w:r>
      <w:r w:rsidRPr="00B7735A">
        <w:t xml:space="preserve"> measurement environment condition and quality</w:t>
      </w:r>
      <w:r>
        <w:t>.</w:t>
      </w:r>
      <w:bookmarkEnd w:id="1537"/>
    </w:p>
    <w:p w14:paraId="77FEB73A" w14:textId="472E0562" w:rsidR="00091772" w:rsidRDefault="00091772" w:rsidP="00B7735A">
      <w:pPr>
        <w:pStyle w:val="Proposal"/>
        <w:spacing w:after="0"/>
      </w:pPr>
      <w:bookmarkStart w:id="1538" w:name="_Toc178961938"/>
      <w:r>
        <w:t xml:space="preserve">RAN1 to study </w:t>
      </w:r>
      <w:r w:rsidR="00B7735A">
        <w:t>the details of Group 3</w:t>
      </w:r>
      <w:r>
        <w:t xml:space="preserve"> metadata to attach to training dataset, including:</w:t>
      </w:r>
      <w:bookmarkEnd w:id="1538"/>
    </w:p>
    <w:p w14:paraId="01C82A8E" w14:textId="77777777" w:rsidR="00091772" w:rsidRPr="00E215F0" w:rsidRDefault="00091772" w:rsidP="00D35F36">
      <w:pPr>
        <w:pStyle w:val="Proposal"/>
        <w:numPr>
          <w:ilvl w:val="0"/>
          <w:numId w:val="76"/>
        </w:numPr>
        <w:tabs>
          <w:tab w:val="clear" w:pos="1304"/>
        </w:tabs>
        <w:spacing w:after="0"/>
        <w:ind w:left="1800" w:hanging="494"/>
      </w:pPr>
      <w:bookmarkStart w:id="1539" w:name="_Toc178961939"/>
      <w:r>
        <w:t>Range of SNR/SINR</w:t>
      </w:r>
      <w:bookmarkEnd w:id="1539"/>
    </w:p>
    <w:p w14:paraId="77152E13" w14:textId="77777777" w:rsidR="00091772" w:rsidRPr="00E215F0" w:rsidRDefault="00091772" w:rsidP="00D35F36">
      <w:pPr>
        <w:pStyle w:val="Proposal"/>
        <w:numPr>
          <w:ilvl w:val="0"/>
          <w:numId w:val="76"/>
        </w:numPr>
        <w:tabs>
          <w:tab w:val="clear" w:pos="1304"/>
        </w:tabs>
        <w:spacing w:after="0"/>
        <w:ind w:left="1800" w:hanging="494"/>
      </w:pPr>
      <w:bookmarkStart w:id="1540" w:name="_Toc178961940"/>
      <w:r>
        <w:t xml:space="preserve">Range of </w:t>
      </w:r>
      <w:r w:rsidRPr="00E215F0">
        <w:t>Channel estimation error</w:t>
      </w:r>
      <w:bookmarkEnd w:id="1540"/>
    </w:p>
    <w:p w14:paraId="02957A5B" w14:textId="77777777" w:rsidR="00091772" w:rsidRPr="00E215F0" w:rsidRDefault="00091772" w:rsidP="00D35F36">
      <w:pPr>
        <w:pStyle w:val="Proposal"/>
        <w:numPr>
          <w:ilvl w:val="0"/>
          <w:numId w:val="76"/>
        </w:numPr>
        <w:tabs>
          <w:tab w:val="clear" w:pos="1304"/>
        </w:tabs>
        <w:spacing w:after="0"/>
        <w:ind w:left="1800" w:hanging="494"/>
      </w:pPr>
      <w:bookmarkStart w:id="1541" w:name="_Toc178961941"/>
      <w:r>
        <w:t>Range of NW synchronization error</w:t>
      </w:r>
      <w:bookmarkEnd w:id="1541"/>
      <w:r>
        <w:t xml:space="preserve"> </w:t>
      </w:r>
    </w:p>
    <w:p w14:paraId="3B83AB3B" w14:textId="77777777" w:rsidR="00091772" w:rsidRPr="00E215F0" w:rsidRDefault="00091772" w:rsidP="00D35F36">
      <w:pPr>
        <w:pStyle w:val="Proposal"/>
        <w:numPr>
          <w:ilvl w:val="0"/>
          <w:numId w:val="76"/>
        </w:numPr>
        <w:tabs>
          <w:tab w:val="clear" w:pos="1304"/>
        </w:tabs>
        <w:spacing w:after="0"/>
        <w:ind w:left="1800" w:hanging="494"/>
      </w:pPr>
      <w:bookmarkStart w:id="1542" w:name="_Toc178961942"/>
      <w:r>
        <w:t xml:space="preserve">Range of </w:t>
      </w:r>
      <w:r w:rsidRPr="00E215F0">
        <w:t>UE/gNB RX and TX timing error</w:t>
      </w:r>
      <w:bookmarkEnd w:id="1542"/>
    </w:p>
    <w:p w14:paraId="454CDCCA" w14:textId="77777777" w:rsidR="00091772" w:rsidRDefault="00091772" w:rsidP="00091772"/>
    <w:p w14:paraId="30BF0082" w14:textId="02E40011" w:rsidR="00091772" w:rsidRDefault="00091772" w:rsidP="00091772">
      <w:r>
        <w:t xml:space="preserve">The metadata of the training dataset is not only necessary for keeping track of the context and versions of the training dataset, it also provides context information of model(s) trained with the given training dataset. During model deployment, the context information of the model is needed to ensure consistency between model training and model inference. Further details are provided in section </w:t>
      </w:r>
      <w:r>
        <w:fldChar w:fldCharType="begin"/>
      </w:r>
      <w:r>
        <w:instrText xml:space="preserve"> REF _Ref163214421 \r </w:instrText>
      </w:r>
      <w:r>
        <w:fldChar w:fldCharType="separate"/>
      </w:r>
      <w:r w:rsidR="00850DA1">
        <w:t>7.1</w:t>
      </w:r>
      <w:r>
        <w:fldChar w:fldCharType="end"/>
      </w:r>
      <w:r>
        <w:t xml:space="preserve"> and </w:t>
      </w:r>
      <w:r>
        <w:fldChar w:fldCharType="begin"/>
      </w:r>
      <w:r>
        <w:instrText xml:space="preserve"> REF _Ref163214427 \r </w:instrText>
      </w:r>
      <w:r>
        <w:fldChar w:fldCharType="separate"/>
      </w:r>
      <w:r w:rsidR="00850DA1">
        <w:t>7.2</w:t>
      </w:r>
      <w:r>
        <w:fldChar w:fldCharType="end"/>
      </w:r>
      <w:r>
        <w:t>.</w:t>
      </w:r>
    </w:p>
    <w:p w14:paraId="2A834DE0" w14:textId="77777777" w:rsidR="00091772" w:rsidRDefault="00091772" w:rsidP="00091772">
      <w:r>
        <w:t>Furthermore, the AI/ML solution needs to secure a training dataset of adequate quality as a whole.</w:t>
      </w:r>
    </w:p>
    <w:p w14:paraId="0A4F4B44" w14:textId="77777777" w:rsidR="00091772" w:rsidRPr="00194B5B" w:rsidRDefault="00091772" w:rsidP="00D35F36">
      <w:pPr>
        <w:pStyle w:val="ListParagraph"/>
        <w:numPr>
          <w:ilvl w:val="0"/>
          <w:numId w:val="39"/>
        </w:numPr>
      </w:pPr>
      <w:r w:rsidRPr="00194B5B">
        <w:t>Collect a sufficiently large size of training dataset.</w:t>
      </w:r>
    </w:p>
    <w:p w14:paraId="1F072EB8" w14:textId="77777777" w:rsidR="00091772" w:rsidRPr="00194B5B" w:rsidRDefault="00091772" w:rsidP="00D35F36">
      <w:pPr>
        <w:pStyle w:val="ListParagraph"/>
        <w:numPr>
          <w:ilvl w:val="0"/>
          <w:numId w:val="39"/>
        </w:numPr>
      </w:pPr>
      <w:r w:rsidRPr="00194B5B">
        <w:t>Collect data that fully reflect the UE distribution during operation, e.g., uniformly distributed over the entire floor.</w:t>
      </w:r>
    </w:p>
    <w:p w14:paraId="71981977" w14:textId="77777777" w:rsidR="00091772" w:rsidRPr="00194B5B" w:rsidRDefault="00091772" w:rsidP="00D35F36">
      <w:pPr>
        <w:pStyle w:val="ListParagraph"/>
        <w:numPr>
          <w:ilvl w:val="0"/>
          <w:numId w:val="39"/>
        </w:numPr>
      </w:pPr>
      <w:r w:rsidRPr="00194B5B">
        <w:t xml:space="preserve">Collect data from a variety of UEs to generalize over different UE implementations, including different UE vendors, different UE capabilities, different UE orientation, etc. </w:t>
      </w:r>
    </w:p>
    <w:p w14:paraId="7315D526" w14:textId="77777777" w:rsidR="00091772" w:rsidRDefault="00091772" w:rsidP="00091772">
      <w:r>
        <w:t xml:space="preserve">While the training data collection procedure needs to pay attention to the above issues, they are expected to be taken care of via engineering effort and not explicit in the standard specification. </w:t>
      </w:r>
    </w:p>
    <w:p w14:paraId="279F1ACD" w14:textId="366EFA6A" w:rsidR="00091772" w:rsidRDefault="00091772" w:rsidP="00091772">
      <w:pPr>
        <w:pStyle w:val="Observation"/>
      </w:pPr>
      <w:bookmarkStart w:id="1543" w:name="_Toc178961878"/>
      <w:r>
        <w:t>Collecting sufficient data in terms of training dataset size, UE distribution, diversity of UE sources, etc</w:t>
      </w:r>
      <w:r w:rsidR="008A3EFD">
        <w:t>,</w:t>
      </w:r>
      <w:r>
        <w:t xml:space="preserve"> is up to implementation.</w:t>
      </w:r>
      <w:bookmarkEnd w:id="1543"/>
      <w:r>
        <w:t xml:space="preserve"> </w:t>
      </w:r>
    </w:p>
    <w:p w14:paraId="072B7AE4" w14:textId="77777777" w:rsidR="00656267" w:rsidRPr="00FE58F3" w:rsidRDefault="00656267" w:rsidP="002A1C0D">
      <w:pPr>
        <w:rPr>
          <w:lang w:val="sv-SE"/>
        </w:rPr>
      </w:pPr>
    </w:p>
    <w:p w14:paraId="62671BE1" w14:textId="736BA96D" w:rsidR="006410AF" w:rsidRDefault="00AD0B68" w:rsidP="006410AF">
      <w:pPr>
        <w:pStyle w:val="Heading3"/>
      </w:pPr>
      <w:bookmarkStart w:id="1544" w:name="_Ref178955267"/>
      <w:bookmarkStart w:id="1545" w:name="_Toc178961680"/>
      <w:r>
        <w:t>Consistency between training and inference</w:t>
      </w:r>
      <w:bookmarkEnd w:id="1544"/>
      <w:bookmarkEnd w:id="1545"/>
    </w:p>
    <w:p w14:paraId="1B69364B" w14:textId="525918A3" w:rsidR="00803BFF" w:rsidRDefault="00020F7F" w:rsidP="00803BFF">
      <w:r>
        <w:t>Once the assistance data for data collection is established, the AI</w:t>
      </w:r>
      <w:r w:rsidR="00703205">
        <w:t>/</w:t>
      </w:r>
      <w:r>
        <w:t xml:space="preserve">ML positioning framework should also </w:t>
      </w:r>
      <w:r w:rsidR="00564F6D">
        <w:t xml:space="preserve">enable consistency between assistance data received during data collection and inference. </w:t>
      </w:r>
      <w:r w:rsidR="00803BFF">
        <w:t xml:space="preserve"> In our view, </w:t>
      </w:r>
      <w:r w:rsidR="00BA4306">
        <w:t xml:space="preserve">such consistency can be achieved </w:t>
      </w:r>
      <w:r w:rsidR="00A30886">
        <w:t xml:space="preserve">to a large degree </w:t>
      </w:r>
      <w:r w:rsidR="00BA4306">
        <w:t xml:space="preserve">using a validity area attached to the training data set.  </w:t>
      </w:r>
      <w:r w:rsidR="00803BFF">
        <w:t>During RAN1#117, it was discussed whether a training data set validity area should be explicitly attached to a training data set, i.e via a validity area ID, or if the training data set should contain information sufficient for a node receiving the training data set to determine the validity area of the model being trained</w:t>
      </w:r>
      <w:r w:rsidR="00515DBC">
        <w:t xml:space="preserve"> and leave the consistency check to implementation</w:t>
      </w:r>
      <w:r w:rsidR="00803BFF">
        <w:t xml:space="preserve">.  In our view, explicit definition of the model validity area is needed. </w:t>
      </w:r>
    </w:p>
    <w:p w14:paraId="2E54AF04" w14:textId="77777777" w:rsidR="00803BFF" w:rsidRDefault="00803BFF" w:rsidP="00803BFF">
      <w:r>
        <w:t>We see the need of validity area for the following reason:</w:t>
      </w:r>
    </w:p>
    <w:p w14:paraId="01CB0925" w14:textId="7BC45FDF" w:rsidR="00803BFF" w:rsidRDefault="00803BFF" w:rsidP="00803BFF">
      <w:pPr>
        <w:pStyle w:val="ListParagraph"/>
        <w:numPr>
          <w:ilvl w:val="0"/>
          <w:numId w:val="14"/>
        </w:numPr>
      </w:pPr>
      <w:r>
        <w:t xml:space="preserve">Consistency of assistance data between data collection and inference. In case 1 or 2a, the UE perform data collection with a given set of assistance data and train its model, then receive assistance data at the inference phase. The AD for inference must at least overlap with the AD used during data collection to train the model. The UE could of course get a set of AD and request what AD is missing via on-demand PRS request, but this is inefficient signalling, since it is possible for the LMF and the UE to handshake which AD is needed during inference thanks to an agreed upon validity area established during data collection, if a validity area ID is defined. </w:t>
      </w:r>
    </w:p>
    <w:p w14:paraId="652A7800" w14:textId="77777777" w:rsidR="00803BFF" w:rsidRDefault="00803BFF" w:rsidP="00803BFF">
      <w:pPr>
        <w:pStyle w:val="ListParagraph"/>
        <w:numPr>
          <w:ilvl w:val="0"/>
          <w:numId w:val="14"/>
        </w:numPr>
      </w:pPr>
      <w:r>
        <w:t xml:space="preserve">For the LMF, knowledge of the validity area of a model can also be used to decide whether the model is compatible with the AD it intends to send. For example, the network may have changed the PRS configuration </w:t>
      </w:r>
      <w:r>
        <w:lastRenderedPageBreak/>
        <w:t xml:space="preserve">between data collection and inference, making the UE untrained for the new deployment. From the overhead perspective, is more efficient for the network to know in advance if the AD is useful and thus know that starting the procedure for AI use cases is worth it, or if legacy positioning should be used instead. Hence knowledge of validity area is also valuable at the LMF side. </w:t>
      </w:r>
    </w:p>
    <w:p w14:paraId="294A949C" w14:textId="77777777" w:rsidR="00803BFF" w:rsidRDefault="00803BFF" w:rsidP="00803BFF">
      <w:r>
        <w:t xml:space="preserve">Hence, a training validity area ID associated with the UE’s model training dataset validity area can reduce the amount of overhead to align assistance data between training and inference. </w:t>
      </w:r>
    </w:p>
    <w:p w14:paraId="205A190F" w14:textId="4336B0BF" w:rsidR="0082114C" w:rsidRDefault="00CD58C6" w:rsidP="004079B7">
      <w:r>
        <w:t>The validity area is clearly an important component of the assistance data.</w:t>
      </w:r>
      <w:r w:rsidR="004079B7">
        <w:t xml:space="preserve"> Considering the model generality issues studied in Rel-18 SI, finger-printing based AI/ML methods are very sensitive to the deployment area. A model trained for one deployment area is unlikely to work for a different deployment area without any change. For the training data collection stage, it is necessary to define a training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004079B7">
        <w:t>. This describes the area that training dataset is collected</w:t>
      </w:r>
      <w:r w:rsidR="0082114C">
        <w:t>, and can be defined as:</w:t>
      </w:r>
    </w:p>
    <w:tbl>
      <w:tblPr>
        <w:tblStyle w:val="TableGrid"/>
        <w:tblW w:w="0" w:type="auto"/>
        <w:tblLook w:val="04A0" w:firstRow="1" w:lastRow="0" w:firstColumn="1" w:lastColumn="0" w:noHBand="0" w:noVBand="1"/>
      </w:tblPr>
      <w:tblGrid>
        <w:gridCol w:w="2425"/>
        <w:gridCol w:w="7537"/>
      </w:tblGrid>
      <w:tr w:rsidR="0082114C" w14:paraId="292A78C6" w14:textId="77777777" w:rsidTr="004E7006">
        <w:tc>
          <w:tcPr>
            <w:tcW w:w="2425" w:type="dxa"/>
          </w:tcPr>
          <w:p w14:paraId="21709566" w14:textId="5471D488" w:rsidR="0082114C" w:rsidRDefault="0082114C" w:rsidP="004079B7">
            <w:r>
              <w:t>Training dataset validity area</w:t>
            </w:r>
          </w:p>
        </w:tc>
        <w:tc>
          <w:tcPr>
            <w:tcW w:w="7537" w:type="dxa"/>
          </w:tcPr>
          <w:p w14:paraId="772031FC" w14:textId="1D229CA5" w:rsidR="0082114C" w:rsidRDefault="0082114C" w:rsidP="004079B7">
            <w:r>
              <w:rPr>
                <w:snapToGrid w:val="0"/>
              </w:rPr>
              <w:t>T</w:t>
            </w:r>
            <w:r w:rsidRPr="00C96D6C">
              <w:rPr>
                <w:snapToGrid w:val="0"/>
              </w:rPr>
              <w:t>he network area for which th</w:t>
            </w:r>
            <w:r>
              <w:rPr>
                <w:snapToGrid w:val="0"/>
              </w:rPr>
              <w:t>e training dataset</w:t>
            </w:r>
            <w:r w:rsidRPr="00C96D6C">
              <w:rPr>
                <w:snapToGrid w:val="0"/>
              </w:rPr>
              <w:t xml:space="preserve"> is valid.</w:t>
            </w:r>
          </w:p>
        </w:tc>
      </w:tr>
    </w:tbl>
    <w:p w14:paraId="6CA9A36F" w14:textId="77777777" w:rsidR="000009CE" w:rsidRDefault="000009CE" w:rsidP="004079B7"/>
    <w:p w14:paraId="3E84D7D5" w14:textId="71B85677" w:rsidR="004079B7" w:rsidRDefault="004079B7" w:rsidP="004079B7">
      <w:r>
        <w:t>Similar to the existing '</w:t>
      </w:r>
      <w:r w:rsidRPr="007C1B67">
        <w:t>AreaID-CellList</w:t>
      </w:r>
      <w:r>
        <w:t xml:space="preserve">', the validity area for AI/ML operation can be defined as a list of TRPs, where the TRPs transmits DL PRS and covers the surrounding area to support positioning. Checking the indication of the TRP ID in TS 37.355, it includes </w:t>
      </w:r>
      <w:r w:rsidRPr="007C1B67">
        <w:t>dl-PRS-ID-r16</w:t>
      </w:r>
      <w:r>
        <w:t xml:space="preserve"> in addition to the fields in </w:t>
      </w:r>
      <w:r w:rsidRPr="007C1B67">
        <w:t>NR-Cell-IDs-r17</w:t>
      </w:r>
      <w:r>
        <w:t>.</w:t>
      </w:r>
      <w:r w:rsidR="00EB38F6">
        <w:t xml:space="preserve"> </w:t>
      </w:r>
      <w:r>
        <w:t xml:space="preserve"> Nevertheless, this shows that an IE can be easily defined to provide area information using a list of TRP IDs. </w:t>
      </w:r>
      <w:r w:rsidR="005554F0">
        <w:t xml:space="preserve"> </w:t>
      </w:r>
    </w:p>
    <w:p w14:paraId="0958E398" w14:textId="77777777" w:rsidR="004079B7" w:rsidRDefault="004079B7" w:rsidP="004079B7">
      <w:r>
        <w:t>TS 37.355:</w:t>
      </w:r>
    </w:p>
    <w:tbl>
      <w:tblPr>
        <w:tblStyle w:val="TableGrid"/>
        <w:tblW w:w="0" w:type="auto"/>
        <w:tblLook w:val="04A0" w:firstRow="1" w:lastRow="0" w:firstColumn="1" w:lastColumn="0" w:noHBand="0" w:noVBand="1"/>
      </w:tblPr>
      <w:tblGrid>
        <w:gridCol w:w="9962"/>
      </w:tblGrid>
      <w:tr w:rsidR="004079B7" w14:paraId="140BFA38" w14:textId="77777777" w:rsidTr="00744722">
        <w:tc>
          <w:tcPr>
            <w:tcW w:w="9962" w:type="dxa"/>
          </w:tcPr>
          <w:p w14:paraId="321FF032" w14:textId="77777777" w:rsidR="004079B7" w:rsidRPr="00AC7BD9" w:rsidRDefault="004079B7" w:rsidP="00DA6EB4">
            <w:pPr>
              <w:spacing w:after="0"/>
              <w:rPr>
                <w:sz w:val="20"/>
                <w:szCs w:val="18"/>
              </w:rPr>
            </w:pPr>
            <w:r w:rsidRPr="00AC7BD9">
              <w:rPr>
                <w:sz w:val="20"/>
                <w:szCs w:val="20"/>
              </w:rPr>
              <w:t>–</w:t>
            </w:r>
            <w:r w:rsidRPr="00AC7BD9">
              <w:rPr>
                <w:sz w:val="20"/>
                <w:szCs w:val="20"/>
              </w:rPr>
              <w:tab/>
              <w:t>AreaID-CellList</w:t>
            </w:r>
          </w:p>
          <w:p w14:paraId="0E4E8DED" w14:textId="77777777" w:rsidR="004079B7" w:rsidRPr="00AC7BD9" w:rsidRDefault="004079B7" w:rsidP="00DA6EB4">
            <w:pPr>
              <w:keepLines/>
              <w:spacing w:after="0"/>
              <w:rPr>
                <w:sz w:val="18"/>
                <w:szCs w:val="18"/>
              </w:rPr>
            </w:pPr>
            <w:r w:rsidRPr="00AC7BD9">
              <w:rPr>
                <w:sz w:val="20"/>
                <w:szCs w:val="20"/>
              </w:rPr>
              <w:t xml:space="preserve">The IE </w:t>
            </w:r>
            <w:r w:rsidRPr="00AC7BD9">
              <w:rPr>
                <w:i/>
                <w:sz w:val="20"/>
                <w:szCs w:val="20"/>
              </w:rPr>
              <w:t>AreaID-CellList</w:t>
            </w:r>
            <w:r w:rsidRPr="00AC7BD9">
              <w:rPr>
                <w:sz w:val="20"/>
                <w:szCs w:val="20"/>
              </w:rPr>
              <w:t xml:space="preserve"> </w:t>
            </w:r>
            <w:r w:rsidRPr="00AC7BD9">
              <w:rPr>
                <w:snapToGrid w:val="0"/>
                <w:sz w:val="20"/>
                <w:szCs w:val="20"/>
              </w:rPr>
              <w:t>provides the NR Cell-IDs</w:t>
            </w:r>
            <w:r w:rsidRPr="00AC7BD9">
              <w:rPr>
                <w:sz w:val="20"/>
                <w:szCs w:val="20"/>
              </w:rPr>
              <w:t xml:space="preserve"> of the TRPs belonging to a particular network area where the associated assistance data are valid. Each cell is included in only one area.</w:t>
            </w:r>
          </w:p>
          <w:p w14:paraId="76A775D1"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 ASN1START</w:t>
            </w:r>
          </w:p>
          <w:p w14:paraId="115FC006"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21566BA4"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AreaID-CellList-r17 ::= SEQUENCE (SIZE(1..maxCellIDsPerArea-r17)) OF NR-Cell-IDs-r17</w:t>
            </w:r>
          </w:p>
          <w:p w14:paraId="0B6C34AB"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12D3F8A"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NR-Cell-IDs-r17 ::= SEQUENCE {</w:t>
            </w:r>
          </w:p>
          <w:p w14:paraId="4FEB6C8B"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0070C0"/>
                <w:sz w:val="16"/>
              </w:rPr>
            </w:pPr>
            <w:r w:rsidRPr="00CD59F9">
              <w:rPr>
                <w:rFonts w:ascii="Courier New" w:hAnsi="Courier New"/>
                <w:b/>
                <w:bCs/>
                <w:color w:val="0070C0"/>
                <w:sz w:val="16"/>
              </w:rPr>
              <w:tab/>
            </w:r>
            <w:r w:rsidRPr="00CD59F9">
              <w:rPr>
                <w:rFonts w:ascii="Courier New" w:hAnsi="Courier New"/>
                <w:b/>
                <w:bCs/>
                <w:snapToGrid w:val="0"/>
                <w:color w:val="0070C0"/>
                <w:sz w:val="16"/>
              </w:rPr>
              <w:t>nr-CellGlobalID-r17</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NCGI-r15</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OPTIONAL,</w:t>
            </w:r>
            <w:r w:rsidRPr="00CD59F9">
              <w:rPr>
                <w:rFonts w:ascii="Courier New" w:hAnsi="Courier New"/>
                <w:b/>
                <w:bCs/>
                <w:snapToGrid w:val="0"/>
                <w:color w:val="0070C0"/>
                <w:sz w:val="16"/>
              </w:rPr>
              <w:tab/>
              <w:t>-- Need ON</w:t>
            </w:r>
          </w:p>
          <w:p w14:paraId="15B0016A"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snapToGrid w:val="0"/>
                <w:color w:val="0070C0"/>
                <w:sz w:val="16"/>
              </w:rPr>
            </w:pPr>
            <w:r w:rsidRPr="00CD59F9">
              <w:rPr>
                <w:rFonts w:ascii="Courier New" w:hAnsi="Courier New"/>
                <w:b/>
                <w:bCs/>
                <w:snapToGrid w:val="0"/>
                <w:color w:val="0070C0"/>
                <w:sz w:val="16"/>
              </w:rPr>
              <w:tab/>
              <w:t>nr-PhysCellID-r17</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NR-PhysCellID-r16</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OPTIONAL,</w:t>
            </w:r>
            <w:r w:rsidRPr="00CD59F9">
              <w:rPr>
                <w:rFonts w:ascii="Courier New" w:hAnsi="Courier New"/>
                <w:b/>
                <w:bCs/>
                <w:snapToGrid w:val="0"/>
                <w:color w:val="0070C0"/>
                <w:sz w:val="16"/>
              </w:rPr>
              <w:tab/>
              <w:t>-- Need ON</w:t>
            </w:r>
          </w:p>
          <w:p w14:paraId="1C330F16"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0070C0"/>
                <w:sz w:val="16"/>
              </w:rPr>
            </w:pPr>
            <w:r w:rsidRPr="00CD59F9">
              <w:rPr>
                <w:rFonts w:ascii="Courier New" w:hAnsi="Courier New"/>
                <w:b/>
                <w:bCs/>
                <w:snapToGrid w:val="0"/>
                <w:color w:val="0070C0"/>
                <w:sz w:val="16"/>
              </w:rPr>
              <w:tab/>
            </w:r>
            <w:r w:rsidRPr="00CD59F9">
              <w:rPr>
                <w:rFonts w:ascii="Courier New" w:hAnsi="Courier New"/>
                <w:b/>
                <w:bCs/>
                <w:color w:val="0070C0"/>
                <w:sz w:val="16"/>
              </w:rPr>
              <w:t>nr-ARFCN</w:t>
            </w:r>
            <w:r w:rsidRPr="00CD59F9">
              <w:rPr>
                <w:rFonts w:ascii="Courier New" w:hAnsi="Courier New"/>
                <w:b/>
                <w:bCs/>
                <w:snapToGrid w:val="0"/>
                <w:color w:val="0070C0"/>
                <w:sz w:val="16"/>
              </w:rPr>
              <w:t>-r17</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ARFCN-ValueNR-r15</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OPTIONAL,</w:t>
            </w:r>
            <w:r w:rsidRPr="00CD59F9">
              <w:rPr>
                <w:rFonts w:ascii="Courier New" w:hAnsi="Courier New"/>
                <w:b/>
                <w:bCs/>
                <w:snapToGrid w:val="0"/>
                <w:color w:val="0070C0"/>
                <w:sz w:val="16"/>
              </w:rPr>
              <w:tab/>
              <w:t>-- Need ON</w:t>
            </w:r>
          </w:p>
          <w:p w14:paraId="6DD66EB8"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ab/>
              <w:t>...</w:t>
            </w:r>
          </w:p>
          <w:p w14:paraId="56627DBB"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w:t>
            </w:r>
          </w:p>
          <w:p w14:paraId="1B7E5690"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58CB8DCE" w14:textId="77777777" w:rsidR="004079B7" w:rsidRPr="007C1B67"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D59F9">
              <w:rPr>
                <w:rFonts w:ascii="Courier New" w:hAnsi="Courier New"/>
                <w:sz w:val="16"/>
              </w:rPr>
              <w:t>-- ASN1STOP</w:t>
            </w:r>
          </w:p>
        </w:tc>
      </w:tr>
    </w:tbl>
    <w:p w14:paraId="2A8AFCC7" w14:textId="77777777" w:rsidR="004079B7" w:rsidRDefault="004079B7" w:rsidP="004079B7"/>
    <w:tbl>
      <w:tblPr>
        <w:tblStyle w:val="TableGrid"/>
        <w:tblW w:w="0" w:type="auto"/>
        <w:tblLook w:val="04A0" w:firstRow="1" w:lastRow="0" w:firstColumn="1" w:lastColumn="0" w:noHBand="0" w:noVBand="1"/>
      </w:tblPr>
      <w:tblGrid>
        <w:gridCol w:w="9962"/>
      </w:tblGrid>
      <w:tr w:rsidR="004079B7" w14:paraId="5BFE7E86" w14:textId="77777777" w:rsidTr="00744722">
        <w:tc>
          <w:tcPr>
            <w:tcW w:w="9962" w:type="dxa"/>
          </w:tcPr>
          <w:p w14:paraId="31102E3E" w14:textId="77777777" w:rsidR="004079B7" w:rsidRPr="00194B5B" w:rsidRDefault="004079B7" w:rsidP="00744722">
            <w:pPr>
              <w:pStyle w:val="PL"/>
              <w:rPr>
                <w:szCs w:val="16"/>
                <w:lang w:val="en-US"/>
              </w:rPr>
            </w:pPr>
            <w:r w:rsidRPr="00194B5B">
              <w:rPr>
                <w:szCs w:val="16"/>
                <w:lang w:val="en-US"/>
              </w:rPr>
              <w:t>TRP-LocationInfoElement-r16 ::= SEQUENCE {</w:t>
            </w:r>
          </w:p>
          <w:p w14:paraId="54CAD318" w14:textId="77777777" w:rsidR="004079B7" w:rsidRPr="00194B5B" w:rsidRDefault="004079B7" w:rsidP="00744722">
            <w:pPr>
              <w:pStyle w:val="PL"/>
              <w:shd w:val="clear" w:color="auto" w:fill="FFFF00"/>
              <w:rPr>
                <w:b/>
                <w:snapToGrid w:val="0"/>
                <w:color w:val="FF0000"/>
                <w:szCs w:val="16"/>
                <w:lang w:val="en-US" w:eastAsia="ja-JP"/>
              </w:rPr>
            </w:pPr>
            <w:r w:rsidRPr="00194B5B">
              <w:rPr>
                <w:snapToGrid w:val="0"/>
                <w:szCs w:val="16"/>
                <w:lang w:val="en-US"/>
              </w:rPr>
              <w:tab/>
            </w:r>
            <w:r w:rsidRPr="00194B5B">
              <w:rPr>
                <w:b/>
                <w:snapToGrid w:val="0"/>
                <w:color w:val="FF0000"/>
                <w:szCs w:val="16"/>
                <w:lang w:val="en-US"/>
              </w:rPr>
              <w:t>dl-PRS-ID-r16</w:t>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t>INTEGER (0..255),</w:t>
            </w:r>
          </w:p>
          <w:p w14:paraId="04112001" w14:textId="77777777" w:rsidR="004079B7" w:rsidRPr="00194B5B" w:rsidRDefault="004079B7" w:rsidP="00744722">
            <w:pPr>
              <w:pStyle w:val="PL"/>
              <w:rPr>
                <w:b/>
                <w:color w:val="0070C0"/>
                <w:szCs w:val="16"/>
                <w:lang w:val="en-US"/>
              </w:rPr>
            </w:pP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20058980" w14:textId="77777777" w:rsidR="004079B7" w:rsidRPr="00194B5B" w:rsidRDefault="004079B7" w:rsidP="00744722">
            <w:pPr>
              <w:pStyle w:val="PL"/>
              <w:rPr>
                <w:b/>
                <w:color w:val="0070C0"/>
                <w:szCs w:val="16"/>
                <w:lang w:val="en-US"/>
              </w:rPr>
            </w:pPr>
            <w:r w:rsidRPr="00194B5B">
              <w:rPr>
                <w:b/>
                <w:color w:val="0070C0"/>
                <w:szCs w:val="16"/>
                <w:lang w:val="en-US"/>
              </w:rPr>
              <w:tab/>
              <w:t>nr-CellGlobalID-r16</w:t>
            </w:r>
            <w:r w:rsidRPr="00194B5B">
              <w:rPr>
                <w:b/>
                <w:color w:val="0070C0"/>
                <w:szCs w:val="16"/>
                <w:lang w:val="en-US"/>
              </w:rPr>
              <w:tab/>
            </w:r>
            <w:r w:rsidRPr="00194B5B">
              <w:rPr>
                <w:b/>
                <w:color w:val="0070C0"/>
                <w:szCs w:val="16"/>
                <w:lang w:val="en-US"/>
              </w:rPr>
              <w:tab/>
            </w:r>
            <w:r w:rsidRPr="00194B5B">
              <w:rPr>
                <w:b/>
                <w:color w:val="0070C0"/>
                <w:szCs w:val="16"/>
                <w:lang w:val="en-US"/>
              </w:rPr>
              <w:tab/>
              <w:t>NCGI-r15</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0F78C3C0" w14:textId="77777777" w:rsidR="004079B7" w:rsidRPr="00194B5B" w:rsidRDefault="004079B7" w:rsidP="00744722">
            <w:pPr>
              <w:pStyle w:val="PL"/>
              <w:rPr>
                <w:b/>
                <w:color w:val="0070C0"/>
                <w:szCs w:val="16"/>
                <w:lang w:val="en-US"/>
              </w:rPr>
            </w:pPr>
            <w:r w:rsidRPr="00194B5B">
              <w:rPr>
                <w:b/>
                <w:color w:val="0070C0"/>
                <w:szCs w:val="16"/>
                <w:lang w:val="en-US"/>
              </w:rPr>
              <w:tab/>
              <w:t>nr-ARFCN-r16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ARFCN-ValueNR-r15</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26FA64D5" w14:textId="77777777" w:rsidR="004079B7" w:rsidRPr="00194B5B" w:rsidRDefault="004079B7" w:rsidP="00744722">
            <w:pPr>
              <w:pStyle w:val="PL"/>
              <w:rPr>
                <w:szCs w:val="16"/>
                <w:lang w:val="en-US"/>
              </w:rPr>
            </w:pPr>
            <w:r w:rsidRPr="00194B5B">
              <w:rPr>
                <w:szCs w:val="16"/>
                <w:lang w:val="en-US"/>
              </w:rPr>
              <w:tab/>
              <w:t>associated-DL-PRS-ID-r16</w:t>
            </w:r>
            <w:r w:rsidRPr="00194B5B">
              <w:rPr>
                <w:szCs w:val="16"/>
                <w:lang w:val="en-US"/>
              </w:rPr>
              <w:tab/>
            </w:r>
            <w:r w:rsidRPr="00194B5B">
              <w:rPr>
                <w:szCs w:val="16"/>
                <w:lang w:val="en-US"/>
              </w:rPr>
              <w:tab/>
              <w:t>INTEGER (0..255)</w:t>
            </w:r>
            <w:r w:rsidRPr="00194B5B">
              <w:rPr>
                <w:szCs w:val="16"/>
                <w:lang w:val="en-US"/>
              </w:rPr>
              <w:tab/>
            </w:r>
            <w:r w:rsidRPr="00194B5B">
              <w:rPr>
                <w:szCs w:val="16"/>
                <w:lang w:val="en-US"/>
              </w:rPr>
              <w:tab/>
            </w:r>
            <w:r w:rsidRPr="00194B5B">
              <w:rPr>
                <w:szCs w:val="16"/>
                <w:lang w:val="en-US"/>
              </w:rPr>
              <w:tab/>
              <w:t>OPTIONAL,</w:t>
            </w:r>
            <w:r w:rsidRPr="00194B5B">
              <w:rPr>
                <w:szCs w:val="16"/>
                <w:lang w:val="en-US"/>
              </w:rPr>
              <w:tab/>
              <w:t>-- Need OP</w:t>
            </w:r>
          </w:p>
          <w:p w14:paraId="6EFB0F2D" w14:textId="77777777" w:rsidR="004079B7" w:rsidRPr="00194B5B" w:rsidRDefault="004079B7" w:rsidP="00744722">
            <w:pPr>
              <w:pStyle w:val="PL"/>
              <w:rPr>
                <w:snapToGrid w:val="0"/>
                <w:szCs w:val="16"/>
                <w:lang w:val="en-US"/>
              </w:rPr>
            </w:pPr>
            <w:r w:rsidRPr="00194B5B">
              <w:rPr>
                <w:szCs w:val="16"/>
                <w:lang w:val="en-US"/>
              </w:rPr>
              <w:tab/>
              <w:t>trp-Location-r16</w:t>
            </w:r>
            <w:r w:rsidRPr="00194B5B">
              <w:rPr>
                <w:szCs w:val="16"/>
                <w:lang w:val="en-US"/>
              </w:rPr>
              <w:tab/>
            </w:r>
            <w:r w:rsidRPr="00194B5B">
              <w:rPr>
                <w:szCs w:val="16"/>
                <w:lang w:val="en-US"/>
              </w:rPr>
              <w:tab/>
            </w:r>
            <w:r w:rsidRPr="00194B5B">
              <w:rPr>
                <w:szCs w:val="16"/>
                <w:lang w:val="en-US"/>
              </w:rPr>
              <w:tab/>
            </w:r>
            <w:r w:rsidRPr="00194B5B">
              <w:rPr>
                <w:szCs w:val="16"/>
                <w:lang w:val="en-US"/>
              </w:rPr>
              <w:tab/>
            </w:r>
            <w:r w:rsidRPr="00194B5B">
              <w:rPr>
                <w:snapToGrid w:val="0"/>
                <w:szCs w:val="16"/>
                <w:lang w:val="en-US"/>
              </w:rPr>
              <w:t>RelativeLocation-r16</w:t>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t>OPTIONAL,</w:t>
            </w:r>
            <w:r w:rsidRPr="00194B5B">
              <w:rPr>
                <w:snapToGrid w:val="0"/>
                <w:szCs w:val="16"/>
                <w:lang w:val="en-US"/>
              </w:rPr>
              <w:tab/>
              <w:t>-- Need OP</w:t>
            </w:r>
          </w:p>
          <w:p w14:paraId="30821C59" w14:textId="77777777" w:rsidR="004079B7" w:rsidRPr="00194B5B" w:rsidRDefault="004079B7" w:rsidP="00744722">
            <w:pPr>
              <w:pStyle w:val="PL"/>
              <w:rPr>
                <w:snapToGrid w:val="0"/>
                <w:szCs w:val="16"/>
                <w:lang w:val="en-US"/>
              </w:rPr>
            </w:pPr>
            <w:r w:rsidRPr="00194B5B">
              <w:rPr>
                <w:snapToGrid w:val="0"/>
                <w:szCs w:val="16"/>
                <w:lang w:val="en-US"/>
              </w:rPr>
              <w:t>…</w:t>
            </w:r>
          </w:p>
          <w:p w14:paraId="0A86447F" w14:textId="77777777" w:rsidR="004079B7" w:rsidRPr="00194B5B" w:rsidRDefault="004079B7" w:rsidP="00744722">
            <w:pPr>
              <w:pStyle w:val="PL"/>
              <w:rPr>
                <w:snapToGrid w:val="0"/>
                <w:sz w:val="14"/>
                <w:szCs w:val="18"/>
                <w:lang w:val="en-US"/>
              </w:rPr>
            </w:pPr>
            <w:r w:rsidRPr="00194B5B">
              <w:rPr>
                <w:snapToGrid w:val="0"/>
                <w:szCs w:val="16"/>
                <w:lang w:val="en-US"/>
              </w:rPr>
              <w:t>}</w:t>
            </w:r>
          </w:p>
        </w:tc>
      </w:tr>
    </w:tbl>
    <w:p w14:paraId="54116A04" w14:textId="77777777" w:rsidR="004079B7" w:rsidRDefault="004079B7" w:rsidP="004079B7"/>
    <w:p w14:paraId="6317779A" w14:textId="2F238669" w:rsidR="004079B7" w:rsidRDefault="004079B7" w:rsidP="004079B7">
      <w:r>
        <w:t xml:space="preserve">The training dataset validity </w:t>
      </w:r>
      <w:r w:rsidRPr="005C6195">
        <w:t>area can be recorded as</w:t>
      </w:r>
      <w:r>
        <w:t xml:space="preserve"> a part of the meta data for the training dataset, where the metadata describes the model training context. With the list of TRPs recorded as a part of the meta data for the training dataset, then the measurements collected for each data sample can be organized with the same hierarchy as for legacy assistance data, i.e. per TRP/frequency layers for the UE, and per TRP for the gNB assistance data.</w:t>
      </w:r>
    </w:p>
    <w:p w14:paraId="4538090D" w14:textId="77777777" w:rsidR="00EF1866" w:rsidRDefault="00EF1866" w:rsidP="004079B7"/>
    <w:p w14:paraId="63346EB9" w14:textId="28C24148" w:rsidR="004079B7" w:rsidRDefault="004079B7" w:rsidP="00C915FF">
      <w:pPr>
        <w:pStyle w:val="Proposal"/>
      </w:pPr>
      <w:bookmarkStart w:id="1546" w:name="_Toc178961943"/>
      <w:r>
        <w:t>The training dataset</w:t>
      </w:r>
      <w:r w:rsidR="00E012C1">
        <w:t xml:space="preserve"> </w:t>
      </w:r>
      <w:r>
        <w:t xml:space="preserve">validity area is recorded as a part of metadata of the training dataset. </w:t>
      </w:r>
      <w:r w:rsidR="00C915FF">
        <w:t>T</w:t>
      </w:r>
      <w:r w:rsidR="00486D7D">
        <w:t>he</w:t>
      </w:r>
      <w:r w:rsidR="00E012C1">
        <w:t xml:space="preserve"> </w:t>
      </w:r>
      <w:r>
        <w:t>validity area can be defined as a list of TRPs where data is collected.</w:t>
      </w:r>
      <w:bookmarkEnd w:id="1546"/>
    </w:p>
    <w:p w14:paraId="6D88A7C4" w14:textId="77777777" w:rsidR="004079B7" w:rsidRDefault="004079B7" w:rsidP="002938DE">
      <w:pPr>
        <w:pStyle w:val="Proposal"/>
      </w:pPr>
      <w:bookmarkStart w:id="1547" w:name="_Toc178961944"/>
      <w:r>
        <w:lastRenderedPageBreak/>
        <w:t>Training data provided to UE/gNB is organized with the same hierarchy as for legacy assistance data, i.e. per TRP/frequency layers for the UE, and per TRP for the gNB assistance data.</w:t>
      </w:r>
      <w:bookmarkEnd w:id="1547"/>
      <w:r>
        <w:t xml:space="preserve"> </w:t>
      </w:r>
    </w:p>
    <w:p w14:paraId="696B0D61" w14:textId="77777777" w:rsidR="000E0B61" w:rsidRDefault="000E0B61" w:rsidP="009854ED">
      <w:pPr>
        <w:rPr>
          <w:highlight w:val="yellow"/>
        </w:rPr>
      </w:pPr>
    </w:p>
    <w:p w14:paraId="0B61B5C2" w14:textId="585FF805" w:rsidR="000E0B61" w:rsidRPr="000E0B61" w:rsidRDefault="000E0B61" w:rsidP="009854ED">
      <w:r w:rsidRPr="000E0B61">
        <w:t>On signaling of validity area information f</w:t>
      </w:r>
      <w:r w:rsidR="00057A80" w:rsidRPr="000E0B61">
        <w:t xml:space="preserve">or </w:t>
      </w:r>
      <w:r w:rsidR="00C915FF">
        <w:t>C</w:t>
      </w:r>
      <w:r w:rsidR="00057A80" w:rsidRPr="000E0B61">
        <w:t xml:space="preserve">ase 1/2a, </w:t>
      </w:r>
      <w:r w:rsidRPr="000E0B61">
        <w:t>it can reuse the mechanism for providing assistance data</w:t>
      </w:r>
      <w:r w:rsidR="00C915FF">
        <w:t>, including the</w:t>
      </w:r>
      <w:r w:rsidRPr="000E0B61">
        <w:t xml:space="preserve"> validity area information</w:t>
      </w:r>
      <w:r w:rsidR="00C915FF">
        <w:t>. S</w:t>
      </w:r>
      <w:r w:rsidRPr="000E0B61">
        <w:t>ee the legacy signaling example below.</w:t>
      </w:r>
    </w:p>
    <w:p w14:paraId="0CBCDA3C" w14:textId="77777777" w:rsidR="00AA1D2C" w:rsidRPr="00C96D6C" w:rsidRDefault="00AA1D2C" w:rsidP="00AA1D2C">
      <w:pPr>
        <w:pStyle w:val="PL"/>
        <w:rPr>
          <w:snapToGrid w:val="0"/>
        </w:rPr>
      </w:pPr>
      <w:r w:rsidRPr="00C96D6C">
        <w:rPr>
          <w:snapToGrid w:val="0"/>
        </w:rPr>
        <w:t>NR-DL-TDOA-ProvideAssistanceData-r16 ::= SEQUENCE {</w:t>
      </w:r>
    </w:p>
    <w:p w14:paraId="440CDB1C" w14:textId="77777777" w:rsidR="00AA1D2C" w:rsidRPr="00C96D6C" w:rsidRDefault="00AA1D2C" w:rsidP="00AA1D2C">
      <w:pPr>
        <w:pStyle w:val="PL"/>
      </w:pPr>
      <w:r w:rsidRPr="00C96D6C">
        <w:tab/>
      </w:r>
      <w:r w:rsidRPr="00C915FF">
        <w:rPr>
          <w:color w:val="FF0000"/>
        </w:rPr>
        <w:t>nr-DL-PRS-AssistanceData</w:t>
      </w:r>
      <w:r w:rsidRPr="00C96D6C">
        <w:t>-r16</w:t>
      </w:r>
      <w:r w:rsidRPr="00C96D6C">
        <w:tab/>
      </w:r>
      <w:r w:rsidRPr="00C96D6C">
        <w:tab/>
        <w:t>NR-DL-PRS-AssistanceData-r16</w:t>
      </w:r>
      <w:r w:rsidRPr="00C96D6C">
        <w:tab/>
      </w:r>
      <w:r w:rsidRPr="00C96D6C">
        <w:tab/>
        <w:t>OPTIONAL,</w:t>
      </w:r>
      <w:r w:rsidRPr="00C96D6C">
        <w:tab/>
        <w:t>-- Need ON</w:t>
      </w:r>
    </w:p>
    <w:p w14:paraId="3C3E8B31" w14:textId="77777777" w:rsidR="00AA1D2C" w:rsidRPr="00C96D6C" w:rsidRDefault="00AA1D2C" w:rsidP="00AA1D2C">
      <w:pPr>
        <w:pStyle w:val="PL"/>
      </w:pPr>
      <w:r w:rsidRPr="00C96D6C">
        <w:tab/>
      </w:r>
      <w:r w:rsidRPr="00C915FF">
        <w:rPr>
          <w:color w:val="FF0000"/>
        </w:rPr>
        <w:t>nr-</w:t>
      </w:r>
      <w:r w:rsidRPr="00C915FF">
        <w:rPr>
          <w:snapToGrid w:val="0"/>
          <w:color w:val="FF0000"/>
          <w:lang w:eastAsia="zh-CN"/>
        </w:rPr>
        <w:t>Selected</w:t>
      </w:r>
      <w:r w:rsidRPr="00C915FF">
        <w:rPr>
          <w:color w:val="FF0000"/>
        </w:rPr>
        <w:t>DL-PRS-</w:t>
      </w:r>
      <w:r w:rsidRPr="00C915FF">
        <w:rPr>
          <w:snapToGrid w:val="0"/>
          <w:color w:val="FF0000"/>
          <w:lang w:eastAsia="zh-CN"/>
        </w:rPr>
        <w:t>IndexList</w:t>
      </w:r>
      <w:r w:rsidRPr="00C96D6C">
        <w:t>-r16</w:t>
      </w:r>
      <w:r w:rsidRPr="00C96D6C">
        <w:tab/>
      </w:r>
      <w:r w:rsidRPr="00C96D6C">
        <w:tab/>
        <w:t>NR-</w:t>
      </w:r>
      <w:r w:rsidRPr="00C96D6C">
        <w:rPr>
          <w:snapToGrid w:val="0"/>
          <w:lang w:eastAsia="zh-CN"/>
        </w:rPr>
        <w:t>Selected</w:t>
      </w:r>
      <w:r w:rsidRPr="00C96D6C">
        <w:t>DL-PRS-</w:t>
      </w:r>
      <w:r w:rsidRPr="00C96D6C">
        <w:rPr>
          <w:snapToGrid w:val="0"/>
          <w:lang w:eastAsia="zh-CN"/>
        </w:rPr>
        <w:t>IndexList</w:t>
      </w:r>
      <w:r w:rsidRPr="00C96D6C">
        <w:t>-r16</w:t>
      </w:r>
      <w:r w:rsidRPr="00C96D6C">
        <w:tab/>
      </w:r>
      <w:r w:rsidRPr="00C96D6C">
        <w:tab/>
        <w:t>OPTIONAL,</w:t>
      </w:r>
      <w:r w:rsidRPr="00C96D6C">
        <w:tab/>
        <w:t>-- Need ON</w:t>
      </w:r>
    </w:p>
    <w:p w14:paraId="466EB30A" w14:textId="77777777" w:rsidR="00AA1D2C" w:rsidRPr="00907C67" w:rsidRDefault="00AA1D2C" w:rsidP="00AA1D2C">
      <w:pPr>
        <w:pStyle w:val="PL"/>
        <w:rPr>
          <w:snapToGrid w:val="0"/>
          <w:lang w:val="fr-FR"/>
        </w:rPr>
      </w:pPr>
      <w:r w:rsidRPr="00C96D6C">
        <w:rPr>
          <w:snapToGrid w:val="0"/>
        </w:rPr>
        <w:tab/>
      </w:r>
      <w:r w:rsidRPr="00C915FF">
        <w:rPr>
          <w:snapToGrid w:val="0"/>
          <w:lang w:val="fr-FR"/>
        </w:rPr>
        <w:t>nr-PositionCalculationAssistance</w:t>
      </w:r>
      <w:r w:rsidRPr="00907C67">
        <w:rPr>
          <w:snapToGrid w:val="0"/>
          <w:lang w:val="fr-FR"/>
        </w:rPr>
        <w:t>-r16</w:t>
      </w:r>
    </w:p>
    <w:p w14:paraId="1FD7511D" w14:textId="77777777" w:rsidR="00AA1D2C" w:rsidRPr="00907C67" w:rsidRDefault="00AA1D2C" w:rsidP="00AA1D2C">
      <w:pPr>
        <w:pStyle w:val="PL"/>
        <w:rPr>
          <w:snapToGrid w:val="0"/>
          <w:lang w:val="fr-FR"/>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t>NR-PositionCalculationAssistance-r16</w:t>
      </w:r>
    </w:p>
    <w:p w14:paraId="224F8E25" w14:textId="77777777" w:rsidR="00AA1D2C" w:rsidRPr="00C96D6C" w:rsidRDefault="00AA1D2C" w:rsidP="00AA1D2C">
      <w:pPr>
        <w:pStyle w:val="PL"/>
        <w:rPr>
          <w:snapToGrid w:val="0"/>
        </w:rPr>
      </w:pP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907C67">
        <w:rPr>
          <w:snapToGrid w:val="0"/>
          <w:lang w:val="fr-FR"/>
        </w:rPr>
        <w:tab/>
      </w:r>
      <w:r w:rsidRPr="00C96D6C">
        <w:rPr>
          <w:snapToGrid w:val="0"/>
        </w:rPr>
        <w:t>OPTIONAL,</w:t>
      </w:r>
      <w:r w:rsidRPr="00C96D6C">
        <w:rPr>
          <w:snapToGrid w:val="0"/>
        </w:rPr>
        <w:tab/>
        <w:t>-- Cond UEB</w:t>
      </w:r>
    </w:p>
    <w:p w14:paraId="55808A73" w14:textId="348C818A" w:rsidR="00AA1D2C" w:rsidRPr="00C96D6C" w:rsidRDefault="00AA1D2C" w:rsidP="00AA1D2C">
      <w:pPr>
        <w:pStyle w:val="PL"/>
        <w:rPr>
          <w:snapToGrid w:val="0"/>
        </w:rPr>
      </w:pPr>
      <w:r>
        <w:rPr>
          <w:snapToGrid w:val="0"/>
        </w:rPr>
        <w:t>…</w:t>
      </w:r>
    </w:p>
    <w:p w14:paraId="3F4C30F3" w14:textId="77777777" w:rsidR="00AA1D2C" w:rsidRPr="00C96D6C" w:rsidRDefault="00AA1D2C" w:rsidP="00AA1D2C">
      <w:pPr>
        <w:pStyle w:val="PL"/>
        <w:rPr>
          <w:snapToGrid w:val="0"/>
        </w:rPr>
      </w:pPr>
      <w:r w:rsidRPr="00C96D6C">
        <w:rPr>
          <w:snapToGrid w:val="0"/>
        </w:rPr>
        <w:tab/>
      </w:r>
      <w:r w:rsidRPr="00C96D6C">
        <w:rPr>
          <w:snapToGrid w:val="0"/>
        </w:rPr>
        <w:tab/>
      </w:r>
      <w:r w:rsidRPr="000E0B61">
        <w:rPr>
          <w:color w:val="FF0000"/>
        </w:rPr>
        <w:t>assistanceDataValidityArea</w:t>
      </w:r>
      <w:r w:rsidRPr="00C96D6C">
        <w:t>-r17</w:t>
      </w:r>
      <w:r w:rsidRPr="00C96D6C">
        <w:tab/>
        <w:t>AreaID-CellList-r17</w:t>
      </w:r>
      <w:r w:rsidRPr="00C96D6C">
        <w:tab/>
      </w:r>
      <w:r w:rsidRPr="00C96D6C">
        <w:tab/>
      </w:r>
      <w:r w:rsidRPr="00C96D6C">
        <w:tab/>
      </w:r>
      <w:r w:rsidRPr="00C96D6C">
        <w:tab/>
      </w:r>
      <w:r w:rsidRPr="00C96D6C">
        <w:tab/>
        <w:t>OPTIONAL</w:t>
      </w:r>
      <w:r w:rsidRPr="00C96D6C">
        <w:tab/>
        <w:t>-- Need ON</w:t>
      </w:r>
    </w:p>
    <w:p w14:paraId="2F9A379B" w14:textId="77777777" w:rsidR="00AA1D2C" w:rsidRPr="00C96D6C" w:rsidRDefault="00AA1D2C" w:rsidP="00AA1D2C">
      <w:pPr>
        <w:pStyle w:val="PL"/>
        <w:rPr>
          <w:snapToGrid w:val="0"/>
        </w:rPr>
      </w:pPr>
      <w:r w:rsidRPr="00C96D6C">
        <w:rPr>
          <w:snapToGrid w:val="0"/>
        </w:rPr>
        <w:t>}</w:t>
      </w:r>
    </w:p>
    <w:p w14:paraId="01AAB3B5" w14:textId="77777777" w:rsidR="00AA1D2C" w:rsidRDefault="00AA1D2C" w:rsidP="009854E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A1D2C" w:rsidRPr="00C96D6C" w14:paraId="6283D684" w14:textId="77777777" w:rsidTr="00500110">
        <w:trPr>
          <w:cantSplit/>
        </w:trPr>
        <w:tc>
          <w:tcPr>
            <w:tcW w:w="9639" w:type="dxa"/>
          </w:tcPr>
          <w:p w14:paraId="3339DAF4" w14:textId="77777777" w:rsidR="00AA1D2C" w:rsidRPr="00C96D6C" w:rsidRDefault="00AA1D2C" w:rsidP="00AA1D2C">
            <w:pPr>
              <w:pStyle w:val="TAL"/>
              <w:keepNext w:val="0"/>
              <w:keepLines w:val="0"/>
              <w:widowControl w:val="0"/>
              <w:spacing w:after="0"/>
              <w:rPr>
                <w:b/>
                <w:bCs/>
                <w:i/>
                <w:iCs/>
                <w:snapToGrid w:val="0"/>
              </w:rPr>
            </w:pPr>
            <w:r w:rsidRPr="000E0B61">
              <w:rPr>
                <w:b/>
                <w:bCs/>
                <w:i/>
                <w:iCs/>
                <w:snapToGrid w:val="0"/>
                <w:color w:val="FF0000"/>
              </w:rPr>
              <w:t>assistanceDataValidityArea</w:t>
            </w:r>
          </w:p>
          <w:p w14:paraId="4D91840D" w14:textId="77777777" w:rsidR="00AA1D2C" w:rsidRPr="00C96D6C" w:rsidRDefault="00AA1D2C" w:rsidP="00AA1D2C">
            <w:pPr>
              <w:pStyle w:val="TAL"/>
              <w:keepNext w:val="0"/>
              <w:keepLines w:val="0"/>
              <w:widowControl w:val="0"/>
              <w:spacing w:after="0"/>
              <w:rPr>
                <w:b/>
                <w:i/>
                <w:snapToGrid w:val="0"/>
              </w:rPr>
            </w:pPr>
            <w:r w:rsidRPr="00C96D6C">
              <w:rPr>
                <w:snapToGrid w:val="0"/>
              </w:rPr>
              <w:t xml:space="preserve">This field specifies the network area for which this </w:t>
            </w:r>
            <w:r w:rsidRPr="00C96D6C">
              <w:rPr>
                <w:i/>
                <w:iCs/>
                <w:snapToGrid w:val="0"/>
              </w:rPr>
              <w:t>NR-DL-TDOA-ProvideAssistanceData</w:t>
            </w:r>
            <w:r w:rsidRPr="00C96D6C">
              <w:rPr>
                <w:snapToGrid w:val="0"/>
              </w:rPr>
              <w:t xml:space="preserve"> is valid.</w:t>
            </w:r>
          </w:p>
        </w:tc>
      </w:tr>
    </w:tbl>
    <w:p w14:paraId="01A38ECE" w14:textId="77777777" w:rsidR="00AA1D2C" w:rsidRDefault="00AA1D2C" w:rsidP="009854ED"/>
    <w:p w14:paraId="116CAF46" w14:textId="2A0903FE" w:rsidR="000E0B61" w:rsidRDefault="000E0B61" w:rsidP="009854ED">
      <w:r>
        <w:t xml:space="preserve">If the UE collects measurement data based on PRS from </w:t>
      </w:r>
      <w:r w:rsidR="00C915FF">
        <w:t>a</w:t>
      </w:r>
      <w:r>
        <w:t xml:space="preserve"> list of TRPs, then the UE record the </w:t>
      </w:r>
      <w:r w:rsidR="00C915FF">
        <w:t>associated TRP IDs as the validity area of the training data.</w:t>
      </w:r>
      <w:r>
        <w:t xml:space="preserve">  </w:t>
      </w:r>
      <w:r w:rsidR="00C915FF">
        <w:t xml:space="preserve">Assistance data on the PRS configuration, PRS index used in measurement, </w:t>
      </w:r>
      <w:r w:rsidR="00365A2B">
        <w:t>etc, are also recorded as metadata of training dataset as well.</w:t>
      </w:r>
    </w:p>
    <w:p w14:paraId="7205BBF7" w14:textId="10038278" w:rsidR="004079B7" w:rsidRDefault="004079B7" w:rsidP="002938DE">
      <w:pPr>
        <w:pStyle w:val="Proposal"/>
      </w:pPr>
      <w:bookmarkStart w:id="1548" w:name="_Toc178961945"/>
      <w:r>
        <w:t xml:space="preserve">Support </w:t>
      </w:r>
      <w:r w:rsidR="00CA50C8">
        <w:t xml:space="preserve">the LMF to provide </w:t>
      </w:r>
      <w:r>
        <w:t xml:space="preserve">a </w:t>
      </w:r>
      <w:r w:rsidR="00B96DF0">
        <w:t>PRS assistance data</w:t>
      </w:r>
      <w:r w:rsidR="00C915FF">
        <w:t>, including</w:t>
      </w:r>
      <w:r w:rsidR="00B96DF0">
        <w:t xml:space="preserve"> </w:t>
      </w:r>
      <w:r w:rsidR="00FE2ED2">
        <w:t xml:space="preserve">PRS configuration and </w:t>
      </w:r>
      <w:r>
        <w:t>validity area</w:t>
      </w:r>
      <w:r w:rsidR="00C915FF">
        <w:t>,</w:t>
      </w:r>
      <w:r w:rsidR="000E0B61">
        <w:t xml:space="preserve"> for </w:t>
      </w:r>
      <w:r w:rsidR="00C915FF">
        <w:t xml:space="preserve">metadata of </w:t>
      </w:r>
      <w:r w:rsidR="000E0B61">
        <w:t xml:space="preserve">UE-side </w:t>
      </w:r>
      <w:r>
        <w:t>training data</w:t>
      </w:r>
      <w:r w:rsidR="000E0B61">
        <w:t xml:space="preserve"> collection</w:t>
      </w:r>
      <w:r>
        <w:t>.</w:t>
      </w:r>
      <w:bookmarkEnd w:id="1548"/>
    </w:p>
    <w:p w14:paraId="7FB47DEF" w14:textId="77777777" w:rsidR="009B04B3" w:rsidRDefault="009B04B3" w:rsidP="00BC0F03"/>
    <w:p w14:paraId="6747610E" w14:textId="4BCE7E30" w:rsidR="008C4A8F" w:rsidRDefault="004124FC" w:rsidP="00BC0F03">
      <w:r>
        <w:t>Furthermore, while t</w:t>
      </w:r>
      <w:r w:rsidR="008C4A8F">
        <w:t>he validity area and the RS assistance data are very similar to the assistance data for legacy positioning methods</w:t>
      </w:r>
      <w:r>
        <w:t>, a</w:t>
      </w:r>
      <w:r w:rsidR="008C4A8F">
        <w:t xml:space="preserve"> new assistance data need</w:t>
      </w:r>
      <w:r>
        <w:t>s</w:t>
      </w:r>
      <w:r w:rsidR="008C4A8F">
        <w:t xml:space="preserve"> </w:t>
      </w:r>
      <w:r>
        <w:t>to be introduced for associated ID. F</w:t>
      </w:r>
      <w:r w:rsidR="008C4A8F">
        <w:t xml:space="preserve">or AI/ML </w:t>
      </w:r>
      <w:r>
        <w:t>based positioning,</w:t>
      </w:r>
      <w:r w:rsidR="008C4A8F">
        <w:t xml:space="preserve"> the associated ID</w:t>
      </w:r>
      <w:r>
        <w:t xml:space="preserve"> </w:t>
      </w:r>
      <w:r w:rsidR="008C4A8F">
        <w:t>indicates the additional network conditions, and provides information on the consistency between training data collection and model inference</w:t>
      </w:r>
      <w:r>
        <w:t xml:space="preserve">, see related discussion in section </w:t>
      </w:r>
      <w:r w:rsidR="00500110">
        <w:fldChar w:fldCharType="begin"/>
      </w:r>
      <w:r w:rsidR="00500110">
        <w:instrText xml:space="preserve"> REF _Ref178770342 \r </w:instrText>
      </w:r>
      <w:r w:rsidR="00500110">
        <w:fldChar w:fldCharType="separate"/>
      </w:r>
      <w:r w:rsidR="00850DA1">
        <w:t>7.3</w:t>
      </w:r>
      <w:r w:rsidR="00500110">
        <w:fldChar w:fldCharType="end"/>
      </w:r>
      <w:r w:rsidR="008C4A8F">
        <w:t>.</w:t>
      </w:r>
    </w:p>
    <w:p w14:paraId="3C4C1B45" w14:textId="5817D39F" w:rsidR="002A7FE6" w:rsidRDefault="00BC0F03" w:rsidP="00620951">
      <w:r>
        <w:t>In summary</w:t>
      </w:r>
      <w:r w:rsidR="002A7FE6">
        <w:t xml:space="preserve">, for Case 1/2a, the assistance data </w:t>
      </w:r>
      <w:r w:rsidR="008C4A8F">
        <w:t xml:space="preserve">for training data collection </w:t>
      </w:r>
      <w:r w:rsidR="002A7FE6">
        <w:t>includes:</w:t>
      </w:r>
    </w:p>
    <w:p w14:paraId="490AF079" w14:textId="563F4983" w:rsidR="008C4A8F" w:rsidRDefault="00CA4CD8" w:rsidP="00620951">
      <w:pPr>
        <w:pStyle w:val="ListParagraph"/>
        <w:numPr>
          <w:ilvl w:val="1"/>
          <w:numId w:val="2"/>
        </w:numPr>
        <w:ind w:left="630"/>
      </w:pPr>
      <w:r>
        <w:t>T</w:t>
      </w:r>
      <w:r w:rsidR="008C4A8F">
        <w:t>raining dataset validity area,</w:t>
      </w:r>
    </w:p>
    <w:p w14:paraId="680B73CC" w14:textId="7F65311C" w:rsidR="002A7FE6" w:rsidRDefault="002A7FE6" w:rsidP="00620951">
      <w:pPr>
        <w:pStyle w:val="ListParagraph"/>
        <w:numPr>
          <w:ilvl w:val="1"/>
          <w:numId w:val="2"/>
        </w:numPr>
        <w:ind w:left="630"/>
      </w:pPr>
      <w:r w:rsidRPr="4EAD9CE0">
        <w:t xml:space="preserve">PRS assistance data, as in the existing IE </w:t>
      </w:r>
      <w:r w:rsidRPr="4EAD9CE0">
        <w:rPr>
          <w:i/>
          <w:iCs/>
        </w:rPr>
        <w:t>NR-DL-PRS-AssistanceData</w:t>
      </w:r>
      <w:r w:rsidRPr="4EAD9CE0">
        <w:t>;</w:t>
      </w:r>
    </w:p>
    <w:p w14:paraId="50878DCF" w14:textId="54F40406" w:rsidR="002A7FE6" w:rsidRDefault="002A7FE6" w:rsidP="00620951">
      <w:pPr>
        <w:pStyle w:val="ListParagraph"/>
        <w:numPr>
          <w:ilvl w:val="1"/>
          <w:numId w:val="2"/>
        </w:numPr>
        <w:ind w:left="630"/>
      </w:pPr>
      <w:r w:rsidRPr="4EAD9CE0">
        <w:t xml:space="preserve">Associated ID to indicate the additional network conditions. </w:t>
      </w:r>
      <w:r w:rsidR="007E7C7B" w:rsidRPr="4EAD9CE0">
        <w:t>The additional network conditions are those that are not explicitly signaled but may affect the consistency between training data collection and model inference.</w:t>
      </w:r>
      <w:r w:rsidR="00E457BC">
        <w:t xml:space="preserve"> Details of associated ID are discussed further in section 7.1. </w:t>
      </w:r>
    </w:p>
    <w:p w14:paraId="01F98033" w14:textId="77777777" w:rsidR="002A7FE6" w:rsidRDefault="002A7FE6" w:rsidP="00F22A2D"/>
    <w:p w14:paraId="6E342B9F" w14:textId="2521AC61" w:rsidR="00485AC3" w:rsidRDefault="0048027C" w:rsidP="006E2BA1">
      <w:pPr>
        <w:pStyle w:val="Proposal"/>
      </w:pPr>
      <w:bookmarkStart w:id="1549" w:name="_Toc178961946"/>
      <w:r>
        <w:t>For Part A training data collection of Case 1</w:t>
      </w:r>
      <w:r w:rsidR="00626EF5">
        <w:t>/2a</w:t>
      </w:r>
      <w:r>
        <w:t xml:space="preserve">, the assistance data include: </w:t>
      </w:r>
      <w:r w:rsidR="00B96DF0">
        <w:t xml:space="preserve">PRS assistance data </w:t>
      </w:r>
      <w:r>
        <w:t xml:space="preserve">validity area, PRS assistance data (as in the existing IE </w:t>
      </w:r>
      <w:r w:rsidRPr="00C96D6C">
        <w:rPr>
          <w:i/>
        </w:rPr>
        <w:t>NR-DL-PRS-AssistanceData</w:t>
      </w:r>
      <w:r>
        <w:t xml:space="preserve">), and associated ID for additional network conditions. </w:t>
      </w:r>
      <w:r w:rsidR="00BD0AFF">
        <w:t>Corresponding assistance data is sent during model inference as well.</w:t>
      </w:r>
      <w:bookmarkEnd w:id="1549"/>
    </w:p>
    <w:p w14:paraId="1014EB77" w14:textId="77777777" w:rsidR="00626EF5" w:rsidRDefault="00626EF5" w:rsidP="00626EF5">
      <w:pPr>
        <w:pStyle w:val="Proposal"/>
      </w:pPr>
      <w:bookmarkStart w:id="1550" w:name="_Toc178961947"/>
      <w:r>
        <w:t>The assistance data required for PRS/SRS reception is the same across all use cases for both direct and AI/ML assisted positioning.</w:t>
      </w:r>
      <w:bookmarkEnd w:id="1550"/>
      <w:r>
        <w:t xml:space="preserve"> </w:t>
      </w:r>
    </w:p>
    <w:p w14:paraId="4F0C41E1" w14:textId="2D84076D" w:rsidR="00053CE1" w:rsidRPr="002D7D8F" w:rsidRDefault="00053CE1" w:rsidP="00053CE1">
      <w:pPr>
        <w:pStyle w:val="Heading1"/>
        <w:rPr>
          <w:lang w:val="en-US"/>
        </w:rPr>
      </w:pPr>
      <w:bookmarkStart w:id="1551" w:name="_Ref178767633"/>
      <w:bookmarkStart w:id="1552" w:name="_Toc178961681"/>
      <w:r w:rsidRPr="00E215F0">
        <w:rPr>
          <w:lang w:val="en-US"/>
        </w:rPr>
        <w:t xml:space="preserve">Model </w:t>
      </w:r>
      <w:r w:rsidRPr="002D7D8F">
        <w:rPr>
          <w:lang w:val="en-US"/>
        </w:rPr>
        <w:t>performance monitoring</w:t>
      </w:r>
      <w:bookmarkEnd w:id="1528"/>
      <w:bookmarkEnd w:id="1551"/>
      <w:bookmarkEnd w:id="1552"/>
    </w:p>
    <w:p w14:paraId="4766E443" w14:textId="11DB400D" w:rsidR="00E04797" w:rsidRDefault="00E04797" w:rsidP="00053CE1">
      <w:pPr>
        <w:pStyle w:val="Heading2"/>
      </w:pPr>
      <w:bookmarkStart w:id="1553" w:name="_Ref178953317"/>
      <w:bookmarkStart w:id="1554" w:name="_Toc178961682"/>
      <w:r>
        <w:rPr>
          <w:lang w:val="en-US"/>
        </w:rPr>
        <w:t>Principles for m</w:t>
      </w:r>
      <w:r w:rsidRPr="000F4A0B">
        <w:rPr>
          <w:lang w:val="en-US"/>
        </w:rPr>
        <w:t>odel performance monitoring</w:t>
      </w:r>
      <w:bookmarkEnd w:id="1553"/>
      <w:bookmarkEnd w:id="1554"/>
    </w:p>
    <w:p w14:paraId="7900BEB0" w14:textId="02F335E3" w:rsidR="00AA466C" w:rsidRDefault="00053CE1" w:rsidP="00053CE1">
      <w:r w:rsidRPr="00E215F0">
        <w:t>For AI/ML based positioning, model performance monitoring was studied in Rel-18 study item phase. Both label-based methods and label-free methods were explored.</w:t>
      </w:r>
      <w:r>
        <w:t xml:space="preserve"> </w:t>
      </w:r>
      <w:r w:rsidRPr="00E215F0">
        <w:t xml:space="preserve">If </w:t>
      </w:r>
      <w:r w:rsidR="001D3DFA">
        <w:t xml:space="preserve">true </w:t>
      </w:r>
      <w:r w:rsidRPr="00E215F0">
        <w:t xml:space="preserve">ground truth label can be found, it is preferred to use label-based </w:t>
      </w:r>
      <w:r w:rsidRPr="00E215F0">
        <w:lastRenderedPageBreak/>
        <w:t xml:space="preserve">method and monitor the accuracy of model output directly. </w:t>
      </w:r>
      <w:r w:rsidR="001D5785">
        <w:t>However, f</w:t>
      </w:r>
      <w:r w:rsidRPr="00E215F0">
        <w:t>or real life deployment, the problem is, ground truth label</w:t>
      </w:r>
      <w:r>
        <w:t xml:space="preserve"> or its estimation</w:t>
      </w:r>
      <w:r w:rsidRPr="00E215F0">
        <w:t xml:space="preserve"> is rarely available during model deployment. </w:t>
      </w:r>
    </w:p>
    <w:p w14:paraId="7525A329" w14:textId="36FC9A83" w:rsidR="006A103B" w:rsidRDefault="006A103B" w:rsidP="00053CE1">
      <w:r>
        <w:t>For label-free model performance monitoring, as discussed in Rel-18 SI, the monitoring metrics can be various formats depending on the method:</w:t>
      </w:r>
    </w:p>
    <w:p w14:paraId="69388B34" w14:textId="77777777" w:rsidR="006A103B" w:rsidRDefault="006A103B" w:rsidP="00D35F36">
      <w:pPr>
        <w:pStyle w:val="ListParagraph"/>
        <w:numPr>
          <w:ilvl w:val="0"/>
          <w:numId w:val="39"/>
        </w:numPr>
      </w:pPr>
      <w:r w:rsidRPr="006A103B">
        <w:t xml:space="preserve">statistics of measurement(s) compared to the statistics associated with the training data, </w:t>
      </w:r>
    </w:p>
    <w:p w14:paraId="1C8E59A9" w14:textId="3661D099" w:rsidR="006A103B" w:rsidRDefault="006A103B" w:rsidP="00D35F36">
      <w:pPr>
        <w:pStyle w:val="ListParagraph"/>
        <w:numPr>
          <w:ilvl w:val="0"/>
          <w:numId w:val="39"/>
        </w:numPr>
      </w:pPr>
      <w:r w:rsidRPr="006A103B">
        <w:t>statistics associated with the model output</w:t>
      </w:r>
      <w:r>
        <w:t>,</w:t>
      </w:r>
    </w:p>
    <w:p w14:paraId="5A9FCAF8" w14:textId="77777777" w:rsidR="006A103B" w:rsidRDefault="006A103B" w:rsidP="00D35F36">
      <w:pPr>
        <w:pStyle w:val="ListParagraph"/>
        <w:numPr>
          <w:ilvl w:val="0"/>
          <w:numId w:val="39"/>
        </w:numPr>
      </w:pPr>
      <w:r w:rsidRPr="006A103B">
        <w:t xml:space="preserve">relative displacement, </w:t>
      </w:r>
    </w:p>
    <w:p w14:paraId="56EFA28D" w14:textId="583989CF" w:rsidR="006A103B" w:rsidRDefault="006A103B" w:rsidP="00D35F36">
      <w:pPr>
        <w:pStyle w:val="ListParagraph"/>
        <w:numPr>
          <w:ilvl w:val="0"/>
          <w:numId w:val="39"/>
        </w:numPr>
      </w:pPr>
      <w:r w:rsidRPr="006A103B">
        <w:t>inference output inconsistency</w:t>
      </w:r>
      <w:r w:rsidR="00335E26">
        <w:t xml:space="preserve"> (e.g., approach 3 in section </w:t>
      </w:r>
      <w:r w:rsidR="00500110">
        <w:fldChar w:fldCharType="begin"/>
      </w:r>
      <w:r w:rsidR="00500110">
        <w:instrText xml:space="preserve"> REF _Ref166232203 \r </w:instrText>
      </w:r>
      <w:r w:rsidR="00500110">
        <w:fldChar w:fldCharType="separate"/>
      </w:r>
      <w:r w:rsidR="00850DA1">
        <w:t>11.1.3</w:t>
      </w:r>
      <w:r w:rsidR="00500110">
        <w:fldChar w:fldCharType="end"/>
      </w:r>
      <w:r w:rsidR="00335E26">
        <w:t>)</w:t>
      </w:r>
      <w:r>
        <w:t>,</w:t>
      </w:r>
    </w:p>
    <w:p w14:paraId="0BE44254" w14:textId="750769E7" w:rsidR="006A103B" w:rsidRDefault="006A103B" w:rsidP="00D35F36">
      <w:pPr>
        <w:pStyle w:val="ListParagraph"/>
        <w:numPr>
          <w:ilvl w:val="0"/>
          <w:numId w:val="39"/>
        </w:numPr>
      </w:pPr>
      <w:r>
        <w:t>…</w:t>
      </w:r>
    </w:p>
    <w:p w14:paraId="292E8781" w14:textId="5CAB7D54" w:rsidR="00AE38BC" w:rsidRDefault="006A103B" w:rsidP="00053CE1">
      <w:r>
        <w:t xml:space="preserve">There is no effort to acquire ground truth label or its approximation or substitution. The calculation of monitoring metric is up to implementation. It is not feasible to align the monitoring metric among the different monitoring methods, or </w:t>
      </w:r>
      <w:r w:rsidR="00F15E8E">
        <w:t>align</w:t>
      </w:r>
      <w:r>
        <w:t xml:space="preserve"> on a threshold for decision making at the end of model monitoring. Hence the entire m</w:t>
      </w:r>
      <w:r w:rsidRPr="00E215F0">
        <w:t>odel performance monitoring</w:t>
      </w:r>
      <w:r>
        <w:t xml:space="preserve"> procedure is self-contained within the model inference entity, i.e., no need to receive assistance data on ground truth label; no need to send monitoring metric to another entity; no need to </w:t>
      </w:r>
      <w:r w:rsidR="00F15E8E">
        <w:t xml:space="preserve">receive thresholds or criteria for decision making. The only potential specification impact is to notify other entities of the model monitoring decision, if necessary. </w:t>
      </w:r>
    </w:p>
    <w:p w14:paraId="1E685820" w14:textId="2B9416E9" w:rsidR="00F15E8E" w:rsidRDefault="00F15E8E" w:rsidP="002938DE">
      <w:pPr>
        <w:pStyle w:val="Observation"/>
      </w:pPr>
      <w:bookmarkStart w:id="1555" w:name="_Toc178961879"/>
      <w:r>
        <w:t>Label-free model performance monitoring is up to implementation of model inference entity. The only potential specification impact is to notify other entities of the model monitoring decision, if necessary.</w:t>
      </w:r>
      <w:bookmarkEnd w:id="1555"/>
    </w:p>
    <w:p w14:paraId="05A6017B" w14:textId="77777777" w:rsidR="006A103B" w:rsidRDefault="006A103B" w:rsidP="00053CE1"/>
    <w:p w14:paraId="357B40A7" w14:textId="0B6009D5" w:rsidR="00F125CA" w:rsidRDefault="00F125CA" w:rsidP="00053CE1">
      <w:r>
        <w:t>For label-based model performance monitoring, as discussed in Rel-18 SI, the monitoring metric is:</w:t>
      </w:r>
    </w:p>
    <w:p w14:paraId="4E90011B" w14:textId="756A7520" w:rsidR="00F125CA" w:rsidRPr="00397642" w:rsidRDefault="00F125CA" w:rsidP="00D35F36">
      <w:pPr>
        <w:pStyle w:val="ListParagraph"/>
        <w:numPr>
          <w:ilvl w:val="0"/>
          <w:numId w:val="39"/>
        </w:numPr>
      </w:pPr>
      <w:r w:rsidRPr="00F125CA">
        <w:t>statistics of the difference between model output and provided ground truth label</w:t>
      </w:r>
      <w:r>
        <w:t xml:space="preserve"> (or its approximation/substitution).</w:t>
      </w:r>
    </w:p>
    <w:p w14:paraId="0B0EF9DA" w14:textId="77777777" w:rsidR="00335E26" w:rsidRDefault="00335E26" w:rsidP="00F125CA">
      <w:r>
        <w:t xml:space="preserve">Thus there is a need to provide </w:t>
      </w:r>
      <w:r w:rsidRPr="00F125CA">
        <w:t>ground truth label</w:t>
      </w:r>
      <w:r>
        <w:t xml:space="preserve"> (or its approximation/substitution). </w:t>
      </w:r>
    </w:p>
    <w:p w14:paraId="20FD6A8A" w14:textId="74279CC4" w:rsidR="00F125CA" w:rsidRDefault="00335E26" w:rsidP="00D35F36">
      <w:pPr>
        <w:pStyle w:val="ListParagraph"/>
        <w:numPr>
          <w:ilvl w:val="0"/>
          <w:numId w:val="39"/>
        </w:numPr>
      </w:pPr>
      <w:r>
        <w:t xml:space="preserve">If certain information on the </w:t>
      </w:r>
      <w:r w:rsidRPr="00F125CA">
        <w:t>ground truth label</w:t>
      </w:r>
      <w:r>
        <w:t xml:space="preserve"> can be generated by the model inference entity (e.g., a variant of approach 1 of section </w:t>
      </w:r>
      <w:r>
        <w:fldChar w:fldCharType="begin"/>
      </w:r>
      <w:r>
        <w:instrText>REF _Ref166232055 \r</w:instrText>
      </w:r>
      <w:r>
        <w:fldChar w:fldCharType="separate"/>
      </w:r>
      <w:r w:rsidR="00850DA1">
        <w:t>11.1.1</w:t>
      </w:r>
      <w:r>
        <w:fldChar w:fldCharType="end"/>
      </w:r>
      <w:r>
        <w:t xml:space="preserve">), then such label-based model performance monitoring is also self-contained and up to implementation of model inference entity. </w:t>
      </w:r>
    </w:p>
    <w:p w14:paraId="1D9D1E5C" w14:textId="43510283" w:rsidR="00335E26" w:rsidRPr="00397642" w:rsidRDefault="00335E26" w:rsidP="00D35F36">
      <w:pPr>
        <w:pStyle w:val="ListParagraph"/>
        <w:numPr>
          <w:ilvl w:val="0"/>
          <w:numId w:val="39"/>
        </w:numPr>
      </w:pPr>
      <w:r>
        <w:t xml:space="preserve">On the other hand, if the information on the </w:t>
      </w:r>
      <w:r w:rsidRPr="00F125CA">
        <w:t>ground truth label</w:t>
      </w:r>
      <w:r>
        <w:t xml:space="preserve"> has to be provided by another entity</w:t>
      </w:r>
      <w:r w:rsidR="00787F20">
        <w:t xml:space="preserve">, then signaling needs to be specified so that model </w:t>
      </w:r>
      <w:r w:rsidR="00846E0D">
        <w:t xml:space="preserve">output and </w:t>
      </w:r>
      <w:r w:rsidR="00846E0D" w:rsidRPr="00F125CA">
        <w:t>ground truth label</w:t>
      </w:r>
      <w:r w:rsidR="00846E0D">
        <w:t xml:space="preserve"> information are brought together to the model monitoring entity. If the model monitoring entity is different than the model inference entity, then signaling is also needed to send the monitoring decision.</w:t>
      </w:r>
    </w:p>
    <w:p w14:paraId="31CBBC46" w14:textId="3ED080B1" w:rsidR="00846E0D" w:rsidRDefault="00846E0D" w:rsidP="00D35F36">
      <w:pPr>
        <w:pStyle w:val="ListParagraph"/>
        <w:numPr>
          <w:ilvl w:val="1"/>
          <w:numId w:val="39"/>
        </w:numPr>
      </w:pPr>
      <w:r>
        <w:t xml:space="preserve">Still, it is infeasible </w:t>
      </w:r>
      <w:r w:rsidR="003D706B">
        <w:t xml:space="preserve">to </w:t>
      </w:r>
      <w:r>
        <w:t xml:space="preserve">align the exact monitoring metric calculation, or align on a threshold for decision making at the end of model monitoring. Thus </w:t>
      </w:r>
      <w:r w:rsidR="00031BD0">
        <w:t>a same entity should perform both monitoring metric calculation and monitoring decision making</w:t>
      </w:r>
      <w:r w:rsidR="000A65A8">
        <w:t xml:space="preserve"> regarding how to handle the </w:t>
      </w:r>
      <w:r w:rsidR="000A65A8" w:rsidRPr="000A65A8">
        <w:rPr>
          <w:i/>
          <w:iCs/>
        </w:rPr>
        <w:t>model</w:t>
      </w:r>
      <w:r w:rsidR="00031BD0">
        <w:t xml:space="preserve">. </w:t>
      </w:r>
      <w:r w:rsidR="00D5284C">
        <w:t xml:space="preserve"> Not</w:t>
      </w:r>
      <w:r w:rsidR="000A65A8">
        <w:t>e</w:t>
      </w:r>
      <w:r w:rsidR="00D5284C">
        <w:t xml:space="preserve"> that </w:t>
      </w:r>
      <w:r w:rsidR="000A65A8">
        <w:t>the network is still in charge of the positioning procedure at large, and may</w:t>
      </w:r>
      <w:r w:rsidR="00FA1FCF">
        <w:t xml:space="preserve"> decide to interrupt the positioning procedure based on received information.</w:t>
      </w:r>
    </w:p>
    <w:p w14:paraId="7DAFF492" w14:textId="77777777" w:rsidR="003D706B" w:rsidRDefault="003D706B" w:rsidP="003D706B">
      <w:pPr>
        <w:pStyle w:val="ListParagraph"/>
        <w:numPr>
          <w:ilvl w:val="0"/>
          <w:numId w:val="0"/>
        </w:numPr>
        <w:ind w:left="1440"/>
      </w:pPr>
    </w:p>
    <w:p w14:paraId="1AF6FCF0" w14:textId="0D53C783" w:rsidR="00846E0D" w:rsidRDefault="00846E0D" w:rsidP="002938DE">
      <w:pPr>
        <w:pStyle w:val="Observation"/>
      </w:pPr>
      <w:bookmarkStart w:id="1556" w:name="_Toc178961880"/>
      <w:r>
        <w:t xml:space="preserve">If certain information on the </w:t>
      </w:r>
      <w:r w:rsidRPr="00F125CA">
        <w:t>ground truth label</w:t>
      </w:r>
      <w:r>
        <w:t xml:space="preserve"> can be generated by the model inference entity, then such label-based model performance monitoring is also self-contained and up to implementation of model inference entity. The only potential specification impact is to notify other entities of the model monitoring decision, if necessary.</w:t>
      </w:r>
      <w:bookmarkEnd w:id="1556"/>
    </w:p>
    <w:p w14:paraId="4A696E94" w14:textId="77777777" w:rsidR="00917840" w:rsidRDefault="00917840" w:rsidP="00917840">
      <w:pPr>
        <w:pStyle w:val="Observation"/>
        <w:numPr>
          <w:ilvl w:val="0"/>
          <w:numId w:val="0"/>
        </w:numPr>
        <w:ind w:left="1710" w:hanging="1710"/>
      </w:pPr>
    </w:p>
    <w:p w14:paraId="3C01F6B8" w14:textId="449B113C" w:rsidR="00917840" w:rsidRDefault="00917840" w:rsidP="00917840">
      <w:r>
        <w:t xml:space="preserve">Another consideration for model performance monitoring is, there are two levels of performance monitoring, decision making, and </w:t>
      </w:r>
      <w:r w:rsidR="00870376">
        <w:t>related management procedures</w:t>
      </w:r>
      <w:r>
        <w:t xml:space="preserve">. One is the model-level performance monitoring and management, the other is functionality-level performance monitoring and management. </w:t>
      </w:r>
    </w:p>
    <w:p w14:paraId="2348004D" w14:textId="13A46305" w:rsidR="003B0AE0" w:rsidRDefault="00917840" w:rsidP="00917840">
      <w:r>
        <w:t xml:space="preserve">For the model-level performance monitoring and management, this includes model performance monitoring metric calculation, the decision making on whether the model performs satisfactorily, and actions to take if the model no longer performs well (e.g., deactivate the current model, </w:t>
      </w:r>
      <w:r w:rsidR="00870376">
        <w:t xml:space="preserve">switch to an alternative model, trigger model update). For this set of procedure, only the model </w:t>
      </w:r>
      <w:r w:rsidR="00370D6F">
        <w:t>inference</w:t>
      </w:r>
      <w:r w:rsidR="00870376">
        <w:t xml:space="preserve"> entity has the necessary information to carry out, for example, UE for Case 1, gNB for </w:t>
      </w:r>
      <w:r w:rsidR="00870376">
        <w:lastRenderedPageBreak/>
        <w:t>Case 3a. External entities (e.g., LMF) has no knowledge about the details on the model</w:t>
      </w:r>
      <w:r w:rsidR="003B0AE0">
        <w:t xml:space="preserve"> to judge. There are many detailed information on the model that can affect the performance monitoring and management decisions, including:</w:t>
      </w:r>
    </w:p>
    <w:p w14:paraId="5B2DC880" w14:textId="77777777" w:rsidR="003B0AE0" w:rsidRDefault="00870376" w:rsidP="003B0AE0">
      <w:pPr>
        <w:pStyle w:val="ListParagraph"/>
        <w:numPr>
          <w:ilvl w:val="1"/>
          <w:numId w:val="2"/>
        </w:numPr>
        <w:ind w:left="720"/>
      </w:pPr>
      <w:r>
        <w:t xml:space="preserve">the type/size/granularity of channel measurements used as model input, </w:t>
      </w:r>
    </w:p>
    <w:p w14:paraId="54BD11CD" w14:textId="4E44E1A6" w:rsidR="003B0AE0" w:rsidRDefault="00870376" w:rsidP="003B0AE0">
      <w:pPr>
        <w:pStyle w:val="ListParagraph"/>
        <w:numPr>
          <w:ilvl w:val="1"/>
          <w:numId w:val="2"/>
        </w:numPr>
        <w:ind w:left="720"/>
      </w:pPr>
      <w:r>
        <w:t>the model structure</w:t>
      </w:r>
      <w:r w:rsidR="003B0AE0">
        <w:t xml:space="preserve"> (e.g., distributed or centralized model)</w:t>
      </w:r>
      <w:r>
        <w:t xml:space="preserve">, </w:t>
      </w:r>
    </w:p>
    <w:p w14:paraId="3D985D3F" w14:textId="16511E1E" w:rsidR="003B0AE0" w:rsidRDefault="00870376" w:rsidP="003B0AE0">
      <w:pPr>
        <w:pStyle w:val="ListParagraph"/>
        <w:numPr>
          <w:ilvl w:val="1"/>
          <w:numId w:val="2"/>
        </w:numPr>
        <w:ind w:left="720"/>
      </w:pPr>
      <w:r>
        <w:t xml:space="preserve">how the model was trained (e.g., </w:t>
      </w:r>
      <w:r w:rsidR="003B0AE0">
        <w:t xml:space="preserve">whether the model </w:t>
      </w:r>
      <w:r>
        <w:t xml:space="preserve">can </w:t>
      </w:r>
      <w:r w:rsidR="00F3565C">
        <w:t>accommodate</w:t>
      </w:r>
      <w:r>
        <w:t xml:space="preserve"> a varying number of active TRPs), </w:t>
      </w:r>
    </w:p>
    <w:p w14:paraId="7AF275FC" w14:textId="77777777" w:rsidR="003B0AE0" w:rsidRDefault="00870376" w:rsidP="003B0AE0">
      <w:pPr>
        <w:pStyle w:val="ListParagraph"/>
        <w:numPr>
          <w:ilvl w:val="1"/>
          <w:numId w:val="2"/>
        </w:numPr>
        <w:ind w:left="720"/>
      </w:pPr>
      <w:r>
        <w:t xml:space="preserve">the generalization capability of the trained model (e.g., whether/what mixed dataset was used in training), </w:t>
      </w:r>
    </w:p>
    <w:p w14:paraId="578ADFAC" w14:textId="77777777" w:rsidR="003B0AE0" w:rsidRDefault="00870376" w:rsidP="003B0AE0">
      <w:pPr>
        <w:pStyle w:val="ListParagraph"/>
        <w:numPr>
          <w:ilvl w:val="1"/>
          <w:numId w:val="2"/>
        </w:numPr>
        <w:ind w:left="720"/>
      </w:pPr>
      <w:r>
        <w:t xml:space="preserve">pre-processing and feature engineering applied at model input, </w:t>
      </w:r>
    </w:p>
    <w:p w14:paraId="2C269162" w14:textId="3F66AAA2" w:rsidR="00917840" w:rsidRDefault="00870376" w:rsidP="003B0AE0">
      <w:pPr>
        <w:pStyle w:val="ListParagraph"/>
        <w:numPr>
          <w:ilvl w:val="1"/>
          <w:numId w:val="2"/>
        </w:numPr>
        <w:ind w:left="720"/>
      </w:pPr>
      <w:r>
        <w:t>postprocessing applied at model output</w:t>
      </w:r>
      <w:r w:rsidR="003B0AE0">
        <w:t>,</w:t>
      </w:r>
    </w:p>
    <w:p w14:paraId="605116B3" w14:textId="0BE5EEBC" w:rsidR="003B0AE0" w:rsidRDefault="003B0AE0" w:rsidP="003B0AE0">
      <w:pPr>
        <w:pStyle w:val="ListParagraph"/>
        <w:numPr>
          <w:ilvl w:val="1"/>
          <w:numId w:val="2"/>
        </w:numPr>
        <w:ind w:left="720"/>
      </w:pPr>
      <w:r>
        <w:t>whether an alternative model is available, and if so, the details of the alternative model,</w:t>
      </w:r>
    </w:p>
    <w:p w14:paraId="32F9CE82" w14:textId="4DBA0B6D" w:rsidR="003B0AE0" w:rsidRDefault="003B0AE0" w:rsidP="003B0AE0">
      <w:pPr>
        <w:pStyle w:val="ListParagraph"/>
        <w:numPr>
          <w:ilvl w:val="1"/>
          <w:numId w:val="2"/>
        </w:numPr>
        <w:ind w:left="720"/>
      </w:pPr>
      <w:r>
        <w:t xml:space="preserve">whether a performance degradation is intentional and temporary due to runtime constraints of the model host, e.g., power consumption, memory, processing pipeline, coexistence with other functionalities, etc. </w:t>
      </w:r>
    </w:p>
    <w:p w14:paraId="00B0E04B" w14:textId="372B26D8" w:rsidR="00917840" w:rsidRDefault="00370D6F" w:rsidP="00917840">
      <w:r>
        <w:t xml:space="preserve">With the above considerations, it is clear that the model-level performance monitoring and management have to be handled by the model inference entity, i.e., UE for Case 1, gNB for Case 3a. In other words, self-monitoring should be supported as a baseline, with the detailed procedure up to the implementation.   </w:t>
      </w:r>
    </w:p>
    <w:p w14:paraId="3FE5B421" w14:textId="77777777" w:rsidR="00561472" w:rsidRDefault="00561472" w:rsidP="00561472">
      <w:pPr>
        <w:pStyle w:val="ListParagraph"/>
        <w:numPr>
          <w:ilvl w:val="0"/>
          <w:numId w:val="0"/>
        </w:numPr>
        <w:ind w:left="1440"/>
      </w:pPr>
    </w:p>
    <w:p w14:paraId="6A3C3419" w14:textId="77777777" w:rsidR="00561472" w:rsidRDefault="00561472" w:rsidP="00561472">
      <w:r>
        <w:t xml:space="preserve">For </w:t>
      </w:r>
      <w:r w:rsidRPr="00561472">
        <w:t>direct positioning, the</w:t>
      </w:r>
      <w:r>
        <w:t xml:space="preserve"> model inference entity should act as the core entity that performs model monitoring. This includes calculation of model monitoring metrics and making (preliminary) model monitoring decision. To support the model monitoring procedure, assistance information may be provided between nodes, for example, LMF may send LOS/NLOS assistance information to UE for Case 1. This is much more efficient than UE sends raw information about the model input and/or model output to LMF, and LMF calculates the model monitoring metrics for the UE.</w:t>
      </w:r>
    </w:p>
    <w:p w14:paraId="22A78251" w14:textId="184AED41" w:rsidR="00561472" w:rsidRPr="00BC25BB" w:rsidRDefault="00561472" w:rsidP="00561472">
      <w:r w:rsidRPr="00BC25BB">
        <w:t>For Case 2b and 3b</w:t>
      </w:r>
      <w:r>
        <w:t>,</w:t>
      </w:r>
      <w:r w:rsidRPr="00BC25BB">
        <w:t xml:space="preserve"> LMF is the model inference entity. Thus there is no need </w:t>
      </w:r>
      <w:r>
        <w:t>to define</w:t>
      </w:r>
      <w:r w:rsidRPr="00BC25BB">
        <w:t xml:space="preserve"> signaling for </w:t>
      </w:r>
      <w:r>
        <w:t xml:space="preserve">reporting </w:t>
      </w:r>
      <w:r w:rsidRPr="00BC25BB">
        <w:t>model performance monitoring</w:t>
      </w:r>
      <w:r>
        <w:t xml:space="preserve"> decisions</w:t>
      </w:r>
      <w:r w:rsidRPr="00BC25BB">
        <w:t>.</w:t>
      </w:r>
      <w:r>
        <w:t xml:space="preserve"> There can be, however, additional signaling to support the LMF decision making in model monitoring. One need is assistance information from UE/gNB to LMF to provide LoS link information (see section </w:t>
      </w:r>
      <w:r>
        <w:fldChar w:fldCharType="begin"/>
      </w:r>
      <w:r>
        <w:instrText xml:space="preserve"> REF _Ref166248755 \r </w:instrText>
      </w:r>
      <w:r>
        <w:fldChar w:fldCharType="separate"/>
      </w:r>
      <w:r w:rsidR="00850DA1">
        <w:t>11.1.1</w:t>
      </w:r>
      <w:r>
        <w:fldChar w:fldCharType="end"/>
      </w:r>
      <w:r>
        <w:t xml:space="preserve">). Also LMF could request support from UE/gNB to validate the AIML model input. </w:t>
      </w:r>
    </w:p>
    <w:p w14:paraId="0F3F3219" w14:textId="77777777" w:rsidR="00561472" w:rsidRPr="00E215F0" w:rsidRDefault="00561472" w:rsidP="00561472">
      <w:r>
        <w:t xml:space="preserve">For </w:t>
      </w:r>
      <w:r w:rsidRPr="00561472">
        <w:t>assisted positioning,</w:t>
      </w:r>
      <w:r>
        <w:t xml:space="preserve"> the model inference entity should also act as the core entity that performs model monitoring for itself. To support the calculation of model monitoring metrics, the </w:t>
      </w:r>
      <w:r w:rsidRPr="00E215F0">
        <w:t>LM</w:t>
      </w:r>
      <w:r>
        <w:t>F can help by providing the estimated ground truth to the model inference entity (i.e., UE for Case 2a, gNB for Case 3a), where the estimated ground truth is generated by the LMF using the associated conventional positioning methods.</w:t>
      </w:r>
    </w:p>
    <w:p w14:paraId="3DCE64F5" w14:textId="77777777" w:rsidR="00370D6F" w:rsidRDefault="00370D6F" w:rsidP="00917840"/>
    <w:p w14:paraId="17D10402" w14:textId="7C6EC0EF" w:rsidR="00370D6F" w:rsidRDefault="00370D6F" w:rsidP="00917840">
      <w:r>
        <w:t xml:space="preserve">For functionality-level performance monitoring and management, </w:t>
      </w:r>
      <w:r w:rsidR="00910935">
        <w:t>LMF should continue to be responsible. That is, with the introduction of AI/ML based positioning, LMF continues to maintain its role as described in TS 38.305:</w:t>
      </w:r>
    </w:p>
    <w:p w14:paraId="646F816D" w14:textId="50BD84A8" w:rsidR="00910935" w:rsidRPr="00910935" w:rsidRDefault="00910935" w:rsidP="00910935">
      <w:pPr>
        <w:ind w:left="567"/>
        <w:rPr>
          <w:i/>
          <w:iCs/>
        </w:rPr>
      </w:pPr>
      <w:r w:rsidRPr="00910935">
        <w:rPr>
          <w:i/>
          <w:iCs/>
        </w:rPr>
        <w:t xml:space="preserve">“For positioning of a target UE, the </w:t>
      </w:r>
      <w:r w:rsidRPr="00910935">
        <w:rPr>
          <w:i/>
          <w:iCs/>
          <w:color w:val="FF0000"/>
        </w:rPr>
        <w:t>LMF decides on the position methods to be used</w:t>
      </w:r>
      <w:r w:rsidRPr="00910935">
        <w:rPr>
          <w:i/>
          <w:iCs/>
        </w:rPr>
        <w:t xml:space="preserve">, based on factors that may include the LCS Client type, the required QoS, UE positioning capabilities, gNB positioning capabilities and ng-eNB positioning capabilities. </w:t>
      </w:r>
      <w:r w:rsidRPr="00910935">
        <w:rPr>
          <w:i/>
          <w:iCs/>
          <w:color w:val="FF0000"/>
        </w:rPr>
        <w:t>The LMF then invokes these positioning methods in the UE, serving gNB and/or serving ng</w:t>
      </w:r>
      <w:r w:rsidRPr="00910935">
        <w:rPr>
          <w:i/>
          <w:iCs/>
          <w:color w:val="FF0000"/>
        </w:rPr>
        <w:noBreakHyphen/>
        <w:t xml:space="preserve">eNB. </w:t>
      </w:r>
      <w:r w:rsidRPr="00910935">
        <w:rPr>
          <w:i/>
          <w:iCs/>
        </w:rPr>
        <w:t xml:space="preserve">The positioning methods may yield a location estimate for UE-based position methods and/or positioning measurements for UE-assisted and network-based position methods. </w:t>
      </w:r>
      <w:r w:rsidRPr="00910935">
        <w:rPr>
          <w:i/>
          <w:iCs/>
          <w:color w:val="FF0000"/>
        </w:rPr>
        <w:t xml:space="preserve">The LMF may combine all the received results and determine a single location estimate for the target UE (hybrid positioning). </w:t>
      </w:r>
      <w:r w:rsidRPr="00910935">
        <w:rPr>
          <w:i/>
          <w:iCs/>
        </w:rPr>
        <w:t>Additional information like accuracy of the location estimate and velocity may also be determined.”</w:t>
      </w:r>
    </w:p>
    <w:p w14:paraId="5E5D04BE" w14:textId="2B100B5B" w:rsidR="00370D6F" w:rsidRDefault="00910935" w:rsidP="00910935">
      <w:pPr>
        <w:tabs>
          <w:tab w:val="num" w:pos="0"/>
        </w:tabs>
      </w:pPr>
      <w:r>
        <w:t>In general</w:t>
      </w:r>
      <w:r w:rsidR="00D328BD">
        <w:t xml:space="preserve">, </w:t>
      </w:r>
      <w:r>
        <w:t>LMF is responsible for selecting/activating the desired positioning methods</w:t>
      </w:r>
      <w:r w:rsidR="00D328BD">
        <w:t xml:space="preserve">, taking into account the </w:t>
      </w:r>
      <w:r>
        <w:t xml:space="preserve">positioning accuracy </w:t>
      </w:r>
      <w:r w:rsidR="00D328BD">
        <w:t>requirement</w:t>
      </w:r>
      <w:r>
        <w:t>.</w:t>
      </w:r>
      <w:r w:rsidR="00D328BD">
        <w:t xml:space="preserve"> LMF manage the positioning functionality, but it does not have detailed information to manage individual models residing at gNB or UE.</w:t>
      </w:r>
    </w:p>
    <w:p w14:paraId="729B5EAB" w14:textId="77777777" w:rsidR="00910935" w:rsidRDefault="00910935" w:rsidP="00917840"/>
    <w:p w14:paraId="1B26E3AE" w14:textId="398F0CC7" w:rsidR="00D328BD" w:rsidRDefault="00D328BD" w:rsidP="002938DE">
      <w:pPr>
        <w:pStyle w:val="Proposal"/>
      </w:pPr>
      <w:bookmarkStart w:id="1557" w:name="_Toc178961948"/>
      <w:r>
        <w:t>For AI/ML based positioning, support self-monitoring by model inference entity as a baseline</w:t>
      </w:r>
      <w:r w:rsidR="00031BD0">
        <w:t>.</w:t>
      </w:r>
      <w:r>
        <w:t xml:space="preserve"> </w:t>
      </w:r>
      <w:r w:rsidR="00B65C57">
        <w:t xml:space="preserve">Furthermore, self-contained monitoring is preferred, where no estimated label needs to be signaled from external entities. </w:t>
      </w:r>
      <w:r>
        <w:t>Only when necessary, introduce signaling to provide information on ground truth label to the model inference entity.</w:t>
      </w:r>
      <w:bookmarkEnd w:id="1557"/>
    </w:p>
    <w:p w14:paraId="2DB2EF46" w14:textId="03547F87" w:rsidR="00335E26" w:rsidRDefault="00D328BD" w:rsidP="002938DE">
      <w:pPr>
        <w:pStyle w:val="Proposal"/>
      </w:pPr>
      <w:bookmarkStart w:id="1558" w:name="_Toc178961949"/>
      <w:r>
        <w:lastRenderedPageBreak/>
        <w:t>The</w:t>
      </w:r>
      <w:r w:rsidR="00031BD0">
        <w:t xml:space="preserve"> </w:t>
      </w:r>
      <w:r>
        <w:t xml:space="preserve">model inference entity is responsible for model-level performance monitoring and management, </w:t>
      </w:r>
      <w:r w:rsidR="002D52B3">
        <w:t>including calculation of model monitoring metrics. T</w:t>
      </w:r>
      <w:r>
        <w:t xml:space="preserve">he detailed algorithm and procedure </w:t>
      </w:r>
      <w:r w:rsidR="002D52B3">
        <w:t xml:space="preserve">are </w:t>
      </w:r>
      <w:r>
        <w:t>up to implementation.</w:t>
      </w:r>
      <w:bookmarkEnd w:id="1558"/>
    </w:p>
    <w:p w14:paraId="5F749C6E" w14:textId="77777777" w:rsidR="006B7D35" w:rsidRDefault="006B7D35" w:rsidP="006B7D35">
      <w:pPr>
        <w:pStyle w:val="Proposal"/>
      </w:pPr>
      <w:bookmarkStart w:id="1559" w:name="_Toc178961950"/>
      <w:r>
        <w:t>For model inference at UE (Case 1, 2a) or gNB (Case 3a), the LMF can provide assistance information to support the calculation of model monitoring metrics.</w:t>
      </w:r>
      <w:bookmarkEnd w:id="1559"/>
    </w:p>
    <w:p w14:paraId="7C70B0DE" w14:textId="2088C479" w:rsidR="00F125CA" w:rsidRDefault="00D328BD" w:rsidP="00F125CA">
      <w:pPr>
        <w:pStyle w:val="Proposal"/>
      </w:pPr>
      <w:bookmarkStart w:id="1560" w:name="_Toc178961951"/>
      <w:r>
        <w:t>For AI/ML based positioning, LMF is responsible for functionality-level performance monitoring and management.</w:t>
      </w:r>
      <w:bookmarkEnd w:id="1560"/>
      <w:r>
        <w:t xml:space="preserve">  </w:t>
      </w:r>
    </w:p>
    <w:p w14:paraId="6D15EF3F" w14:textId="4A71EFF4" w:rsidR="00AE38BC" w:rsidRDefault="000F4A0B" w:rsidP="00EE7E1B">
      <w:pPr>
        <w:pStyle w:val="Heading2"/>
      </w:pPr>
      <w:bookmarkStart w:id="1561" w:name="_Toc178961683"/>
      <w:r>
        <w:rPr>
          <w:lang w:val="en-US"/>
        </w:rPr>
        <w:t>M</w:t>
      </w:r>
      <w:r w:rsidRPr="000F4A0B">
        <w:rPr>
          <w:lang w:val="en-US"/>
        </w:rPr>
        <w:t xml:space="preserve">odel performance monitoring metric calculation </w:t>
      </w:r>
      <w:r w:rsidR="00AE38BC">
        <w:rPr>
          <w:lang w:val="en-US"/>
        </w:rPr>
        <w:t>for Case 1</w:t>
      </w:r>
      <w:bookmarkEnd w:id="1561"/>
    </w:p>
    <w:p w14:paraId="0DF458E0" w14:textId="5D0F738E" w:rsidR="00A06A97" w:rsidRDefault="00AB55BA" w:rsidP="0086326A">
      <w:r>
        <w:t xml:space="preserve">Several </w:t>
      </w:r>
      <w:r w:rsidR="005B2602">
        <w:t xml:space="preserve">label-based options </w:t>
      </w:r>
      <w:r w:rsidR="00B858C6">
        <w:t xml:space="preserve">for case 1 </w:t>
      </w:r>
      <w:r w:rsidR="005B2602">
        <w:t xml:space="preserve">were </w:t>
      </w:r>
      <w:r w:rsidR="0086326A">
        <w:t>proposed for further study</w:t>
      </w:r>
      <w:r w:rsidR="003A7C0F">
        <w:t xml:space="preserve"> in the last RAN1 meeting</w:t>
      </w:r>
      <w:r w:rsidR="0086326A">
        <w:t>:</w:t>
      </w:r>
      <w:r w:rsidR="00A06A97">
        <w:tab/>
      </w:r>
    </w:p>
    <w:tbl>
      <w:tblPr>
        <w:tblStyle w:val="TableGrid"/>
        <w:tblW w:w="0" w:type="auto"/>
        <w:tblLook w:val="04A0" w:firstRow="1" w:lastRow="0" w:firstColumn="1" w:lastColumn="0" w:noHBand="0" w:noVBand="1"/>
      </w:tblPr>
      <w:tblGrid>
        <w:gridCol w:w="9962"/>
      </w:tblGrid>
      <w:tr w:rsidR="00A06A97" w:rsidRPr="00E215F0" w14:paraId="371E936B" w14:textId="77777777" w:rsidTr="008722FE">
        <w:tc>
          <w:tcPr>
            <w:tcW w:w="9962" w:type="dxa"/>
          </w:tcPr>
          <w:p w14:paraId="07CAFB90" w14:textId="1CDCA54C" w:rsidR="00457F0B" w:rsidRPr="00C10124" w:rsidRDefault="00457F0B" w:rsidP="0082179A">
            <w:pPr>
              <w:rPr>
                <w:rFonts w:eastAsia="DengXian"/>
                <w:sz w:val="20"/>
                <w:szCs w:val="20"/>
              </w:rPr>
            </w:pPr>
            <w:r w:rsidRPr="00C10124">
              <w:rPr>
                <w:rFonts w:eastAsia="DengXian"/>
                <w:sz w:val="20"/>
                <w:szCs w:val="20"/>
              </w:rPr>
              <w:t>RAN1</w:t>
            </w:r>
            <w:r w:rsidR="00625C7A" w:rsidRPr="00C10124">
              <w:rPr>
                <w:rFonts w:eastAsia="DengXian"/>
                <w:sz w:val="20"/>
                <w:szCs w:val="20"/>
              </w:rPr>
              <w:t xml:space="preserve"> #116</w:t>
            </w:r>
            <w:r w:rsidR="00C056B3">
              <w:rPr>
                <w:rFonts w:eastAsia="DengXian"/>
                <w:sz w:val="20"/>
                <w:szCs w:val="20"/>
              </w:rPr>
              <w:t>-</w:t>
            </w:r>
            <w:r w:rsidR="00625C7A" w:rsidRPr="00C10124">
              <w:rPr>
                <w:rFonts w:eastAsia="DengXian"/>
                <w:sz w:val="20"/>
                <w:szCs w:val="20"/>
              </w:rPr>
              <w:t>b</w:t>
            </w:r>
            <w:r w:rsidR="00C056B3">
              <w:rPr>
                <w:rFonts w:eastAsia="DengXian"/>
                <w:sz w:val="20"/>
                <w:szCs w:val="20"/>
              </w:rPr>
              <w:t>is</w:t>
            </w:r>
          </w:p>
          <w:p w14:paraId="613CFCE4" w14:textId="77777777" w:rsidR="0082179A" w:rsidRPr="00C056B3" w:rsidRDefault="0082179A" w:rsidP="0082179A">
            <w:pPr>
              <w:rPr>
                <w:rFonts w:eastAsia="DengXian"/>
                <w:b/>
                <w:bCs/>
                <w:sz w:val="20"/>
                <w:szCs w:val="20"/>
                <w:highlight w:val="green"/>
              </w:rPr>
            </w:pPr>
            <w:r w:rsidRPr="00C056B3">
              <w:rPr>
                <w:rFonts w:eastAsia="DengXian" w:hint="eastAsia"/>
                <w:b/>
                <w:bCs/>
                <w:sz w:val="20"/>
                <w:szCs w:val="20"/>
                <w:highlight w:val="green"/>
              </w:rPr>
              <w:t>Agreement</w:t>
            </w:r>
          </w:p>
          <w:p w14:paraId="7BBE9E9A" w14:textId="77777777" w:rsidR="0082179A" w:rsidRPr="0082179A" w:rsidRDefault="0082179A" w:rsidP="0082179A">
            <w:pPr>
              <w:rPr>
                <w:strike/>
                <w:sz w:val="20"/>
                <w:szCs w:val="20"/>
              </w:rPr>
            </w:pPr>
            <w:r w:rsidRPr="0082179A">
              <w:rPr>
                <w:sz w:val="20"/>
                <w:szCs w:val="20"/>
              </w:rPr>
              <w:t xml:space="preserve">For model performance monitoring of AI/ML positioning Case 1, for model performance monitoring metric calculation in label-based model monitoring, study the feasibility, benefits, and </w:t>
            </w:r>
            <w:r w:rsidRPr="0082179A">
              <w:rPr>
                <w:rFonts w:eastAsia="DengXian"/>
                <w:sz w:val="20"/>
                <w:szCs w:val="20"/>
              </w:rPr>
              <w:t>potential</w:t>
            </w:r>
            <w:r w:rsidRPr="0082179A">
              <w:rPr>
                <w:rFonts w:eastAsia="DengXian" w:hint="eastAsia"/>
                <w:sz w:val="20"/>
                <w:szCs w:val="20"/>
              </w:rPr>
              <w:t xml:space="preserve"> </w:t>
            </w:r>
            <w:r w:rsidRPr="0082179A">
              <w:rPr>
                <w:sz w:val="20"/>
                <w:szCs w:val="20"/>
              </w:rPr>
              <w:t xml:space="preserve">specification impact of the following options with regard to how to generate information on ground truth label: </w:t>
            </w:r>
          </w:p>
          <w:p w14:paraId="5AD769BD" w14:textId="77777777" w:rsidR="0082179A" w:rsidRPr="0082179A" w:rsidRDefault="0082179A" w:rsidP="00D35F36">
            <w:pPr>
              <w:widowControl w:val="0"/>
              <w:numPr>
                <w:ilvl w:val="0"/>
                <w:numId w:val="57"/>
              </w:numPr>
              <w:rPr>
                <w:sz w:val="20"/>
                <w:szCs w:val="20"/>
                <w:lang w:eastAsia="x-none"/>
              </w:rPr>
            </w:pPr>
            <w:r w:rsidRPr="0082179A">
              <w:rPr>
                <w:sz w:val="20"/>
                <w:szCs w:val="20"/>
                <w:lang w:eastAsia="x-none"/>
              </w:rPr>
              <w:t xml:space="preserve">Option A. The target UE side performs monitoring metric calculation. </w:t>
            </w:r>
          </w:p>
          <w:p w14:paraId="150051CD" w14:textId="77777777" w:rsidR="0082179A" w:rsidRPr="0082179A" w:rsidRDefault="0082179A" w:rsidP="00D35F36">
            <w:pPr>
              <w:widowControl w:val="0"/>
              <w:numPr>
                <w:ilvl w:val="1"/>
                <w:numId w:val="43"/>
              </w:numPr>
              <w:rPr>
                <w:sz w:val="20"/>
                <w:szCs w:val="20"/>
                <w:lang w:eastAsia="x-none"/>
              </w:rPr>
            </w:pPr>
            <w:r w:rsidRPr="0082179A">
              <w:rPr>
                <w:sz w:val="20"/>
                <w:szCs w:val="20"/>
                <w:lang w:eastAsia="x-none"/>
              </w:rPr>
              <w:t xml:space="preserve">Option A-1. At least information on ground truth label of the target UE is generated by LMF and provided to the target UE. </w:t>
            </w:r>
          </w:p>
          <w:p w14:paraId="484EECA8" w14:textId="77777777" w:rsidR="0082179A" w:rsidRPr="0082179A" w:rsidRDefault="0082179A" w:rsidP="00D35F36">
            <w:pPr>
              <w:widowControl w:val="0"/>
              <w:numPr>
                <w:ilvl w:val="2"/>
                <w:numId w:val="43"/>
              </w:numPr>
              <w:ind w:left="2360" w:hanging="560"/>
              <w:rPr>
                <w:sz w:val="20"/>
                <w:szCs w:val="20"/>
                <w:lang w:eastAsia="x-none"/>
              </w:rPr>
            </w:pPr>
            <w:r w:rsidRPr="0082179A">
              <w:rPr>
                <w:sz w:val="20"/>
                <w:szCs w:val="20"/>
                <w:lang w:eastAsia="x-none"/>
              </w:rPr>
              <w:t>In one example, target UE and/or gNB sends measurement (e.g., legacy measurement) to LMF so that LMF can derive the information on ground truth label.</w:t>
            </w:r>
          </w:p>
          <w:p w14:paraId="16D9B1F0" w14:textId="77777777" w:rsidR="0082179A" w:rsidRPr="0082179A" w:rsidRDefault="0082179A" w:rsidP="00D35F36">
            <w:pPr>
              <w:widowControl w:val="0"/>
              <w:numPr>
                <w:ilvl w:val="1"/>
                <w:numId w:val="43"/>
              </w:numPr>
              <w:rPr>
                <w:sz w:val="20"/>
                <w:szCs w:val="20"/>
                <w:lang w:eastAsia="x-none"/>
              </w:rPr>
            </w:pPr>
            <w:r w:rsidRPr="0082179A">
              <w:rPr>
                <w:sz w:val="20"/>
                <w:szCs w:val="20"/>
                <w:lang w:eastAsia="x-none"/>
              </w:rPr>
              <w:t>Option A-2. At least position calculation assistance data (e.g., existing information for UE-based positioning method) is provided from LMF to the target UE.</w:t>
            </w:r>
          </w:p>
          <w:p w14:paraId="388C13E9" w14:textId="77777777" w:rsidR="0082179A" w:rsidRPr="0082179A" w:rsidRDefault="0082179A" w:rsidP="00D35F36">
            <w:pPr>
              <w:widowControl w:val="0"/>
              <w:numPr>
                <w:ilvl w:val="1"/>
                <w:numId w:val="43"/>
              </w:numPr>
              <w:rPr>
                <w:sz w:val="20"/>
                <w:szCs w:val="20"/>
                <w:lang w:eastAsia="x-none"/>
              </w:rPr>
            </w:pPr>
            <w:r w:rsidRPr="0082179A">
              <w:rPr>
                <w:sz w:val="20"/>
                <w:szCs w:val="20"/>
                <w:lang w:eastAsia="x-none"/>
              </w:rPr>
              <w:t xml:space="preserve">Option A-3. Reuse Rel-18 assistance data transfer framework from LMF to the target UE, where the PRU measurement (e.g., legacy measurement) and the corresponding PRU location are sent via LMF to the target UE. </w:t>
            </w:r>
          </w:p>
          <w:p w14:paraId="70E4B5AC" w14:textId="77777777" w:rsidR="0082179A" w:rsidRPr="0082179A" w:rsidRDefault="0082179A" w:rsidP="00D35F36">
            <w:pPr>
              <w:widowControl w:val="0"/>
              <w:numPr>
                <w:ilvl w:val="1"/>
                <w:numId w:val="43"/>
              </w:numPr>
              <w:rPr>
                <w:sz w:val="20"/>
                <w:szCs w:val="20"/>
                <w:lang w:eastAsia="x-none"/>
              </w:rPr>
            </w:pPr>
            <w:r w:rsidRPr="0082179A">
              <w:rPr>
                <w:sz w:val="20"/>
                <w:szCs w:val="20"/>
                <w:lang w:eastAsia="x-none"/>
              </w:rPr>
              <w:t xml:space="preserve">Option A-4. PRU measurement (and the corresponding PRU location if not already known at the UE-side) are sent from PRU to the target UE side. </w:t>
            </w:r>
          </w:p>
          <w:p w14:paraId="111A7422" w14:textId="77777777" w:rsidR="0082179A" w:rsidRPr="0082179A" w:rsidRDefault="0082179A" w:rsidP="00D35F36">
            <w:pPr>
              <w:widowControl w:val="0"/>
              <w:numPr>
                <w:ilvl w:val="2"/>
                <w:numId w:val="43"/>
              </w:numPr>
              <w:ind w:left="2360" w:hanging="560"/>
              <w:rPr>
                <w:sz w:val="20"/>
                <w:szCs w:val="20"/>
                <w:lang w:eastAsia="x-none"/>
              </w:rPr>
            </w:pPr>
            <w:r w:rsidRPr="0082179A">
              <w:rPr>
                <w:sz w:val="20"/>
                <w:szCs w:val="20"/>
                <w:lang w:eastAsia="x-none"/>
              </w:rPr>
              <w:t>Note: Option A-4 can be realized by implementation in a manner transparent to specification if the PRU sends information to the target UE side in a proprietary method.</w:t>
            </w:r>
          </w:p>
          <w:p w14:paraId="3EE5FE83" w14:textId="77777777" w:rsidR="0082179A" w:rsidRPr="0082179A" w:rsidRDefault="0082179A" w:rsidP="00D35F36">
            <w:pPr>
              <w:widowControl w:val="0"/>
              <w:numPr>
                <w:ilvl w:val="0"/>
                <w:numId w:val="43"/>
              </w:numPr>
              <w:rPr>
                <w:sz w:val="20"/>
                <w:szCs w:val="20"/>
                <w:lang w:eastAsia="x-none"/>
              </w:rPr>
            </w:pPr>
            <w:r w:rsidRPr="0082179A">
              <w:rPr>
                <w:sz w:val="20"/>
                <w:szCs w:val="20"/>
                <w:lang w:eastAsia="x-none"/>
              </w:rPr>
              <w:t>Option B. The LMF performs monitoring metric calculation.</w:t>
            </w:r>
          </w:p>
          <w:p w14:paraId="1861D058" w14:textId="77777777" w:rsidR="0082179A" w:rsidRPr="0082179A" w:rsidRDefault="0082179A" w:rsidP="00D35F36">
            <w:pPr>
              <w:widowControl w:val="0"/>
              <w:numPr>
                <w:ilvl w:val="1"/>
                <w:numId w:val="43"/>
              </w:numPr>
              <w:rPr>
                <w:sz w:val="20"/>
                <w:szCs w:val="20"/>
                <w:lang w:eastAsia="x-none"/>
              </w:rPr>
            </w:pPr>
            <w:r w:rsidRPr="0082179A">
              <w:rPr>
                <w:rFonts w:eastAsia="DengXian"/>
                <w:sz w:val="20"/>
                <w:szCs w:val="20"/>
              </w:rPr>
              <w:t xml:space="preserve">Option B-1. </w:t>
            </w:r>
            <w:r w:rsidRPr="0082179A">
              <w:rPr>
                <w:sz w:val="20"/>
                <w:szCs w:val="20"/>
                <w:lang w:eastAsia="x-none"/>
              </w:rPr>
              <w:t xml:space="preserve">at least </w:t>
            </w:r>
            <w:r w:rsidRPr="0082179A">
              <w:rPr>
                <w:rFonts w:eastAsia="SimSun"/>
                <w:sz w:val="20"/>
                <w:szCs w:val="20"/>
              </w:rPr>
              <w:t>inference result</w:t>
            </w:r>
            <w:r w:rsidRPr="0082179A">
              <w:rPr>
                <w:sz w:val="20"/>
                <w:szCs w:val="20"/>
                <w:lang w:eastAsia="x-none"/>
              </w:rPr>
              <w:t xml:space="preserve"> </w:t>
            </w:r>
            <w:r w:rsidRPr="0082179A">
              <w:rPr>
                <w:rFonts w:eastAsia="SimSun"/>
                <w:sz w:val="20"/>
                <w:szCs w:val="20"/>
              </w:rPr>
              <w:t xml:space="preserve">(i.e., the model output corresponding to target UE’s channel measurement) </w:t>
            </w:r>
            <w:r w:rsidRPr="0082179A">
              <w:rPr>
                <w:sz w:val="20"/>
                <w:szCs w:val="20"/>
                <w:lang w:eastAsia="x-none"/>
              </w:rPr>
              <w:t>of the target UE</w:t>
            </w:r>
            <w:r w:rsidRPr="0082179A">
              <w:rPr>
                <w:rFonts w:eastAsia="SimSun"/>
                <w:sz w:val="20"/>
                <w:szCs w:val="20"/>
              </w:rPr>
              <w:t xml:space="preserve"> is sent by the target UE to </w:t>
            </w:r>
            <w:r w:rsidRPr="0082179A">
              <w:rPr>
                <w:sz w:val="20"/>
                <w:szCs w:val="20"/>
                <w:lang w:eastAsia="x-none"/>
              </w:rPr>
              <w:t xml:space="preserve">LMF. </w:t>
            </w:r>
          </w:p>
          <w:p w14:paraId="7B8270E5" w14:textId="77777777" w:rsidR="0082179A" w:rsidRPr="0082179A" w:rsidRDefault="0082179A" w:rsidP="00D35F36">
            <w:pPr>
              <w:widowControl w:val="0"/>
              <w:numPr>
                <w:ilvl w:val="1"/>
                <w:numId w:val="43"/>
              </w:numPr>
              <w:rPr>
                <w:sz w:val="20"/>
                <w:szCs w:val="20"/>
                <w:lang w:eastAsia="x-none"/>
              </w:rPr>
            </w:pPr>
            <w:r w:rsidRPr="0082179A">
              <w:rPr>
                <w:rFonts w:eastAsia="SimSun"/>
                <w:sz w:val="20"/>
                <w:szCs w:val="20"/>
              </w:rPr>
              <w:t xml:space="preserve">Option B-2. </w:t>
            </w:r>
            <w:r w:rsidRPr="0082179A">
              <w:rPr>
                <w:sz w:val="20"/>
                <w:szCs w:val="20"/>
                <w:lang w:eastAsia="x-none"/>
              </w:rPr>
              <w:t>PRU</w:t>
            </w:r>
            <w:r w:rsidRPr="0082179A">
              <w:rPr>
                <w:rFonts w:eastAsia="SimSun"/>
                <w:sz w:val="20"/>
                <w:szCs w:val="20"/>
              </w:rPr>
              <w:t>’s</w:t>
            </w:r>
            <w:r w:rsidRPr="0082179A">
              <w:rPr>
                <w:sz w:val="20"/>
                <w:szCs w:val="20"/>
                <w:lang w:eastAsia="x-none"/>
              </w:rPr>
              <w:t xml:space="preserve"> </w:t>
            </w:r>
            <w:r w:rsidRPr="0082179A">
              <w:rPr>
                <w:rFonts w:eastAsia="SimSun"/>
                <w:sz w:val="20"/>
                <w:szCs w:val="20"/>
              </w:rPr>
              <w:t xml:space="preserve">channel </w:t>
            </w:r>
            <w:r w:rsidRPr="0082179A">
              <w:rPr>
                <w:sz w:val="20"/>
                <w:szCs w:val="20"/>
                <w:lang w:eastAsia="x-none"/>
              </w:rPr>
              <w:t>measurement is sent via LMF to the target UE</w:t>
            </w:r>
            <w:r w:rsidRPr="0082179A">
              <w:rPr>
                <w:rFonts w:eastAsia="SimSun"/>
                <w:sz w:val="20"/>
                <w:szCs w:val="20"/>
              </w:rPr>
              <w:t xml:space="preserve">, and the inference result (i.e., the model output corresponding to PRU’s channel measurement) is sent by the target UE to </w:t>
            </w:r>
            <w:r w:rsidRPr="0082179A">
              <w:rPr>
                <w:sz w:val="20"/>
                <w:szCs w:val="20"/>
                <w:lang w:eastAsia="x-none"/>
              </w:rPr>
              <w:t>LMF.</w:t>
            </w:r>
          </w:p>
          <w:p w14:paraId="5631F27B" w14:textId="77777777" w:rsidR="0082179A" w:rsidRPr="0082179A" w:rsidRDefault="0082179A" w:rsidP="0082179A">
            <w:pPr>
              <w:rPr>
                <w:rFonts w:eastAsia="DengXian"/>
                <w:sz w:val="20"/>
                <w:szCs w:val="20"/>
              </w:rPr>
            </w:pPr>
            <w:r w:rsidRPr="0082179A">
              <w:rPr>
                <w:sz w:val="20"/>
                <w:szCs w:val="20"/>
              </w:rPr>
              <w:t xml:space="preserve">Note: exact method to perform the monitoring metric calculation is up to implementation. </w:t>
            </w:r>
          </w:p>
          <w:p w14:paraId="30869C15" w14:textId="064663F7" w:rsidR="00A06A97" w:rsidRPr="00CD59F9" w:rsidRDefault="0082179A" w:rsidP="0082179A">
            <w:pPr>
              <w:rPr>
                <w:rFonts w:ascii="Times" w:eastAsia="Batang" w:hAnsi="Times"/>
                <w:sz w:val="20"/>
                <w:lang w:eastAsia="x-none"/>
              </w:rPr>
            </w:pPr>
            <w:r w:rsidRPr="0082179A">
              <w:rPr>
                <w:rFonts w:eastAsia="DengXian" w:hint="eastAsia"/>
                <w:sz w:val="20"/>
                <w:szCs w:val="20"/>
              </w:rPr>
              <w:t>Note: Other options are not precluded</w:t>
            </w:r>
            <w:r w:rsidRPr="00131049">
              <w:rPr>
                <w:rFonts w:eastAsia="DengXian" w:hint="eastAsia"/>
              </w:rPr>
              <w:t>.</w:t>
            </w:r>
          </w:p>
        </w:tc>
      </w:tr>
    </w:tbl>
    <w:p w14:paraId="33BE5DD5" w14:textId="3784B6A9" w:rsidR="00C056B3" w:rsidRDefault="00C056B3" w:rsidP="00A06A97">
      <w:pPr>
        <w:tabs>
          <w:tab w:val="left" w:pos="3531"/>
        </w:tabs>
      </w:pPr>
      <w:r>
        <w:t>In RAN1#118, it was concluded that Option A-4 does not need to be further discussed.</w:t>
      </w:r>
    </w:p>
    <w:p w14:paraId="4CE03565" w14:textId="77777777" w:rsidR="00C056B3" w:rsidRDefault="00C056B3" w:rsidP="00A06A97">
      <w:pPr>
        <w:tabs>
          <w:tab w:val="left" w:pos="3531"/>
        </w:tabs>
      </w:pPr>
    </w:p>
    <w:p w14:paraId="1B9C43BE" w14:textId="3F88C80A" w:rsidR="00057F34" w:rsidRDefault="00D328BD" w:rsidP="00A06A97">
      <w:pPr>
        <w:tabs>
          <w:tab w:val="left" w:pos="3531"/>
        </w:tabs>
      </w:pPr>
      <w:r>
        <w:t>In</w:t>
      </w:r>
      <w:r w:rsidR="000A5CD3">
        <w:t xml:space="preserve"> our view these label-based </w:t>
      </w:r>
      <w:r w:rsidR="0016220D">
        <w:t xml:space="preserve">performance monitoring proposals </w:t>
      </w:r>
      <w:r w:rsidR="000A466C">
        <w:t>add complexity to the NR spec</w:t>
      </w:r>
      <w:r w:rsidR="00C056B3">
        <w:t>ification</w:t>
      </w:r>
      <w:r w:rsidR="000A466C">
        <w:t xml:space="preserve">s and increase the implementation costs. </w:t>
      </w:r>
      <w:r w:rsidR="00E22212">
        <w:t xml:space="preserve">Some of these proposals even elevates the costs of operating the </w:t>
      </w:r>
      <w:r w:rsidR="002E02B2">
        <w:t xml:space="preserve">positioning systems. </w:t>
      </w:r>
      <w:r w:rsidR="000A466C">
        <w:t xml:space="preserve">These </w:t>
      </w:r>
      <w:r w:rsidR="00AF0F9A">
        <w:t xml:space="preserve">label-based monitoring </w:t>
      </w:r>
      <w:r w:rsidR="000A466C">
        <w:t>proposal</w:t>
      </w:r>
      <w:r w:rsidR="00AF0F9A">
        <w:t>s</w:t>
      </w:r>
      <w:r w:rsidR="000A466C">
        <w:t xml:space="preserve"> </w:t>
      </w:r>
      <w:r w:rsidR="00BC1E06">
        <w:t>should be compare</w:t>
      </w:r>
      <w:r w:rsidR="00AF0F9A">
        <w:t xml:space="preserve">d to label-free monitoring approaches </w:t>
      </w:r>
      <w:r w:rsidR="00C37A82">
        <w:t xml:space="preserve">in terms of complexity as well as </w:t>
      </w:r>
      <w:r w:rsidR="00C37A82">
        <w:lastRenderedPageBreak/>
        <w:t xml:space="preserve">effectiveness. That is, </w:t>
      </w:r>
      <w:r w:rsidR="00DC050F">
        <w:t xml:space="preserve">quantitative </w:t>
      </w:r>
      <w:r w:rsidR="00C37A82">
        <w:t xml:space="preserve">evaluation </w:t>
      </w:r>
      <w:r w:rsidR="00DC050F">
        <w:t xml:space="preserve">results should be provided </w:t>
      </w:r>
      <w:r w:rsidR="0013022F">
        <w:t xml:space="preserve">for these label-based monitoring proposals, which can be compared to </w:t>
      </w:r>
      <w:r w:rsidR="00211AFE">
        <w:t xml:space="preserve">those </w:t>
      </w:r>
      <w:r w:rsidR="00D869A2">
        <w:t>using label-free monitoring.</w:t>
      </w:r>
      <w:r w:rsidR="00B37EC7">
        <w:t xml:space="preserve"> </w:t>
      </w:r>
    </w:p>
    <w:p w14:paraId="41B5D17D" w14:textId="0222D3FB" w:rsidR="00057F34" w:rsidRDefault="00057F34" w:rsidP="00A06A97">
      <w:pPr>
        <w:tabs>
          <w:tab w:val="left" w:pos="3531"/>
        </w:tabs>
      </w:pPr>
      <w:r>
        <w:t xml:space="preserve">Moreover, it is possible to perform label-based monitoring where certain information on the ground truth label can be obtained by the target UE itself. For example, as a variant of monitoring approach 1 of section </w:t>
      </w:r>
      <w:r w:rsidR="00500110">
        <w:fldChar w:fldCharType="begin"/>
      </w:r>
      <w:r w:rsidR="00500110">
        <w:instrText xml:space="preserve"> REF _Ref166232055 \r </w:instrText>
      </w:r>
      <w:r w:rsidR="00500110">
        <w:fldChar w:fldCharType="separate"/>
      </w:r>
      <w:r w:rsidR="00850DA1">
        <w:t>11.1.1</w:t>
      </w:r>
      <w:r w:rsidR="00500110">
        <w:fldChar w:fldCharType="end"/>
      </w:r>
      <w:r>
        <w:t xml:space="preserve">, the target UE can use a mechanism outside of the Case 1 model to detect opportunistic LoS link(s) and estimate the corresponding distance between the target UE and the TRP, which can then be used as a ground truth label approximation/substitution to monitor Case </w:t>
      </w:r>
      <w:r w:rsidR="00C10920">
        <w:t xml:space="preserve">1 </w:t>
      </w:r>
      <w:r>
        <w:t>model.</w:t>
      </w:r>
    </w:p>
    <w:p w14:paraId="718DB196" w14:textId="543CF5FD" w:rsidR="000A5CD3" w:rsidRDefault="00D473BD" w:rsidP="00A06A97">
      <w:pPr>
        <w:tabs>
          <w:tab w:val="left" w:pos="3531"/>
        </w:tabs>
      </w:pPr>
      <w:r>
        <w:t xml:space="preserve">The </w:t>
      </w:r>
      <w:r w:rsidR="00106FFA">
        <w:t xml:space="preserve">more complicated </w:t>
      </w:r>
      <w:r w:rsidR="00E70E3D">
        <w:t xml:space="preserve">label-based monitoring solutions should be introduced to NR only if </w:t>
      </w:r>
      <w:r w:rsidR="00333D77">
        <w:t>the solutions provide add</w:t>
      </w:r>
      <w:r w:rsidR="00323D87">
        <w:t>ed</w:t>
      </w:r>
      <w:r w:rsidR="00333D77">
        <w:t xml:space="preserve"> </w:t>
      </w:r>
      <w:r w:rsidR="0038419B">
        <w:t xml:space="preserve">values </w:t>
      </w:r>
      <w:r w:rsidR="00323D87">
        <w:t xml:space="preserve">over </w:t>
      </w:r>
      <w:r w:rsidR="00D03EC3">
        <w:t xml:space="preserve">those </w:t>
      </w:r>
      <w:r w:rsidR="00F23909">
        <w:t xml:space="preserve">achievable with </w:t>
      </w:r>
      <w:r w:rsidR="0038419B">
        <w:t xml:space="preserve">label-free </w:t>
      </w:r>
      <w:r w:rsidR="00253112">
        <w:t>monitoring solutions.</w:t>
      </w:r>
    </w:p>
    <w:p w14:paraId="107920C7" w14:textId="77777777" w:rsidR="00253112" w:rsidRDefault="00253112" w:rsidP="00A06A97">
      <w:pPr>
        <w:tabs>
          <w:tab w:val="left" w:pos="3531"/>
        </w:tabs>
      </w:pPr>
    </w:p>
    <w:p w14:paraId="27B4E3D4" w14:textId="233D817D" w:rsidR="00C056B3" w:rsidRDefault="00C056B3" w:rsidP="00A06A97">
      <w:pPr>
        <w:tabs>
          <w:tab w:val="left" w:pos="3531"/>
        </w:tabs>
      </w:pPr>
      <w:r>
        <w:t>If the more complicated label-based monitoring is to be supported, then Option A-1 and/or A-2 is sufficient.</w:t>
      </w:r>
    </w:p>
    <w:p w14:paraId="0050B2A4" w14:textId="767F8FE3" w:rsidR="002C2212" w:rsidRPr="00397642" w:rsidRDefault="00BB48A5" w:rsidP="00C3778D">
      <w:pPr>
        <w:pStyle w:val="ListParagraph"/>
        <w:widowControl w:val="0"/>
        <w:numPr>
          <w:ilvl w:val="0"/>
          <w:numId w:val="14"/>
        </w:numPr>
        <w:rPr>
          <w:rFonts w:eastAsia="MS Mincho"/>
        </w:rPr>
      </w:pPr>
      <w:r w:rsidRPr="35DAF9E0">
        <w:t>In option A1, the LMF derives the grou</w:t>
      </w:r>
      <w:r w:rsidR="00516EC2">
        <w:t>nd</w:t>
      </w:r>
      <w:r w:rsidRPr="35DAF9E0">
        <w:t xml:space="preserve"> truth label. Without knowing the UE model implementation, the only ground truth label the </w:t>
      </w:r>
      <w:r w:rsidR="00A131C6" w:rsidRPr="35DAF9E0">
        <w:t>LMF can generate is a</w:t>
      </w:r>
      <w:r w:rsidR="00516EC2">
        <w:t>n</w:t>
      </w:r>
      <w:r w:rsidR="00A131C6" w:rsidRPr="35DAF9E0">
        <w:t xml:space="preserve"> estimated </w:t>
      </w:r>
      <w:r w:rsidR="00516EC2">
        <w:t xml:space="preserve">UE </w:t>
      </w:r>
      <w:r w:rsidR="00A131C6" w:rsidRPr="35DAF9E0">
        <w:t xml:space="preserve">location label. This can be already done using the </w:t>
      </w:r>
      <w:r w:rsidR="00D144A6" w:rsidRPr="35DAF9E0">
        <w:t>existing</w:t>
      </w:r>
      <w:r w:rsidR="00A131C6" w:rsidRPr="35DAF9E0">
        <w:t xml:space="preserve"> specification, by setting up legacy positioning procedure in parallel to the ML positioning procedure</w:t>
      </w:r>
      <w:r w:rsidR="00DB74B7">
        <w:t xml:space="preserve"> where the UE request the LMF for its location</w:t>
      </w:r>
      <w:r w:rsidR="00A131C6" w:rsidRPr="35DAF9E0">
        <w:t xml:space="preserve">. </w:t>
      </w:r>
      <w:r w:rsidR="005D4422" w:rsidRPr="35DAF9E0">
        <w:t xml:space="preserve"> </w:t>
      </w:r>
    </w:p>
    <w:p w14:paraId="6C1A79F0" w14:textId="1CA9C373" w:rsidR="007C11F7" w:rsidRDefault="005D4422" w:rsidP="00C3778D">
      <w:pPr>
        <w:pStyle w:val="ListParagraph"/>
        <w:widowControl w:val="0"/>
        <w:numPr>
          <w:ilvl w:val="0"/>
          <w:numId w:val="14"/>
        </w:numPr>
        <w:rPr>
          <w:rFonts w:eastAsia="MS Mincho"/>
        </w:rPr>
      </w:pPr>
      <w:r w:rsidRPr="35DAF9E0">
        <w:t xml:space="preserve">Similarly, option A2 can be achieved by setting up legacy UE based positioning in parallel to AIML positioning procedure.  </w:t>
      </w:r>
      <w:r w:rsidR="00DC5267">
        <w:t xml:space="preserve">In </w:t>
      </w:r>
      <w:r w:rsidR="002C2212">
        <w:t>section 5.3</w:t>
      </w:r>
      <w:r w:rsidR="00955FC8">
        <w:t xml:space="preserve">.1 we propose to re-use the </w:t>
      </w:r>
      <w:r w:rsidR="001B6E6A">
        <w:t>existing</w:t>
      </w:r>
      <w:r w:rsidR="00955FC8">
        <w:t xml:space="preserve"> signaling for LOS indication to support model monitoring. </w:t>
      </w:r>
    </w:p>
    <w:p w14:paraId="3C0E26D1" w14:textId="77777777" w:rsidR="00C75FE3" w:rsidRDefault="00C75FE3" w:rsidP="005D4422">
      <w:pPr>
        <w:widowControl w:val="0"/>
        <w:rPr>
          <w:lang w:eastAsia="x-none"/>
        </w:rPr>
      </w:pPr>
    </w:p>
    <w:p w14:paraId="3FCA2910" w14:textId="5AC75098" w:rsidR="00C056B3" w:rsidRDefault="00C056B3" w:rsidP="005D4422">
      <w:pPr>
        <w:widowControl w:val="0"/>
        <w:rPr>
          <w:lang w:eastAsia="x-none"/>
        </w:rPr>
      </w:pPr>
      <w:r>
        <w:rPr>
          <w:lang w:eastAsia="x-none"/>
        </w:rPr>
        <w:t>Option A-3, B-1, B-2 should not be supported.</w:t>
      </w:r>
    </w:p>
    <w:p w14:paraId="4EC4E918" w14:textId="7671FB25" w:rsidR="007C11F7" w:rsidRDefault="00C75FE3" w:rsidP="00C3778D">
      <w:pPr>
        <w:pStyle w:val="ListParagraph"/>
        <w:widowControl w:val="0"/>
        <w:numPr>
          <w:ilvl w:val="0"/>
          <w:numId w:val="14"/>
        </w:numPr>
      </w:pPr>
      <w:r w:rsidRPr="35DAF9E0">
        <w:t>Option A</w:t>
      </w:r>
      <w:r w:rsidR="00B65C57">
        <w:t>-</w:t>
      </w:r>
      <w:r w:rsidRPr="35DAF9E0">
        <w:t xml:space="preserve">3 </w:t>
      </w:r>
      <w:r w:rsidR="00C056B3">
        <w:t>requires the presence of PRU to support model monitoring. This incurs high deployment cost and signaling overhead</w:t>
      </w:r>
      <w:r w:rsidR="00B65C57">
        <w:t xml:space="preserve"> unnecessarily</w:t>
      </w:r>
      <w:r w:rsidR="002C4637" w:rsidRPr="35DAF9E0">
        <w:t xml:space="preserve">. </w:t>
      </w:r>
    </w:p>
    <w:p w14:paraId="462344AF" w14:textId="46D02486" w:rsidR="00B65C57" w:rsidRPr="0082179A" w:rsidRDefault="00B65C57" w:rsidP="00C3778D">
      <w:pPr>
        <w:pStyle w:val="ListParagraph"/>
        <w:widowControl w:val="0"/>
        <w:numPr>
          <w:ilvl w:val="0"/>
          <w:numId w:val="14"/>
        </w:numPr>
      </w:pPr>
      <w:r>
        <w:t xml:space="preserve">Option B-1 and B-2 violate the principle of self-monitoring discussed in section </w:t>
      </w:r>
      <w:r w:rsidR="00500110">
        <w:fldChar w:fldCharType="begin"/>
      </w:r>
      <w:r w:rsidR="00500110">
        <w:instrText xml:space="preserve"> REF _Ref178767633 \r </w:instrText>
      </w:r>
      <w:r w:rsidR="00500110">
        <w:fldChar w:fldCharType="separate"/>
      </w:r>
      <w:r w:rsidR="00850DA1">
        <w:t>6</w:t>
      </w:r>
      <w:r w:rsidR="00500110">
        <w:fldChar w:fldCharType="end"/>
      </w:r>
      <w:r>
        <w:t xml:space="preserve">. As discussed, LMF is responsible for functionality-level performance monitoring and management, but it does not have the requisite information to perform model-level management including </w:t>
      </w:r>
      <w:r w:rsidRPr="0082179A">
        <w:rPr>
          <w:lang w:eastAsia="x-none"/>
        </w:rPr>
        <w:t>monitoring metric calculation</w:t>
      </w:r>
      <w:r>
        <w:rPr>
          <w:lang w:eastAsia="x-none"/>
        </w:rPr>
        <w:t>.</w:t>
      </w:r>
    </w:p>
    <w:p w14:paraId="5FF2ADBA" w14:textId="77777777" w:rsidR="007C11F7" w:rsidRDefault="007C11F7" w:rsidP="007C11F7">
      <w:pPr>
        <w:widowControl w:val="0"/>
        <w:rPr>
          <w:rFonts w:eastAsia="DengXian"/>
        </w:rPr>
      </w:pPr>
    </w:p>
    <w:p w14:paraId="3989B43F" w14:textId="031E993E" w:rsidR="00CB059C" w:rsidRPr="0078718A" w:rsidRDefault="00B57031" w:rsidP="00451289">
      <w:pPr>
        <w:pStyle w:val="Proposal"/>
        <w:rPr>
          <w:szCs w:val="20"/>
          <w:lang w:eastAsia="ja-JP"/>
        </w:rPr>
      </w:pPr>
      <w:bookmarkStart w:id="1562" w:name="_Toc178961952"/>
      <w:r w:rsidRPr="00B57031">
        <w:t xml:space="preserve">For model performance monitoring of AI/ML positioning Case 1, </w:t>
      </w:r>
      <w:r w:rsidR="00B65C57" w:rsidRPr="00451289">
        <w:rPr>
          <w:szCs w:val="20"/>
        </w:rPr>
        <w:t xml:space="preserve">support Option A-1 and A-2 </w:t>
      </w:r>
      <w:r w:rsidRPr="00B57031">
        <w:t>for model performance monitoring metric calculation</w:t>
      </w:r>
      <w:r w:rsidR="00B65C57" w:rsidRPr="00451289">
        <w:rPr>
          <w:szCs w:val="20"/>
        </w:rPr>
        <w:t>, if</w:t>
      </w:r>
      <w:r w:rsidRPr="00451289">
        <w:rPr>
          <w:szCs w:val="20"/>
        </w:rPr>
        <w:t xml:space="preserve"> </w:t>
      </w:r>
      <w:r w:rsidR="00B65C57" w:rsidRPr="00451289">
        <w:rPr>
          <w:szCs w:val="20"/>
        </w:rPr>
        <w:t>estimated</w:t>
      </w:r>
      <w:r w:rsidR="00B65C57" w:rsidRPr="00B57031">
        <w:t xml:space="preserve"> label</w:t>
      </w:r>
      <w:r w:rsidR="00B65C57" w:rsidRPr="00451289">
        <w:rPr>
          <w:szCs w:val="20"/>
        </w:rPr>
        <w:t xml:space="preserve"> is considered necessary to be provided by </w:t>
      </w:r>
      <w:r w:rsidR="00451289" w:rsidRPr="00451289">
        <w:rPr>
          <w:szCs w:val="20"/>
        </w:rPr>
        <w:t xml:space="preserve">an </w:t>
      </w:r>
      <w:r w:rsidR="00B65C57" w:rsidRPr="00451289">
        <w:rPr>
          <w:szCs w:val="20"/>
        </w:rPr>
        <w:t>external entity (which is LMF for Case 1)</w:t>
      </w:r>
      <w:r w:rsidR="00451289" w:rsidRPr="00451289">
        <w:rPr>
          <w:szCs w:val="20"/>
        </w:rPr>
        <w:t>.</w:t>
      </w:r>
      <w:bookmarkEnd w:id="1562"/>
    </w:p>
    <w:p w14:paraId="414A732D" w14:textId="13E202E0" w:rsidR="00A93594" w:rsidRDefault="00A93594" w:rsidP="0078718A">
      <w:pPr>
        <w:rPr>
          <w:highlight w:val="yellow"/>
        </w:rPr>
      </w:pPr>
    </w:p>
    <w:p w14:paraId="464BC905" w14:textId="6D5A175B" w:rsidR="009C3421" w:rsidRPr="00E215F0" w:rsidRDefault="009C3421" w:rsidP="009C3421">
      <w:pPr>
        <w:pStyle w:val="Heading2"/>
        <w:rPr>
          <w:lang w:val="en-US"/>
        </w:rPr>
      </w:pPr>
      <w:bookmarkStart w:id="1563" w:name="_Toc178961684"/>
      <w:r w:rsidRPr="00E215F0">
        <w:rPr>
          <w:lang w:val="en-US"/>
        </w:rPr>
        <w:t xml:space="preserve">Signaling to support </w:t>
      </w:r>
      <w:r w:rsidR="000F4A0B">
        <w:rPr>
          <w:lang w:val="en-US"/>
        </w:rPr>
        <w:t xml:space="preserve">decision making related to </w:t>
      </w:r>
      <w:r w:rsidRPr="00E215F0">
        <w:rPr>
          <w:lang w:val="en-US"/>
        </w:rPr>
        <w:t>model monitoring</w:t>
      </w:r>
      <w:bookmarkEnd w:id="1563"/>
    </w:p>
    <w:p w14:paraId="646B93CA" w14:textId="77777777" w:rsidR="009C3421" w:rsidRDefault="009C3421" w:rsidP="009C3421"/>
    <w:p w14:paraId="0E119775" w14:textId="77777777" w:rsidR="009C3421" w:rsidRDefault="009C3421" w:rsidP="009C3421">
      <w:r>
        <w:t>During RAN1#118, we discussed which entity (LMF, gNB, TRP, UE) should make LCM decision, particularly whether entity beside the model hosting entity should make LCM decision for the model hosting entity:</w:t>
      </w:r>
    </w:p>
    <w:p w14:paraId="53EC2CA2" w14:textId="77777777" w:rsidR="009C3421" w:rsidRDefault="009C3421" w:rsidP="009C3421"/>
    <w:tbl>
      <w:tblPr>
        <w:tblStyle w:val="TableGrid"/>
        <w:tblW w:w="0" w:type="auto"/>
        <w:tblLook w:val="04A0" w:firstRow="1" w:lastRow="0" w:firstColumn="1" w:lastColumn="0" w:noHBand="0" w:noVBand="1"/>
      </w:tblPr>
      <w:tblGrid>
        <w:gridCol w:w="9962"/>
      </w:tblGrid>
      <w:tr w:rsidR="0078718A" w:rsidRPr="0078718A" w14:paraId="059003AF" w14:textId="77777777">
        <w:tc>
          <w:tcPr>
            <w:tcW w:w="9962" w:type="dxa"/>
          </w:tcPr>
          <w:p w14:paraId="10EC715A" w14:textId="77777777" w:rsidR="009C3421" w:rsidRPr="0078718A" w:rsidRDefault="009C3421">
            <w:pPr>
              <w:rPr>
                <w:b/>
                <w:color w:val="000000" w:themeColor="text1"/>
                <w:sz w:val="20"/>
                <w:szCs w:val="20"/>
                <w:u w:val="single"/>
              </w:rPr>
            </w:pPr>
            <w:r w:rsidRPr="0078718A">
              <w:rPr>
                <w:b/>
                <w:color w:val="000000" w:themeColor="text1"/>
                <w:sz w:val="20"/>
                <w:szCs w:val="20"/>
                <w:highlight w:val="yellow"/>
                <w:u w:val="single"/>
              </w:rPr>
              <w:t>Proposal 6.2.5-1</w:t>
            </w:r>
          </w:p>
          <w:p w14:paraId="59C5511A" w14:textId="77777777" w:rsidR="009C3421" w:rsidRPr="0078718A" w:rsidRDefault="009C3421">
            <w:pPr>
              <w:rPr>
                <w:color w:val="000000" w:themeColor="text1"/>
                <w:sz w:val="20"/>
                <w:szCs w:val="20"/>
              </w:rPr>
            </w:pPr>
            <w:r w:rsidRPr="0078718A">
              <w:rPr>
                <w:color w:val="000000" w:themeColor="text1"/>
                <w:sz w:val="20"/>
                <w:szCs w:val="20"/>
              </w:rPr>
              <w:t xml:space="preserve">For </w:t>
            </w:r>
            <w:r w:rsidRPr="0078718A">
              <w:rPr>
                <w:b/>
                <w:bCs/>
                <w:color w:val="000000" w:themeColor="text1"/>
                <w:sz w:val="20"/>
                <w:szCs w:val="20"/>
              </w:rPr>
              <w:t>label-based</w:t>
            </w:r>
            <w:r w:rsidRPr="0078718A">
              <w:rPr>
                <w:color w:val="000000" w:themeColor="text1"/>
                <w:sz w:val="20"/>
                <w:szCs w:val="20"/>
              </w:rPr>
              <w:t xml:space="preserve"> model performance monitoring of AI/ML positioning Case 1, study the following options:</w:t>
            </w:r>
          </w:p>
          <w:p w14:paraId="01C53042" w14:textId="77777777" w:rsidR="009C3421" w:rsidRPr="0078718A" w:rsidRDefault="009C3421" w:rsidP="00D35F36">
            <w:pPr>
              <w:pStyle w:val="ListParagraph"/>
              <w:numPr>
                <w:ilvl w:val="0"/>
                <w:numId w:val="80"/>
              </w:numPr>
              <w:spacing w:line="276" w:lineRule="auto"/>
              <w:rPr>
                <w:color w:val="000000" w:themeColor="text1"/>
                <w:sz w:val="20"/>
              </w:rPr>
            </w:pPr>
            <w:r w:rsidRPr="0078718A">
              <w:rPr>
                <w:color w:val="000000" w:themeColor="text1"/>
                <w:sz w:val="20"/>
              </w:rPr>
              <w:t xml:space="preserve">Option 1: the target UE makes the functionality/model management decision/recommendation (e.g., activate or deactivate a model, update a model, fallback to legacy positioning methods) as a result of model performance monitoring. </w:t>
            </w:r>
          </w:p>
          <w:p w14:paraId="04D91757" w14:textId="77777777" w:rsidR="009C3421" w:rsidRPr="0078718A" w:rsidRDefault="009C3421" w:rsidP="00D35F36">
            <w:pPr>
              <w:pStyle w:val="ListParagraph"/>
              <w:numPr>
                <w:ilvl w:val="1"/>
                <w:numId w:val="80"/>
              </w:numPr>
              <w:spacing w:line="276" w:lineRule="auto"/>
              <w:rPr>
                <w:color w:val="000000" w:themeColor="text1"/>
                <w:sz w:val="20"/>
              </w:rPr>
            </w:pPr>
            <w:r w:rsidRPr="0078718A">
              <w:rPr>
                <w:color w:val="000000" w:themeColor="text1"/>
                <w:sz w:val="20"/>
              </w:rPr>
              <w:t>The target UE notifies the LMF of its functionality/model management decision/recommendation.</w:t>
            </w:r>
          </w:p>
          <w:p w14:paraId="17612367" w14:textId="77777777" w:rsidR="009C3421" w:rsidRPr="0078718A" w:rsidRDefault="009C3421" w:rsidP="00D35F36">
            <w:pPr>
              <w:pStyle w:val="ListParagraph"/>
              <w:numPr>
                <w:ilvl w:val="1"/>
                <w:numId w:val="80"/>
              </w:numPr>
              <w:spacing w:line="276" w:lineRule="auto"/>
              <w:rPr>
                <w:color w:val="000000" w:themeColor="text1"/>
                <w:sz w:val="20"/>
              </w:rPr>
            </w:pPr>
            <w:r w:rsidRPr="0078718A">
              <w:rPr>
                <w:color w:val="000000" w:themeColor="text1"/>
                <w:sz w:val="20"/>
              </w:rPr>
              <w:t>Option 1 is at least applicable if Option A (The target UE side performs monitoring metric calculation) is supported.</w:t>
            </w:r>
          </w:p>
          <w:p w14:paraId="0497D2C6" w14:textId="77777777" w:rsidR="009C3421" w:rsidRPr="0078718A" w:rsidRDefault="009C3421" w:rsidP="00D35F36">
            <w:pPr>
              <w:pStyle w:val="ListParagraph"/>
              <w:numPr>
                <w:ilvl w:val="0"/>
                <w:numId w:val="80"/>
              </w:numPr>
              <w:spacing w:line="276" w:lineRule="auto"/>
              <w:rPr>
                <w:color w:val="000000" w:themeColor="text1"/>
                <w:sz w:val="20"/>
              </w:rPr>
            </w:pPr>
            <w:r w:rsidRPr="0078718A">
              <w:rPr>
                <w:color w:val="000000" w:themeColor="text1"/>
                <w:sz w:val="20"/>
              </w:rPr>
              <w:lastRenderedPageBreak/>
              <w:t>Option 2: LMF makes the functionality/model management decision (e.g., functionality/model deactivation, fallback) as a result of model performance monitoring, and notifies the target UE.</w:t>
            </w:r>
          </w:p>
          <w:p w14:paraId="4F7DB629" w14:textId="77777777" w:rsidR="009C3421" w:rsidRPr="0078718A" w:rsidRDefault="009C3421" w:rsidP="00D35F36">
            <w:pPr>
              <w:pStyle w:val="ListParagraph"/>
              <w:numPr>
                <w:ilvl w:val="1"/>
                <w:numId w:val="80"/>
              </w:numPr>
              <w:spacing w:line="276" w:lineRule="auto"/>
              <w:rPr>
                <w:color w:val="000000" w:themeColor="text1"/>
                <w:sz w:val="20"/>
              </w:rPr>
            </w:pPr>
            <w:r w:rsidRPr="0078718A">
              <w:rPr>
                <w:color w:val="000000" w:themeColor="text1"/>
                <w:sz w:val="20"/>
              </w:rPr>
              <w:t>Option 2 is at least applicable if Option B (The LMF performs monitoring metric calculation) is supported.</w:t>
            </w:r>
          </w:p>
          <w:p w14:paraId="24C22E70" w14:textId="77777777" w:rsidR="009C3421" w:rsidRPr="0078718A" w:rsidRDefault="009C3421">
            <w:pPr>
              <w:tabs>
                <w:tab w:val="left" w:pos="786"/>
              </w:tabs>
              <w:rPr>
                <w:color w:val="000000" w:themeColor="text1"/>
                <w:sz w:val="20"/>
                <w:szCs w:val="20"/>
              </w:rPr>
            </w:pPr>
            <w:r w:rsidRPr="0078718A">
              <w:rPr>
                <w:color w:val="000000" w:themeColor="text1"/>
                <w:sz w:val="20"/>
                <w:szCs w:val="20"/>
              </w:rPr>
              <w:t>Note: From RAN1 perspective, related to model inference and model monitoring of AI/ML based positioning, LMF makes the decision on whether to activate or deactivate positioning methods, including methods using  AI/ML positioning.</w:t>
            </w:r>
          </w:p>
          <w:p w14:paraId="487C4366" w14:textId="77777777" w:rsidR="009C3421" w:rsidRPr="0078718A" w:rsidRDefault="009C3421">
            <w:pPr>
              <w:rPr>
                <w:b/>
                <w:color w:val="000000" w:themeColor="text1"/>
                <w:sz w:val="20"/>
                <w:szCs w:val="20"/>
                <w:u w:val="single"/>
              </w:rPr>
            </w:pPr>
            <w:r w:rsidRPr="0078718A">
              <w:rPr>
                <w:b/>
                <w:color w:val="000000" w:themeColor="text1"/>
                <w:sz w:val="20"/>
                <w:szCs w:val="20"/>
                <w:highlight w:val="yellow"/>
                <w:u w:val="single"/>
              </w:rPr>
              <w:t>Proposal 6.3.4-1</w:t>
            </w:r>
          </w:p>
          <w:p w14:paraId="6232692F" w14:textId="77777777" w:rsidR="009C3421" w:rsidRPr="0078718A" w:rsidRDefault="009C3421">
            <w:pPr>
              <w:rPr>
                <w:color w:val="000000" w:themeColor="text1"/>
                <w:sz w:val="20"/>
                <w:szCs w:val="20"/>
              </w:rPr>
            </w:pPr>
            <w:r w:rsidRPr="0078718A">
              <w:rPr>
                <w:color w:val="000000" w:themeColor="text1"/>
                <w:sz w:val="20"/>
                <w:szCs w:val="20"/>
              </w:rPr>
              <w:t xml:space="preserve">For </w:t>
            </w:r>
            <w:r w:rsidRPr="0078718A">
              <w:rPr>
                <w:b/>
                <w:bCs/>
                <w:color w:val="000000" w:themeColor="text1"/>
                <w:sz w:val="20"/>
                <w:szCs w:val="20"/>
              </w:rPr>
              <w:t>label-based</w:t>
            </w:r>
            <w:r w:rsidRPr="0078718A">
              <w:rPr>
                <w:color w:val="000000" w:themeColor="text1"/>
                <w:sz w:val="20"/>
                <w:szCs w:val="20"/>
              </w:rPr>
              <w:t xml:space="preserve"> model performance monitoring of AI/ML positioning Case 3a, study the following options:</w:t>
            </w:r>
          </w:p>
          <w:p w14:paraId="42FA14B4" w14:textId="77777777" w:rsidR="009C3421" w:rsidRPr="0078718A" w:rsidRDefault="009C3421" w:rsidP="00D35F36">
            <w:pPr>
              <w:pStyle w:val="ListParagraph"/>
              <w:numPr>
                <w:ilvl w:val="0"/>
                <w:numId w:val="80"/>
              </w:numPr>
              <w:spacing w:line="276" w:lineRule="auto"/>
              <w:rPr>
                <w:color w:val="000000" w:themeColor="text1"/>
                <w:sz w:val="20"/>
              </w:rPr>
            </w:pPr>
            <w:r w:rsidRPr="0078718A">
              <w:rPr>
                <w:color w:val="000000" w:themeColor="text1"/>
                <w:sz w:val="20"/>
              </w:rPr>
              <w:t xml:space="preserve">Option 1: the gNB makes the functionality/model management decision/recommendation (e.g., activate or deactivate a model, update a model, fallback to legacy positioning methods) as a result of model performance monitoring. </w:t>
            </w:r>
          </w:p>
          <w:p w14:paraId="0EF9150F" w14:textId="77777777" w:rsidR="009C3421" w:rsidRPr="0078718A" w:rsidRDefault="009C3421" w:rsidP="00D35F36">
            <w:pPr>
              <w:pStyle w:val="ListParagraph"/>
              <w:numPr>
                <w:ilvl w:val="1"/>
                <w:numId w:val="80"/>
              </w:numPr>
              <w:spacing w:line="276" w:lineRule="auto"/>
              <w:rPr>
                <w:color w:val="000000" w:themeColor="text1"/>
                <w:sz w:val="20"/>
              </w:rPr>
            </w:pPr>
            <w:r w:rsidRPr="0078718A">
              <w:rPr>
                <w:color w:val="000000" w:themeColor="text1"/>
                <w:sz w:val="20"/>
              </w:rPr>
              <w:t>The gNB notifies the LMF of its functionality/model management decision/recommendation.</w:t>
            </w:r>
          </w:p>
          <w:p w14:paraId="04A9A7DC" w14:textId="77777777" w:rsidR="009C3421" w:rsidRPr="0078718A" w:rsidRDefault="009C3421" w:rsidP="00D35F36">
            <w:pPr>
              <w:pStyle w:val="ListParagraph"/>
              <w:numPr>
                <w:ilvl w:val="1"/>
                <w:numId w:val="80"/>
              </w:numPr>
              <w:spacing w:line="276" w:lineRule="auto"/>
              <w:rPr>
                <w:color w:val="000000" w:themeColor="text1"/>
                <w:sz w:val="20"/>
              </w:rPr>
            </w:pPr>
            <w:r w:rsidRPr="0078718A">
              <w:rPr>
                <w:color w:val="000000" w:themeColor="text1"/>
                <w:sz w:val="20"/>
              </w:rPr>
              <w:t>Option 1 is at least applicable if Option A (NG-RAN node performs monitoring metric calculation for its own model) is supported.</w:t>
            </w:r>
          </w:p>
          <w:p w14:paraId="7B995A5E" w14:textId="77777777" w:rsidR="009C3421" w:rsidRPr="0078718A" w:rsidRDefault="009C3421" w:rsidP="00D35F36">
            <w:pPr>
              <w:pStyle w:val="ListParagraph"/>
              <w:numPr>
                <w:ilvl w:val="1"/>
                <w:numId w:val="80"/>
              </w:numPr>
              <w:spacing w:line="276" w:lineRule="auto"/>
              <w:rPr>
                <w:color w:val="000000" w:themeColor="text1"/>
                <w:sz w:val="20"/>
              </w:rPr>
            </w:pPr>
            <w:r w:rsidRPr="0078718A">
              <w:rPr>
                <w:color w:val="000000" w:themeColor="text1"/>
                <w:sz w:val="20"/>
              </w:rPr>
              <w:t>Send an LS to RAN3 asking whether existing procedures are sufficient to enable this notification.</w:t>
            </w:r>
          </w:p>
          <w:p w14:paraId="452CB1DF" w14:textId="77777777" w:rsidR="009C3421" w:rsidRPr="0078718A" w:rsidRDefault="009C3421" w:rsidP="00D35F36">
            <w:pPr>
              <w:pStyle w:val="ListParagraph"/>
              <w:numPr>
                <w:ilvl w:val="0"/>
                <w:numId w:val="80"/>
              </w:numPr>
              <w:spacing w:line="276" w:lineRule="auto"/>
              <w:rPr>
                <w:color w:val="000000" w:themeColor="text1"/>
                <w:sz w:val="20"/>
              </w:rPr>
            </w:pPr>
            <w:r w:rsidRPr="0078718A">
              <w:rPr>
                <w:color w:val="000000" w:themeColor="text1"/>
                <w:sz w:val="20"/>
              </w:rPr>
              <w:t>Option 2: LMF makes the functionality/model management decision (e.g., functionality/model deactivation, fallback) as a result of model performance monitoring, and notifies the gNB.</w:t>
            </w:r>
          </w:p>
          <w:p w14:paraId="1799E26C" w14:textId="2A0BC6C6" w:rsidR="009C3421" w:rsidRPr="0078718A" w:rsidRDefault="009C3421" w:rsidP="00D35F36">
            <w:pPr>
              <w:pStyle w:val="ListParagraph"/>
              <w:numPr>
                <w:ilvl w:val="1"/>
                <w:numId w:val="80"/>
              </w:numPr>
              <w:spacing w:line="276" w:lineRule="auto"/>
              <w:rPr>
                <w:color w:val="000000" w:themeColor="text1"/>
                <w:sz w:val="20"/>
              </w:rPr>
            </w:pPr>
            <w:r w:rsidRPr="0078718A">
              <w:rPr>
                <w:color w:val="000000" w:themeColor="text1"/>
                <w:sz w:val="20"/>
              </w:rPr>
              <w:t>Option 2 is at least applicable if Option B (LMF performs monitoring metric calculation for the model located at the NG-RAN node) is supported.</w:t>
            </w:r>
          </w:p>
        </w:tc>
      </w:tr>
    </w:tbl>
    <w:p w14:paraId="2AD2CD9B" w14:textId="77777777" w:rsidR="009C3421" w:rsidRDefault="009C3421" w:rsidP="009C3421"/>
    <w:p w14:paraId="36D9B68B" w14:textId="77BBF15F" w:rsidR="00561472" w:rsidRDefault="00561472" w:rsidP="009C3421">
      <w:r>
        <w:t xml:space="preserve">For model-level decision making, the model inference entity is responsible, as discussed in section </w:t>
      </w:r>
      <w:r>
        <w:fldChar w:fldCharType="begin"/>
      </w:r>
      <w:r>
        <w:instrText xml:space="preserve"> REF _Ref178953317 \r </w:instrText>
      </w:r>
      <w:r>
        <w:fldChar w:fldCharType="separate"/>
      </w:r>
      <w:r w:rsidR="00850DA1">
        <w:t>6.1</w:t>
      </w:r>
      <w:r>
        <w:fldChar w:fldCharType="end"/>
      </w:r>
      <w:r>
        <w:t xml:space="preserve">. For functionality-level decision making, the LMF is responsible. </w:t>
      </w:r>
    </w:p>
    <w:p w14:paraId="03BD221B" w14:textId="67585863" w:rsidR="009C3421" w:rsidRPr="00E215F0" w:rsidRDefault="00561472" w:rsidP="009C3421">
      <w:r>
        <w:t>For Case 1</w:t>
      </w:r>
      <w:r w:rsidR="009C3421">
        <w:t>,</w:t>
      </w:r>
      <w:r>
        <w:t xml:space="preserve"> beyond monitoring the deployed model by UE,</w:t>
      </w:r>
      <w:r w:rsidR="009C3421">
        <w:t xml:space="preserve"> some additional validation or supervision may be necessary to ensure a reliable system-level performance. </w:t>
      </w:r>
      <w:r w:rsidR="009C3421">
        <w:rPr>
          <w:rFonts w:eastAsia="Calibri"/>
        </w:rPr>
        <w:t>Specifically,</w:t>
      </w:r>
      <w:r w:rsidR="009C3421">
        <w:t xml:space="preserve"> LMF may need to check from time to time whether the AI/ML model in UE works well or not. For this purpose, the UE can report</w:t>
      </w:r>
      <w:r w:rsidR="00E40CC7">
        <w:t xml:space="preserve"> model quality information</w:t>
      </w:r>
      <w:r w:rsidR="009C3421">
        <w:t xml:space="preserve"> to LMF periodically or when triggered by LMF. </w:t>
      </w:r>
      <w:r w:rsidR="00E40CC7">
        <w:t xml:space="preserve">The model quality information may include: model monitoring decisions by UE, quality of the model output (e.g., uncertainty and confidence of model output). </w:t>
      </w:r>
      <w:r w:rsidR="009C3421">
        <w:t>This allows the LMF to supervise the UE's AI/ML positioning functionality at a high level.</w:t>
      </w:r>
    </w:p>
    <w:p w14:paraId="5C885289" w14:textId="21C91BD0" w:rsidR="009C3421" w:rsidRDefault="00E40CC7" w:rsidP="009C3421">
      <w:r>
        <w:t>Similarly, for Case 3a, the LMF need to supervise gNB’s AI/ML positioning functionality at a high level. LMF can check the quality of model output reported by gNB. In addition, the gNB can report its model monitoring decisions to LMF periodically or when triggered by LMF.</w:t>
      </w:r>
      <w:r w:rsidR="00BA35FE">
        <w:t xml:space="preserve"> </w:t>
      </w:r>
      <w:r w:rsidR="00A57968">
        <w:t>Specifically, t</w:t>
      </w:r>
      <w:r w:rsidR="00BA35FE">
        <w:t>he gNB can feedback model monitoring decision to the LMF using e.g. measurement error with cause value. The signaling details are up to RAN3.</w:t>
      </w:r>
    </w:p>
    <w:p w14:paraId="41459B94" w14:textId="11B74020" w:rsidR="009C3421" w:rsidRDefault="00CD51F2" w:rsidP="009C3421">
      <w:r>
        <w:t xml:space="preserve">As discussed in section </w:t>
      </w:r>
      <w:r>
        <w:fldChar w:fldCharType="begin"/>
      </w:r>
      <w:r>
        <w:instrText xml:space="preserve"> REF _Ref178953317 \r </w:instrText>
      </w:r>
      <w:r>
        <w:fldChar w:fldCharType="separate"/>
      </w:r>
      <w:r w:rsidR="00850DA1">
        <w:t>6.1</w:t>
      </w:r>
      <w:r>
        <w:fldChar w:fldCharType="end"/>
      </w:r>
      <w:r>
        <w:t>, f</w:t>
      </w:r>
      <w:r w:rsidR="009C3421">
        <w:t xml:space="preserve">or both direct and assisted AI/ML positioning, the LMF is responsible for configuring the positioning method for the target UE as in legacy. Thus, the LMF can decide to deactivate the AI/ML based positioning </w:t>
      </w:r>
      <w:r w:rsidR="009C3421" w:rsidRPr="00F6182E">
        <w:rPr>
          <w:i/>
          <w:iCs/>
          <w:u w:val="single"/>
        </w:rPr>
        <w:t>methods</w:t>
      </w:r>
      <w:r w:rsidR="009C3421">
        <w:t>, e.g., if the LMF decides that the model is no longer appropriate for the deployment. For example, for Case 1/2a/3a, it can be understood the model inference entity (UE, gNB) performs model monitoring and makes preliminary model monitoring decision, while LMF can make the final decision</w:t>
      </w:r>
      <w:r w:rsidR="004561FC">
        <w:t xml:space="preserve"> such as </w:t>
      </w:r>
      <w:r w:rsidR="004561FC" w:rsidRPr="0078718A">
        <w:rPr>
          <w:color w:val="000000" w:themeColor="text1"/>
          <w:szCs w:val="20"/>
        </w:rPr>
        <w:t>functionality deactivation, fallback</w:t>
      </w:r>
      <w:r w:rsidR="004561FC">
        <w:rPr>
          <w:color w:val="000000" w:themeColor="text1"/>
          <w:szCs w:val="20"/>
        </w:rPr>
        <w:t xml:space="preserve"> to a legacy method</w:t>
      </w:r>
      <w:r w:rsidR="009C3421">
        <w:t xml:space="preserve">. </w:t>
      </w:r>
    </w:p>
    <w:p w14:paraId="266E6238" w14:textId="77777777" w:rsidR="009C3421" w:rsidRDefault="009C3421" w:rsidP="009C3421"/>
    <w:p w14:paraId="73BAD5EF" w14:textId="77777777" w:rsidR="009C3421" w:rsidRDefault="009C3421" w:rsidP="009C3421">
      <w:pPr>
        <w:pStyle w:val="Proposal"/>
      </w:pPr>
      <w:bookmarkStart w:id="1564" w:name="_Toc178961953"/>
      <w:r>
        <w:t>For both direct and assisted AI/ML positioning, the model inference entity is the core entity that performs continuous model monitoring itself, including calculation of model monitoring metrics.</w:t>
      </w:r>
      <w:bookmarkEnd w:id="1564"/>
      <w:r>
        <w:t xml:space="preserve"> </w:t>
      </w:r>
    </w:p>
    <w:p w14:paraId="3DEF5E5A" w14:textId="33662B81" w:rsidR="006B7D35" w:rsidRDefault="006B7D35" w:rsidP="009C3421">
      <w:pPr>
        <w:pStyle w:val="Proposal"/>
      </w:pPr>
      <w:bookmarkStart w:id="1565" w:name="_Toc178961954"/>
      <w:r>
        <w:t>For Case 1/3a, the target UE (Case 1) and gNB (Case 3a) makes the model management decision and recommendation as a result of model performance monitoring. The target UE and gNB sends its model management decision and recommendation to LMF</w:t>
      </w:r>
      <w:r w:rsidR="00390C82">
        <w:t xml:space="preserve">, e.g., failure cause values </w:t>
      </w:r>
      <w:r w:rsidR="00C652EA">
        <w:t xml:space="preserve">as </w:t>
      </w:r>
      <w:r w:rsidR="00390C82">
        <w:t>in the positioning framework</w:t>
      </w:r>
      <w:r>
        <w:t>.</w:t>
      </w:r>
      <w:bookmarkEnd w:id="1565"/>
    </w:p>
    <w:p w14:paraId="1A9B3500" w14:textId="6702780B" w:rsidR="009C3421" w:rsidRPr="0078718A" w:rsidRDefault="006B7D35" w:rsidP="00390C82">
      <w:pPr>
        <w:pStyle w:val="Proposal"/>
      </w:pPr>
      <w:bookmarkStart w:id="1566" w:name="_Toc178961955"/>
      <w:r>
        <w:lastRenderedPageBreak/>
        <w:t xml:space="preserve">For Case 1/3a, </w:t>
      </w:r>
      <w:r w:rsidR="009C3421">
        <w:t xml:space="preserve">LMF make </w:t>
      </w:r>
      <w:r>
        <w:t xml:space="preserve">functionality-level decisions, including </w:t>
      </w:r>
      <w:r w:rsidR="009C3421">
        <w:t>whether to activate or deactivate AI/ML positioning, and which AI/ML positioning method to use.</w:t>
      </w:r>
      <w:bookmarkEnd w:id="1566"/>
      <w:r w:rsidR="00390C82">
        <w:t xml:space="preserve"> </w:t>
      </w:r>
    </w:p>
    <w:p w14:paraId="3FB9D93F" w14:textId="70D4FF8F" w:rsidR="005D0D1E" w:rsidRPr="00E215F0" w:rsidRDefault="008722C6" w:rsidP="005D0D1E">
      <w:pPr>
        <w:pStyle w:val="Heading1"/>
        <w:rPr>
          <w:lang w:val="en-US"/>
        </w:rPr>
      </w:pPr>
      <w:bookmarkStart w:id="1567" w:name="_Toc178705396"/>
      <w:bookmarkStart w:id="1568" w:name="_Toc178706298"/>
      <w:bookmarkStart w:id="1569" w:name="_Toc178709276"/>
      <w:bookmarkStart w:id="1570" w:name="_Toc178772998"/>
      <w:bookmarkStart w:id="1571" w:name="_Toc178929601"/>
      <w:bookmarkStart w:id="1572" w:name="_Toc178705397"/>
      <w:bookmarkStart w:id="1573" w:name="_Toc178706299"/>
      <w:bookmarkStart w:id="1574" w:name="_Toc178709277"/>
      <w:bookmarkStart w:id="1575" w:name="_Toc178772999"/>
      <w:bookmarkStart w:id="1576" w:name="_Toc178929602"/>
      <w:bookmarkStart w:id="1577" w:name="_Toc178705413"/>
      <w:bookmarkStart w:id="1578" w:name="_Toc178706315"/>
      <w:bookmarkStart w:id="1579" w:name="_Toc178709293"/>
      <w:bookmarkStart w:id="1580" w:name="_Toc178773015"/>
      <w:bookmarkStart w:id="1581" w:name="_Toc178929618"/>
      <w:bookmarkStart w:id="1582" w:name="_Toc178705414"/>
      <w:bookmarkStart w:id="1583" w:name="_Toc178706316"/>
      <w:bookmarkStart w:id="1584" w:name="_Toc178709294"/>
      <w:bookmarkStart w:id="1585" w:name="_Toc178773016"/>
      <w:bookmarkStart w:id="1586" w:name="_Toc178929619"/>
      <w:bookmarkStart w:id="1587" w:name="_Toc178705415"/>
      <w:bookmarkStart w:id="1588" w:name="_Toc178706317"/>
      <w:bookmarkStart w:id="1589" w:name="_Toc178709295"/>
      <w:bookmarkStart w:id="1590" w:name="_Toc178773017"/>
      <w:bookmarkStart w:id="1591" w:name="_Toc178929620"/>
      <w:bookmarkStart w:id="1592" w:name="_Toc178705416"/>
      <w:bookmarkStart w:id="1593" w:name="_Toc178706318"/>
      <w:bookmarkStart w:id="1594" w:name="_Toc178709296"/>
      <w:bookmarkStart w:id="1595" w:name="_Toc178773018"/>
      <w:bookmarkStart w:id="1596" w:name="_Toc178929621"/>
      <w:bookmarkStart w:id="1597" w:name="_Toc178705417"/>
      <w:bookmarkStart w:id="1598" w:name="_Toc178706319"/>
      <w:bookmarkStart w:id="1599" w:name="_Toc178709297"/>
      <w:bookmarkStart w:id="1600" w:name="_Toc178773019"/>
      <w:bookmarkStart w:id="1601" w:name="_Toc178929622"/>
      <w:bookmarkStart w:id="1602" w:name="_Toc178705418"/>
      <w:bookmarkStart w:id="1603" w:name="_Toc178706320"/>
      <w:bookmarkStart w:id="1604" w:name="_Toc178709298"/>
      <w:bookmarkStart w:id="1605" w:name="_Toc178773020"/>
      <w:bookmarkStart w:id="1606" w:name="_Toc178929623"/>
      <w:bookmarkStart w:id="1607" w:name="_Toc178705419"/>
      <w:bookmarkStart w:id="1608" w:name="_Toc178706321"/>
      <w:bookmarkStart w:id="1609" w:name="_Toc178709299"/>
      <w:bookmarkStart w:id="1610" w:name="_Toc178773021"/>
      <w:bookmarkStart w:id="1611" w:name="_Toc178929624"/>
      <w:bookmarkStart w:id="1612" w:name="_Toc178705420"/>
      <w:bookmarkStart w:id="1613" w:name="_Toc178706322"/>
      <w:bookmarkStart w:id="1614" w:name="_Toc178709300"/>
      <w:bookmarkStart w:id="1615" w:name="_Toc178773022"/>
      <w:bookmarkStart w:id="1616" w:name="_Toc178929625"/>
      <w:bookmarkStart w:id="1617" w:name="_Toc178705421"/>
      <w:bookmarkStart w:id="1618" w:name="_Toc178706323"/>
      <w:bookmarkStart w:id="1619" w:name="_Toc178709301"/>
      <w:bookmarkStart w:id="1620" w:name="_Toc178773023"/>
      <w:bookmarkStart w:id="1621" w:name="_Toc178929626"/>
      <w:bookmarkStart w:id="1622" w:name="_Toc178705422"/>
      <w:bookmarkStart w:id="1623" w:name="_Toc178706324"/>
      <w:bookmarkStart w:id="1624" w:name="_Toc178709302"/>
      <w:bookmarkStart w:id="1625" w:name="_Toc178773024"/>
      <w:bookmarkStart w:id="1626" w:name="_Toc178929627"/>
      <w:bookmarkStart w:id="1627" w:name="_Toc178705423"/>
      <w:bookmarkStart w:id="1628" w:name="_Toc178706325"/>
      <w:bookmarkStart w:id="1629" w:name="_Toc178709303"/>
      <w:bookmarkStart w:id="1630" w:name="_Toc178773025"/>
      <w:bookmarkStart w:id="1631" w:name="_Toc178929628"/>
      <w:bookmarkStart w:id="1632" w:name="_Toc178705424"/>
      <w:bookmarkStart w:id="1633" w:name="_Toc178706326"/>
      <w:bookmarkStart w:id="1634" w:name="_Toc178709304"/>
      <w:bookmarkStart w:id="1635" w:name="_Toc178773026"/>
      <w:bookmarkStart w:id="1636" w:name="_Toc178929629"/>
      <w:bookmarkStart w:id="1637" w:name="_Toc178705425"/>
      <w:bookmarkStart w:id="1638" w:name="_Toc178706327"/>
      <w:bookmarkStart w:id="1639" w:name="_Toc178709305"/>
      <w:bookmarkStart w:id="1640" w:name="_Toc178773027"/>
      <w:bookmarkStart w:id="1641" w:name="_Toc178929630"/>
      <w:bookmarkStart w:id="1642" w:name="_Toc178705436"/>
      <w:bookmarkStart w:id="1643" w:name="_Toc178706338"/>
      <w:bookmarkStart w:id="1644" w:name="_Toc178709316"/>
      <w:bookmarkStart w:id="1645" w:name="_Toc178773038"/>
      <w:bookmarkStart w:id="1646" w:name="_Toc178929641"/>
      <w:bookmarkStart w:id="1647" w:name="_Toc178705437"/>
      <w:bookmarkStart w:id="1648" w:name="_Toc178706339"/>
      <w:bookmarkStart w:id="1649" w:name="_Toc178709317"/>
      <w:bookmarkStart w:id="1650" w:name="_Toc178773039"/>
      <w:bookmarkStart w:id="1651" w:name="_Toc178929642"/>
      <w:bookmarkStart w:id="1652" w:name="_Toc178705438"/>
      <w:bookmarkStart w:id="1653" w:name="_Toc178706340"/>
      <w:bookmarkStart w:id="1654" w:name="_Toc178709318"/>
      <w:bookmarkStart w:id="1655" w:name="_Toc178773040"/>
      <w:bookmarkStart w:id="1656" w:name="_Toc178929643"/>
      <w:bookmarkStart w:id="1657" w:name="_Toc178705439"/>
      <w:bookmarkStart w:id="1658" w:name="_Toc178706341"/>
      <w:bookmarkStart w:id="1659" w:name="_Toc178709319"/>
      <w:bookmarkStart w:id="1660" w:name="_Toc178773041"/>
      <w:bookmarkStart w:id="1661" w:name="_Toc178929644"/>
      <w:bookmarkStart w:id="1662" w:name="_Toc178705440"/>
      <w:bookmarkStart w:id="1663" w:name="_Toc178706342"/>
      <w:bookmarkStart w:id="1664" w:name="_Toc178709320"/>
      <w:bookmarkStart w:id="1665" w:name="_Toc178773042"/>
      <w:bookmarkStart w:id="1666" w:name="_Toc178929645"/>
      <w:bookmarkStart w:id="1667" w:name="_Toc178705441"/>
      <w:bookmarkStart w:id="1668" w:name="_Toc178706343"/>
      <w:bookmarkStart w:id="1669" w:name="_Toc178709321"/>
      <w:bookmarkStart w:id="1670" w:name="_Toc178773043"/>
      <w:bookmarkStart w:id="1671" w:name="_Toc178929646"/>
      <w:bookmarkStart w:id="1672" w:name="_Toc178705442"/>
      <w:bookmarkStart w:id="1673" w:name="_Toc178706344"/>
      <w:bookmarkStart w:id="1674" w:name="_Toc178709322"/>
      <w:bookmarkStart w:id="1675" w:name="_Toc178773044"/>
      <w:bookmarkStart w:id="1676" w:name="_Toc178929647"/>
      <w:bookmarkStart w:id="1677" w:name="_Toc178705443"/>
      <w:bookmarkStart w:id="1678" w:name="_Toc178706345"/>
      <w:bookmarkStart w:id="1679" w:name="_Toc178709323"/>
      <w:bookmarkStart w:id="1680" w:name="_Toc178773045"/>
      <w:bookmarkStart w:id="1681" w:name="_Toc178929648"/>
      <w:bookmarkStart w:id="1682" w:name="_Toc178705444"/>
      <w:bookmarkStart w:id="1683" w:name="_Toc178706346"/>
      <w:bookmarkStart w:id="1684" w:name="_Toc178709324"/>
      <w:bookmarkStart w:id="1685" w:name="_Toc178773046"/>
      <w:bookmarkStart w:id="1686" w:name="_Toc178929649"/>
      <w:bookmarkStart w:id="1687" w:name="_Toc178705445"/>
      <w:bookmarkStart w:id="1688" w:name="_Toc178706347"/>
      <w:bookmarkStart w:id="1689" w:name="_Toc178709325"/>
      <w:bookmarkStart w:id="1690" w:name="_Toc178773047"/>
      <w:bookmarkStart w:id="1691" w:name="_Toc178929650"/>
      <w:bookmarkStart w:id="1692" w:name="_Toc178705446"/>
      <w:bookmarkStart w:id="1693" w:name="_Toc178706348"/>
      <w:bookmarkStart w:id="1694" w:name="_Toc178709326"/>
      <w:bookmarkStart w:id="1695" w:name="_Toc178773048"/>
      <w:bookmarkStart w:id="1696" w:name="_Toc178929651"/>
      <w:bookmarkStart w:id="1697" w:name="_Toc178705447"/>
      <w:bookmarkStart w:id="1698" w:name="_Toc178706349"/>
      <w:bookmarkStart w:id="1699" w:name="_Toc178709327"/>
      <w:bookmarkStart w:id="1700" w:name="_Toc178773049"/>
      <w:bookmarkStart w:id="1701" w:name="_Toc178929652"/>
      <w:bookmarkStart w:id="1702" w:name="_Toc178705448"/>
      <w:bookmarkStart w:id="1703" w:name="_Toc178706350"/>
      <w:bookmarkStart w:id="1704" w:name="_Toc178709328"/>
      <w:bookmarkStart w:id="1705" w:name="_Toc178773050"/>
      <w:bookmarkStart w:id="1706" w:name="_Toc178929653"/>
      <w:bookmarkStart w:id="1707" w:name="_Toc178705449"/>
      <w:bookmarkStart w:id="1708" w:name="_Toc178706351"/>
      <w:bookmarkStart w:id="1709" w:name="_Toc178709329"/>
      <w:bookmarkStart w:id="1710" w:name="_Toc178773051"/>
      <w:bookmarkStart w:id="1711" w:name="_Toc178929654"/>
      <w:bookmarkStart w:id="1712" w:name="_Toc178705450"/>
      <w:bookmarkStart w:id="1713" w:name="_Toc178706352"/>
      <w:bookmarkStart w:id="1714" w:name="_Toc178709330"/>
      <w:bookmarkStart w:id="1715" w:name="_Toc178773052"/>
      <w:bookmarkStart w:id="1716" w:name="_Toc178929655"/>
      <w:bookmarkStart w:id="1717" w:name="_Toc178705451"/>
      <w:bookmarkStart w:id="1718" w:name="_Toc178706353"/>
      <w:bookmarkStart w:id="1719" w:name="_Toc178709331"/>
      <w:bookmarkStart w:id="1720" w:name="_Toc178773053"/>
      <w:bookmarkStart w:id="1721" w:name="_Toc178929656"/>
      <w:bookmarkStart w:id="1722" w:name="_Toc178705452"/>
      <w:bookmarkStart w:id="1723" w:name="_Toc178706354"/>
      <w:bookmarkStart w:id="1724" w:name="_Toc178709332"/>
      <w:bookmarkStart w:id="1725" w:name="_Toc178773054"/>
      <w:bookmarkStart w:id="1726" w:name="_Toc178929657"/>
      <w:bookmarkStart w:id="1727" w:name="_Toc178705453"/>
      <w:bookmarkStart w:id="1728" w:name="_Toc178706355"/>
      <w:bookmarkStart w:id="1729" w:name="_Toc178709333"/>
      <w:bookmarkStart w:id="1730" w:name="_Toc178773055"/>
      <w:bookmarkStart w:id="1731" w:name="_Toc178929658"/>
      <w:bookmarkStart w:id="1732" w:name="_Toc178705454"/>
      <w:bookmarkStart w:id="1733" w:name="_Toc178706356"/>
      <w:bookmarkStart w:id="1734" w:name="_Toc178709334"/>
      <w:bookmarkStart w:id="1735" w:name="_Toc178773056"/>
      <w:bookmarkStart w:id="1736" w:name="_Toc178929659"/>
      <w:bookmarkStart w:id="1737" w:name="_Toc178705455"/>
      <w:bookmarkStart w:id="1738" w:name="_Toc178706357"/>
      <w:bookmarkStart w:id="1739" w:name="_Toc178709335"/>
      <w:bookmarkStart w:id="1740" w:name="_Toc178773057"/>
      <w:bookmarkStart w:id="1741" w:name="_Toc178929660"/>
      <w:bookmarkStart w:id="1742" w:name="_Toc178705456"/>
      <w:bookmarkStart w:id="1743" w:name="_Toc178706358"/>
      <w:bookmarkStart w:id="1744" w:name="_Toc178709336"/>
      <w:bookmarkStart w:id="1745" w:name="_Toc178773058"/>
      <w:bookmarkStart w:id="1746" w:name="_Toc178929661"/>
      <w:bookmarkStart w:id="1747" w:name="_Toc178705457"/>
      <w:bookmarkStart w:id="1748" w:name="_Toc178706359"/>
      <w:bookmarkStart w:id="1749" w:name="_Toc178709337"/>
      <w:bookmarkStart w:id="1750" w:name="_Toc178773059"/>
      <w:bookmarkStart w:id="1751" w:name="_Toc178929662"/>
      <w:bookmarkStart w:id="1752" w:name="_Toc178705458"/>
      <w:bookmarkStart w:id="1753" w:name="_Toc178706360"/>
      <w:bookmarkStart w:id="1754" w:name="_Toc178709338"/>
      <w:bookmarkStart w:id="1755" w:name="_Toc178773060"/>
      <w:bookmarkStart w:id="1756" w:name="_Toc178929663"/>
      <w:bookmarkStart w:id="1757" w:name="_Toc178705459"/>
      <w:bookmarkStart w:id="1758" w:name="_Toc178706361"/>
      <w:bookmarkStart w:id="1759" w:name="_Toc178709339"/>
      <w:bookmarkStart w:id="1760" w:name="_Toc178773061"/>
      <w:bookmarkStart w:id="1761" w:name="_Toc178929664"/>
      <w:bookmarkStart w:id="1762" w:name="_Toc178705460"/>
      <w:bookmarkStart w:id="1763" w:name="_Toc178706362"/>
      <w:bookmarkStart w:id="1764" w:name="_Toc178709340"/>
      <w:bookmarkStart w:id="1765" w:name="_Toc178773062"/>
      <w:bookmarkStart w:id="1766" w:name="_Toc178929665"/>
      <w:bookmarkStart w:id="1767" w:name="_Toc178705461"/>
      <w:bookmarkStart w:id="1768" w:name="_Toc178706363"/>
      <w:bookmarkStart w:id="1769" w:name="_Toc178709341"/>
      <w:bookmarkStart w:id="1770" w:name="_Toc178773063"/>
      <w:bookmarkStart w:id="1771" w:name="_Toc178929666"/>
      <w:bookmarkStart w:id="1772" w:name="_Toc178705462"/>
      <w:bookmarkStart w:id="1773" w:name="_Toc178706364"/>
      <w:bookmarkStart w:id="1774" w:name="_Toc178709342"/>
      <w:bookmarkStart w:id="1775" w:name="_Toc178773064"/>
      <w:bookmarkStart w:id="1776" w:name="_Toc178929667"/>
      <w:bookmarkStart w:id="1777" w:name="_Toc178705463"/>
      <w:bookmarkStart w:id="1778" w:name="_Toc178706365"/>
      <w:bookmarkStart w:id="1779" w:name="_Toc178709343"/>
      <w:bookmarkStart w:id="1780" w:name="_Toc178773065"/>
      <w:bookmarkStart w:id="1781" w:name="_Toc178929668"/>
      <w:bookmarkStart w:id="1782" w:name="_Toc178705464"/>
      <w:bookmarkStart w:id="1783" w:name="_Toc178706366"/>
      <w:bookmarkStart w:id="1784" w:name="_Toc178709344"/>
      <w:bookmarkStart w:id="1785" w:name="_Toc178773066"/>
      <w:bookmarkStart w:id="1786" w:name="_Toc178929669"/>
      <w:bookmarkStart w:id="1787" w:name="_Toc178705465"/>
      <w:bookmarkStart w:id="1788" w:name="_Toc178706367"/>
      <w:bookmarkStart w:id="1789" w:name="_Toc178709345"/>
      <w:bookmarkStart w:id="1790" w:name="_Toc178773067"/>
      <w:bookmarkStart w:id="1791" w:name="_Toc178929670"/>
      <w:bookmarkStart w:id="1792" w:name="_Toc178705466"/>
      <w:bookmarkStart w:id="1793" w:name="_Toc178706368"/>
      <w:bookmarkStart w:id="1794" w:name="_Toc178709346"/>
      <w:bookmarkStart w:id="1795" w:name="_Toc178773068"/>
      <w:bookmarkStart w:id="1796" w:name="_Toc178929671"/>
      <w:bookmarkStart w:id="1797" w:name="_Toc178705467"/>
      <w:bookmarkStart w:id="1798" w:name="_Toc178706369"/>
      <w:bookmarkStart w:id="1799" w:name="_Toc178709347"/>
      <w:bookmarkStart w:id="1800" w:name="_Toc178773069"/>
      <w:bookmarkStart w:id="1801" w:name="_Toc178929672"/>
      <w:bookmarkStart w:id="1802" w:name="_Toc178705468"/>
      <w:bookmarkStart w:id="1803" w:name="_Toc178706370"/>
      <w:bookmarkStart w:id="1804" w:name="_Toc178709348"/>
      <w:bookmarkStart w:id="1805" w:name="_Toc178773070"/>
      <w:bookmarkStart w:id="1806" w:name="_Toc178929673"/>
      <w:bookmarkStart w:id="1807" w:name="_Toc178961685"/>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r>
        <w:rPr>
          <w:lang w:val="en-US"/>
        </w:rPr>
        <w:t>M</w:t>
      </w:r>
      <w:r w:rsidRPr="00E215F0">
        <w:rPr>
          <w:lang w:val="en-US"/>
        </w:rPr>
        <w:t>odel inference</w:t>
      </w:r>
      <w:bookmarkEnd w:id="1807"/>
    </w:p>
    <w:p w14:paraId="422794C8" w14:textId="1B21FF36" w:rsidR="000B0803" w:rsidRPr="00940426" w:rsidRDefault="007272A6" w:rsidP="00BB1251">
      <w:pPr>
        <w:pStyle w:val="Heading2"/>
        <w:rPr>
          <w:lang w:val="en-US"/>
        </w:rPr>
      </w:pPr>
      <w:bookmarkStart w:id="1808" w:name="_Ref163214421"/>
      <w:bookmarkStart w:id="1809" w:name="_Toc165991019"/>
      <w:bookmarkStart w:id="1810" w:name="_Toc178961686"/>
      <w:r w:rsidRPr="00E215F0">
        <w:rPr>
          <w:lang w:val="en-US"/>
        </w:rPr>
        <w:t>Signaling</w:t>
      </w:r>
      <w:r w:rsidR="00CC2AF9" w:rsidRPr="00E215F0">
        <w:rPr>
          <w:lang w:val="en-US"/>
        </w:rPr>
        <w:t xml:space="preserve"> to support </w:t>
      </w:r>
      <w:r w:rsidR="00EF7DC7" w:rsidRPr="00E215F0">
        <w:rPr>
          <w:lang w:val="en-US"/>
        </w:rPr>
        <w:t>model inference</w:t>
      </w:r>
      <w:bookmarkEnd w:id="1808"/>
      <w:bookmarkEnd w:id="1809"/>
      <w:bookmarkEnd w:id="1810"/>
    </w:p>
    <w:p w14:paraId="4BC0A575" w14:textId="62C5324D" w:rsidR="00BB1251" w:rsidRPr="00BB1251" w:rsidRDefault="00BB1251" w:rsidP="00BB1251">
      <w:r>
        <w:t xml:space="preserve">For the model inference stage of LCM, </w:t>
      </w:r>
      <w:r w:rsidR="00E95AA0">
        <w:t xml:space="preserve">for an AI/ML model to work properly, the model inference context needs to be consistent with model training context. The model training context </w:t>
      </w:r>
      <w:r w:rsidR="00B65BE1">
        <w:t xml:space="preserve">need to include </w:t>
      </w:r>
      <w:r w:rsidR="00E95AA0">
        <w:t xml:space="preserve">all the settings that noticeably affect the model performance and cannot be ignored. </w:t>
      </w:r>
      <w:r w:rsidR="00B65BE1">
        <w:t>A</w:t>
      </w:r>
      <w:r>
        <w:t xml:space="preserve"> model cannot be activated for inference without checking the model inference context requirement. Specifically,</w:t>
      </w:r>
    </w:p>
    <w:p w14:paraId="7D76054D" w14:textId="77777777" w:rsidR="00BB1251" w:rsidRPr="00194B5B" w:rsidRDefault="00BB1251" w:rsidP="00D35F36">
      <w:pPr>
        <w:pStyle w:val="ListParagraph"/>
        <w:numPr>
          <w:ilvl w:val="0"/>
          <w:numId w:val="38"/>
        </w:numPr>
      </w:pPr>
      <w:r w:rsidRPr="00194B5B">
        <w:t xml:space="preserve">If the model inference context requirement is </w:t>
      </w:r>
      <w:r w:rsidRPr="00194B5B">
        <w:rPr>
          <w:u w:val="single"/>
        </w:rPr>
        <w:t>satisfied</w:t>
      </w:r>
      <w:r w:rsidRPr="00194B5B">
        <w:t>, then the model inference can proceed.</w:t>
      </w:r>
    </w:p>
    <w:p w14:paraId="40F403C9" w14:textId="471701F4" w:rsidR="00B65BE1" w:rsidRPr="00194B5B" w:rsidRDefault="00B65BE1" w:rsidP="00D35F36">
      <w:pPr>
        <w:pStyle w:val="ListParagraph"/>
        <w:numPr>
          <w:ilvl w:val="1"/>
          <w:numId w:val="38"/>
        </w:numPr>
      </w:pPr>
      <w:r>
        <w:t>This is the ideal case where the trained model is fully compatible with the deployment environment.</w:t>
      </w:r>
    </w:p>
    <w:p w14:paraId="36F7A8D0" w14:textId="77777777" w:rsidR="00B65BE1" w:rsidRPr="00194B5B" w:rsidRDefault="00BB1251" w:rsidP="00D35F36">
      <w:pPr>
        <w:pStyle w:val="ListParagraph"/>
        <w:numPr>
          <w:ilvl w:val="0"/>
          <w:numId w:val="38"/>
        </w:numPr>
      </w:pPr>
      <w:r w:rsidRPr="00194B5B">
        <w:t xml:space="preserve">If the model inference context requirement is </w:t>
      </w:r>
      <w:r w:rsidRPr="00194B5B">
        <w:rPr>
          <w:u w:val="single"/>
        </w:rPr>
        <w:t>not satisfied</w:t>
      </w:r>
      <w:r w:rsidRPr="00194B5B">
        <w:t xml:space="preserve">, </w:t>
      </w:r>
      <w:r w:rsidRPr="00B11F71">
        <w:t xml:space="preserve">then configuration can be </w:t>
      </w:r>
      <w:r w:rsidRPr="00B11F71">
        <w:rPr>
          <w:u w:val="single"/>
        </w:rPr>
        <w:t>updated</w:t>
      </w:r>
      <w:r w:rsidRPr="00B11F71">
        <w:t xml:space="preserve"> to satisfy the model inference context requirement. After that, the model inference can proceed.</w:t>
      </w:r>
      <w:r w:rsidR="00B65BE1" w:rsidRPr="00B11F71">
        <w:t xml:space="preserve"> </w:t>
      </w:r>
    </w:p>
    <w:p w14:paraId="33B664FE" w14:textId="044B970A" w:rsidR="00BB1251" w:rsidRPr="00194B5B" w:rsidRDefault="00B65BE1" w:rsidP="00D35F36">
      <w:pPr>
        <w:pStyle w:val="ListParagraph"/>
        <w:numPr>
          <w:ilvl w:val="1"/>
          <w:numId w:val="38"/>
        </w:numPr>
      </w:pPr>
      <w:r>
        <w:t xml:space="preserve">This may happen if the model is trained for the deployment area, but some of the </w:t>
      </w:r>
      <w:r w:rsidR="005A01C1">
        <w:t xml:space="preserve">parameters (e.g., </w:t>
      </w:r>
      <w:r>
        <w:t>PRS</w:t>
      </w:r>
      <w:r w:rsidR="005A01C1">
        <w:t xml:space="preserve">) </w:t>
      </w:r>
      <w:r>
        <w:t xml:space="preserve">are not configured </w:t>
      </w:r>
      <w:r w:rsidR="005A01C1">
        <w:t>the same</w:t>
      </w:r>
      <w:r>
        <w:t xml:space="preserve"> as in the model training.</w:t>
      </w:r>
    </w:p>
    <w:p w14:paraId="774D2E3A" w14:textId="2471DEBA" w:rsidR="00BB1251" w:rsidRPr="00194B5B" w:rsidRDefault="00BB1251" w:rsidP="00D35F36">
      <w:pPr>
        <w:pStyle w:val="ListParagraph"/>
        <w:numPr>
          <w:ilvl w:val="0"/>
          <w:numId w:val="38"/>
        </w:numPr>
      </w:pPr>
      <w:r w:rsidRPr="00194B5B">
        <w:t xml:space="preserve">If the model inference context requirement is </w:t>
      </w:r>
      <w:r w:rsidRPr="00194B5B">
        <w:rPr>
          <w:u w:val="single"/>
        </w:rPr>
        <w:t>not satisfied</w:t>
      </w:r>
      <w:r w:rsidRPr="00194B5B">
        <w:t xml:space="preserve">, and the configuration </w:t>
      </w:r>
      <w:r w:rsidRPr="00194B5B">
        <w:rPr>
          <w:u w:val="single"/>
        </w:rPr>
        <w:t>cannot be updated</w:t>
      </w:r>
      <w:r w:rsidRPr="00194B5B">
        <w:t xml:space="preserve"> to satisfy the model inference context requirement, then model inference </w:t>
      </w:r>
      <w:r w:rsidR="00E51958">
        <w:t xml:space="preserve">may </w:t>
      </w:r>
      <w:r w:rsidR="00E51958" w:rsidRPr="00194B5B">
        <w:t xml:space="preserve">not </w:t>
      </w:r>
      <w:r w:rsidRPr="00194B5B">
        <w:t>proceed.</w:t>
      </w:r>
      <w:r w:rsidR="00E51958">
        <w:t xml:space="preserve"> </w:t>
      </w:r>
      <w:r w:rsidRPr="00194B5B">
        <w:t>A notification message (e.g., an error message) can be sent on the failure of model inference due to mismatched context between model training and model inference.</w:t>
      </w:r>
    </w:p>
    <w:p w14:paraId="17D668BC" w14:textId="57CD6078" w:rsidR="00B65BE1" w:rsidRPr="00194B5B" w:rsidRDefault="00B65BE1" w:rsidP="00D35F36">
      <w:pPr>
        <w:pStyle w:val="ListParagraph"/>
        <w:numPr>
          <w:ilvl w:val="1"/>
          <w:numId w:val="38"/>
        </w:numPr>
      </w:pPr>
      <w:r>
        <w:t>This may happen if the deployment area is different from the validity area of the trained model.</w:t>
      </w:r>
    </w:p>
    <w:p w14:paraId="5505E9EA" w14:textId="0EE8E977" w:rsidR="00E51958" w:rsidRDefault="00E51958" w:rsidP="00B11F71">
      <w:pPr>
        <w:spacing w:before="240"/>
      </w:pPr>
      <w:r>
        <w:t>Under the broad outline above, there can be further nuanced procedure, if the context requirement is not satisfied for a subset of the TRPs (TRP</w:t>
      </w:r>
      <w:r w:rsidRPr="00B11F71">
        <w:rPr>
          <w:vertAlign w:val="subscript"/>
        </w:rPr>
        <w:t>in</w:t>
      </w:r>
      <w:r>
        <w:rPr>
          <w:vertAlign w:val="subscript"/>
        </w:rPr>
        <w:t>consistent</w:t>
      </w:r>
      <w:r>
        <w:t>), but satisfied for the remaining TRPs (TRP</w:t>
      </w:r>
      <w:r>
        <w:rPr>
          <w:vertAlign w:val="subscript"/>
        </w:rPr>
        <w:t>consistent</w:t>
      </w:r>
      <w:r>
        <w:t>). For example, for TRP</w:t>
      </w:r>
      <w:r w:rsidRPr="00927A33">
        <w:rPr>
          <w:vertAlign w:val="subscript"/>
        </w:rPr>
        <w:t>in</w:t>
      </w:r>
      <w:r>
        <w:rPr>
          <w:vertAlign w:val="subscript"/>
        </w:rPr>
        <w:t>consistent</w:t>
      </w:r>
      <w:r>
        <w:t>, the PRS beam pattern is changed between training data collection phase and model inference phase. In this case, if the model has been trained to handle a varying number of TRPs and/or a varying set of TRPs, then the model inference can still proceed by including TRP</w:t>
      </w:r>
      <w:r>
        <w:rPr>
          <w:vertAlign w:val="subscript"/>
        </w:rPr>
        <w:t>consistent</w:t>
      </w:r>
      <w:r>
        <w:t xml:space="preserve"> in model inference, while excluding TRP</w:t>
      </w:r>
      <w:r w:rsidRPr="00927A33">
        <w:rPr>
          <w:vertAlign w:val="subscript"/>
        </w:rPr>
        <w:t>in</w:t>
      </w:r>
      <w:r>
        <w:rPr>
          <w:vertAlign w:val="subscript"/>
        </w:rPr>
        <w:t>consistent</w:t>
      </w:r>
      <w:r>
        <w:t>.</w:t>
      </w:r>
    </w:p>
    <w:p w14:paraId="71885A0B" w14:textId="77777777" w:rsidR="00E51958" w:rsidRDefault="00E51958" w:rsidP="007272A6"/>
    <w:p w14:paraId="2E38F309" w14:textId="1AF66C6D" w:rsidR="00A940D2" w:rsidRDefault="000D40BF" w:rsidP="007272A6">
      <w:r>
        <w:t xml:space="preserve">The model inference context requirement </w:t>
      </w:r>
      <w:r w:rsidR="00290D43">
        <w:t>includes</w:t>
      </w:r>
      <w:r w:rsidR="00D16811">
        <w:t xml:space="preserve"> at least</w:t>
      </w:r>
      <w:r w:rsidR="00A940D2">
        <w:t xml:space="preserve"> the following of an AI/ML model</w:t>
      </w:r>
      <w:r w:rsidR="003B6EAE">
        <w:t xml:space="preserve">, which </w:t>
      </w:r>
      <w:r w:rsidR="008E717F">
        <w:t xml:space="preserve">are </w:t>
      </w:r>
      <w:r w:rsidR="003B6EAE">
        <w:t>directly related to the model input</w:t>
      </w:r>
      <w:r w:rsidR="00E57F11">
        <w:t xml:space="preserve"> of the various positioning cases</w:t>
      </w:r>
      <w:r>
        <w:t xml:space="preserve">: </w:t>
      </w:r>
    </w:p>
    <w:p w14:paraId="7C0D7222" w14:textId="7AAA5D6C" w:rsidR="00A940D2" w:rsidRPr="00194B5B" w:rsidRDefault="000D40BF" w:rsidP="00863182">
      <w:pPr>
        <w:pStyle w:val="ListParagraph"/>
        <w:numPr>
          <w:ilvl w:val="1"/>
          <w:numId w:val="18"/>
        </w:numPr>
      </w:pPr>
      <w:r w:rsidRPr="00194B5B">
        <w:t>validity area</w:t>
      </w:r>
      <w:r w:rsidR="003B6EAE">
        <w:t xml:space="preserve"> </w:t>
      </w:r>
      <w:r w:rsidR="00A940D2">
        <w:t>of the model for inference</w:t>
      </w:r>
      <w:r w:rsidR="00367A5D">
        <w:t xml:space="preserve">, </w:t>
      </w:r>
      <w:r w:rsidR="007005FD">
        <w:t xml:space="preserve">e.g., </w:t>
      </w:r>
      <w:r w:rsidR="00367A5D">
        <w:t>a list of TRPs that transmits PRS (for downlink based cases) or receives SRS (for uplink based bases)</w:t>
      </w:r>
      <w:r w:rsidRPr="00194B5B">
        <w:t xml:space="preserve">, </w:t>
      </w:r>
    </w:p>
    <w:p w14:paraId="37DF81B0" w14:textId="77777777" w:rsidR="00A940D2" w:rsidRPr="00194B5B" w:rsidRDefault="000D40BF" w:rsidP="00863182">
      <w:pPr>
        <w:pStyle w:val="ListParagraph"/>
        <w:numPr>
          <w:ilvl w:val="1"/>
          <w:numId w:val="18"/>
        </w:numPr>
      </w:pPr>
      <w:r w:rsidRPr="00194B5B">
        <w:rPr>
          <w:rFonts w:eastAsiaTheme="minorEastAsia"/>
        </w:rPr>
        <w:t>configuration of reference signal transmission and measurement</w:t>
      </w:r>
      <w:r w:rsidRPr="00194B5B">
        <w:t xml:space="preserve">, </w:t>
      </w:r>
    </w:p>
    <w:p w14:paraId="5CC3EFDD" w14:textId="697DE87E" w:rsidR="00A940D2" w:rsidRPr="00194B5B" w:rsidRDefault="00A940D2" w:rsidP="00863182">
      <w:pPr>
        <w:pStyle w:val="ListParagraph"/>
        <w:numPr>
          <w:ilvl w:val="2"/>
          <w:numId w:val="18"/>
        </w:numPr>
      </w:pPr>
      <w:r>
        <w:t>For models using DL PRS (Case 1, 2a, 2b), this refers to DL PRS configuration for transmission (Case 1, 2a, 2b), and measurement report on PRS (Case 2b).</w:t>
      </w:r>
    </w:p>
    <w:p w14:paraId="34A7F183" w14:textId="74CEF18A" w:rsidR="00A940D2" w:rsidRPr="00194B5B" w:rsidRDefault="00A940D2" w:rsidP="00863182">
      <w:pPr>
        <w:pStyle w:val="ListParagraph"/>
        <w:numPr>
          <w:ilvl w:val="2"/>
          <w:numId w:val="18"/>
        </w:numPr>
      </w:pPr>
      <w:r>
        <w:t xml:space="preserve">For models using UL SRS (Case 3a, 3b), this refers to UL SRS configuration for transmission (Case 3a, 3b), and measurement report on </w:t>
      </w:r>
      <w:r w:rsidR="00FB788D">
        <w:t xml:space="preserve">SRS </w:t>
      </w:r>
      <w:r>
        <w:t>(Case 3b).</w:t>
      </w:r>
    </w:p>
    <w:p w14:paraId="29836276" w14:textId="7FCE214C" w:rsidR="003B6EAE" w:rsidRDefault="00357DE1" w:rsidP="007272A6">
      <w:r w:rsidRPr="00965B5E">
        <w:t>More context requirement</w:t>
      </w:r>
      <w:r w:rsidR="00965B5E">
        <w:t>s need to be checked for compatibility, e.g., range of SNR/SINR</w:t>
      </w:r>
      <w:r w:rsidR="00F46520">
        <w:t>. See the discussion on metadata of training data</w:t>
      </w:r>
      <w:r w:rsidR="00965B5E">
        <w:t xml:space="preserve"> in section</w:t>
      </w:r>
      <w:r w:rsidR="00F46520">
        <w:t xml:space="preserve"> </w:t>
      </w:r>
      <w:r w:rsidR="00F46520">
        <w:fldChar w:fldCharType="begin"/>
      </w:r>
      <w:r w:rsidR="00F46520">
        <w:instrText xml:space="preserve"> REF _Ref178955360 \r </w:instrText>
      </w:r>
      <w:r w:rsidR="00F46520">
        <w:fldChar w:fldCharType="separate"/>
      </w:r>
      <w:r w:rsidR="00850DA1">
        <w:t>5.2</w:t>
      </w:r>
      <w:r w:rsidR="00F46520">
        <w:fldChar w:fldCharType="end"/>
      </w:r>
      <w:r w:rsidR="00965B5E">
        <w:t>.</w:t>
      </w:r>
    </w:p>
    <w:p w14:paraId="449D443C" w14:textId="0253946F" w:rsidR="007272A6" w:rsidRDefault="007272A6" w:rsidP="007272A6">
      <w:r>
        <w:t xml:space="preserve">Regarding deployment environment identifiers, </w:t>
      </w:r>
      <w:r w:rsidR="00965B5E">
        <w:t xml:space="preserve">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00965B5E">
        <w:t xml:space="preserve"> needs to be record</w:t>
      </w:r>
      <w:r>
        <w:t>ed for an AI/ML model</w:t>
      </w:r>
      <w:r w:rsidR="00965B5E">
        <w:t xml:space="preserve"> when model training is performed. When the trained model is checked for potential activation, 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00965B5E">
        <w:t xml:space="preserve"> can be checked against the deployment environment. </w:t>
      </w:r>
      <w:r w:rsidR="0082114C">
        <w:t>It can be defined as:</w:t>
      </w:r>
    </w:p>
    <w:tbl>
      <w:tblPr>
        <w:tblStyle w:val="TableGrid"/>
        <w:tblW w:w="0" w:type="auto"/>
        <w:tblLook w:val="04A0" w:firstRow="1" w:lastRow="0" w:firstColumn="1" w:lastColumn="0" w:noHBand="0" w:noVBand="1"/>
      </w:tblPr>
      <w:tblGrid>
        <w:gridCol w:w="2425"/>
        <w:gridCol w:w="7537"/>
      </w:tblGrid>
      <w:tr w:rsidR="0082114C" w14:paraId="531057C0" w14:textId="77777777" w:rsidTr="00D56F6C">
        <w:tc>
          <w:tcPr>
            <w:tcW w:w="2425" w:type="dxa"/>
          </w:tcPr>
          <w:p w14:paraId="56334CA6" w14:textId="345D9583" w:rsidR="0082114C" w:rsidRDefault="0082114C" w:rsidP="00D56F6C">
            <w:r>
              <w:t>Model inference validity area</w:t>
            </w:r>
          </w:p>
        </w:tc>
        <w:tc>
          <w:tcPr>
            <w:tcW w:w="7537" w:type="dxa"/>
          </w:tcPr>
          <w:p w14:paraId="09105818" w14:textId="0D8D34C0" w:rsidR="0082114C" w:rsidRDefault="0082114C" w:rsidP="00D56F6C">
            <w:r>
              <w:rPr>
                <w:snapToGrid w:val="0"/>
              </w:rPr>
              <w:t>T</w:t>
            </w:r>
            <w:r w:rsidRPr="00C96D6C">
              <w:rPr>
                <w:snapToGrid w:val="0"/>
              </w:rPr>
              <w:t>he network area for which th</w:t>
            </w:r>
            <w:r>
              <w:rPr>
                <w:snapToGrid w:val="0"/>
              </w:rPr>
              <w:t>e model inference</w:t>
            </w:r>
            <w:r w:rsidRPr="00C96D6C">
              <w:rPr>
                <w:snapToGrid w:val="0"/>
              </w:rPr>
              <w:t xml:space="preserve"> is valid.</w:t>
            </w:r>
          </w:p>
        </w:tc>
      </w:tr>
    </w:tbl>
    <w:p w14:paraId="048380EA" w14:textId="77777777" w:rsidR="0082114C" w:rsidRDefault="0082114C" w:rsidP="007272A6"/>
    <w:p w14:paraId="245F5112" w14:textId="352BBD20" w:rsidR="00965B5E" w:rsidRDefault="00965B5E" w:rsidP="007272A6">
      <w:r>
        <w:lastRenderedPageBreak/>
        <w:t xml:space="preserve">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t xml:space="preserve"> may or may not be different from the </w:t>
      </w:r>
      <w:r w:rsidR="0010379A">
        <w:t>t</w:t>
      </w:r>
      <w:r>
        <w:t xml:space="preserve">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t xml:space="preserve"> mentioned in section </w:t>
      </w:r>
      <w:r w:rsidR="00F46520">
        <w:fldChar w:fldCharType="begin"/>
      </w:r>
      <w:r w:rsidR="00F46520">
        <w:instrText xml:space="preserve"> REF _Ref178955267 \r </w:instrText>
      </w:r>
      <w:r w:rsidR="00F46520">
        <w:fldChar w:fldCharType="separate"/>
      </w:r>
      <w:r w:rsidR="00850DA1">
        <w:t>5.2.3</w:t>
      </w:r>
      <w:r w:rsidR="00F46520">
        <w:fldChar w:fldCharType="end"/>
      </w:r>
      <w:r>
        <w:t xml:space="preserve">. </w:t>
      </w:r>
    </w:p>
    <w:p w14:paraId="604F9021" w14:textId="773516C7" w:rsidR="007272A6" w:rsidRPr="00194B5B" w:rsidRDefault="007272A6" w:rsidP="00D35F36">
      <w:pPr>
        <w:pStyle w:val="ListParagraph"/>
        <w:numPr>
          <w:ilvl w:val="0"/>
          <w:numId w:val="37"/>
        </w:numPr>
        <w:spacing w:after="240"/>
      </w:pPr>
      <w:bookmarkStart w:id="1811" w:name="_Hlk158808033"/>
      <w:r w:rsidRPr="00194B5B">
        <w:t>Training dataset validity area</w:t>
      </w:r>
      <w:bookmarkEnd w:id="1811"/>
      <w:r w:rsidRPr="00194B5B">
        <w:t xml:space="preserve">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t xml:space="preserve">: this describes the area that training dataset is collected.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rPr>
          <w:rFonts w:eastAsiaTheme="minorEastAsia"/>
        </w:rPr>
        <w:t xml:space="preserve"> is from the perspective of training data collection entity</w:t>
      </w:r>
      <w:r w:rsidR="00965B5E">
        <w:rPr>
          <w:rFonts w:eastAsiaTheme="minorEastAsia"/>
        </w:rPr>
        <w:t xml:space="preserve">, as explained in </w:t>
      </w:r>
      <w:r w:rsidR="00965B5E" w:rsidRPr="00194B5B">
        <w:t xml:space="preserve">section </w:t>
      </w:r>
      <w:r>
        <w:fldChar w:fldCharType="begin"/>
      </w:r>
      <w:r>
        <w:instrText>REF _Ref163213782 \r</w:instrText>
      </w:r>
      <w:r>
        <w:fldChar w:fldCharType="separate"/>
      </w:r>
      <w:r w:rsidR="00850DA1">
        <w:t>5.1.2</w:t>
      </w:r>
      <w:r>
        <w:fldChar w:fldCharType="end"/>
      </w:r>
      <w:r w:rsidRPr="00194B5B">
        <w:rPr>
          <w:rFonts w:eastAsiaTheme="minorEastAsia"/>
        </w:rPr>
        <w:t>.</w:t>
      </w:r>
      <w:r w:rsidRPr="00194B5B">
        <w:t xml:space="preserve"> For example, in </w:t>
      </w:r>
      <w:r w:rsidR="00500110">
        <w:fldChar w:fldCharType="begin"/>
      </w:r>
      <w:r w:rsidR="00500110">
        <w:instrText xml:space="preserve"> REF _Ref159169924 </w:instrText>
      </w:r>
      <w:r w:rsidR="00500110">
        <w:fldChar w:fldCharType="separate"/>
      </w:r>
      <w:r w:rsidR="00850DA1" w:rsidRPr="00E215F0">
        <w:t xml:space="preserve">Figure </w:t>
      </w:r>
      <w:r w:rsidR="00850DA1">
        <w:rPr>
          <w:noProof/>
        </w:rPr>
        <w:t>22</w:t>
      </w:r>
      <w:r w:rsidR="00500110">
        <w:rPr>
          <w:noProof/>
        </w:rPr>
        <w:fldChar w:fldCharType="end"/>
      </w:r>
      <w:r w:rsidRPr="00194B5B">
        <w:t xml:space="preserve">, the training data includes measurements associated with 18 TRPs, TRP {0,1,…,17}. Hence the training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t xml:space="preserve"> = TRP {0,1,…,17} covers the entire factory floor. </w:t>
      </w:r>
    </w:p>
    <w:p w14:paraId="67593620" w14:textId="3DEE3986" w:rsidR="007272A6" w:rsidRPr="00194B5B" w:rsidRDefault="007272A6" w:rsidP="00D35F36">
      <w:pPr>
        <w:pStyle w:val="ListParagraph"/>
        <w:numPr>
          <w:ilvl w:val="0"/>
          <w:numId w:val="37"/>
        </w:numPr>
        <w:spacing w:after="240"/>
      </w:pPr>
      <w:bookmarkStart w:id="1812" w:name="_Hlk158808062"/>
      <w:r w:rsidRPr="00194B5B">
        <w:rPr>
          <w:rFonts w:eastAsiaTheme="minorEastAsia"/>
        </w:rPr>
        <w:t>Model inference validity area</w:t>
      </w:r>
      <w:bookmarkEnd w:id="1812"/>
      <w:r w:rsidRPr="00194B5B">
        <w:rPr>
          <w:rFonts w:eastAsiaTheme="minor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Pr="00194B5B">
        <w:rPr>
          <w:rFonts w:eastAsiaTheme="minorEastAsia"/>
        </w:rPr>
        <w:t xml:space="preserve">: </w:t>
      </w:r>
      <w:r w:rsidRPr="00194B5B">
        <w:t xml:space="preserve">this describes the coverage area that the trained model is used to perform inference for.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Pr="00194B5B">
        <w:rPr>
          <w:rFonts w:eastAsiaTheme="minorEastAsia"/>
        </w:rPr>
        <w:t xml:space="preserve"> is from the perspective of model inference entity.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Pr="00194B5B">
        <w:rPr>
          <w:rFonts w:eastAsiaTheme="minorEastAsia"/>
        </w:rPr>
        <w:t xml:space="preserve"> </w:t>
      </w:r>
      <w:r w:rsidRPr="00194B5B">
        <w:t xml:space="preserve">can be the same as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rPr>
          <w:rFonts w:eastAsiaTheme="minorEastAsia"/>
        </w:rPr>
        <w:t>,</w:t>
      </w:r>
      <w:r w:rsidRPr="00194B5B">
        <w:t xml:space="preserve"> </w:t>
      </w:r>
      <w:r w:rsidRPr="00194B5B">
        <w:rPr>
          <w:rFonts w:eastAsiaTheme="minorEastAsia"/>
        </w:rPr>
        <w:t xml:space="preserve">or a subset of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rPr>
          <w:rFonts w:eastAsiaTheme="minorEastAsia"/>
        </w:rPr>
        <w:t xml:space="preserve">. </w:t>
      </w:r>
      <w:r w:rsidRPr="00194B5B">
        <w:t>For example, in</w:t>
      </w:r>
      <w:r w:rsidR="00364F9A">
        <w:t xml:space="preserve"> </w:t>
      </w:r>
      <w:r w:rsidR="00500110">
        <w:fldChar w:fldCharType="begin"/>
      </w:r>
      <w:r w:rsidR="00500110">
        <w:instrText xml:space="preserve"> REF _Ref159169924 </w:instrText>
      </w:r>
      <w:r w:rsidR="00500110">
        <w:fldChar w:fldCharType="separate"/>
      </w:r>
      <w:r w:rsidR="00850DA1" w:rsidRPr="00E215F0">
        <w:t xml:space="preserve">Figure </w:t>
      </w:r>
      <w:r w:rsidR="00850DA1">
        <w:rPr>
          <w:noProof/>
        </w:rPr>
        <w:t>22</w:t>
      </w:r>
      <w:r w:rsidR="00500110">
        <w:rPr>
          <w:noProof/>
        </w:rPr>
        <w:fldChar w:fldCharType="end"/>
      </w:r>
      <w:r w:rsidRPr="00194B5B">
        <w:t xml:space="preserve">, the model inference entity may use measurements associated with 9 TRPs on the left hand side for inference,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Pr="00194B5B">
        <w:rPr>
          <w:rFonts w:eastAsiaTheme="minorEastAsia"/>
        </w:rPr>
        <w:t xml:space="preserve">= </w:t>
      </w:r>
      <w:r w:rsidRPr="00194B5B">
        <w:t xml:space="preserve">TRP {0,1,…,8}, which is a sub-area of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rPr>
          <w:rFonts w:eastAsiaTheme="minorEastAsia"/>
        </w:rPr>
        <w:t xml:space="preserve">. </w:t>
      </w:r>
    </w:p>
    <w:p w14:paraId="5E0E19F3" w14:textId="77777777" w:rsidR="007272A6" w:rsidRDefault="007272A6">
      <w:pPr>
        <w:jc w:val="center"/>
      </w:pPr>
      <w:r>
        <w:rPr>
          <w:noProof/>
        </w:rPr>
        <w:drawing>
          <wp:inline distT="0" distB="0" distL="0" distR="0" wp14:anchorId="5E065DE9" wp14:editId="6EEDE4CB">
            <wp:extent cx="4339304" cy="3028566"/>
            <wp:effectExtent l="0" t="0" r="444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49069" cy="3035382"/>
                    </a:xfrm>
                    <a:prstGeom prst="rect">
                      <a:avLst/>
                    </a:prstGeom>
                    <a:noFill/>
                  </pic:spPr>
                </pic:pic>
              </a:graphicData>
            </a:graphic>
          </wp:inline>
        </w:drawing>
      </w:r>
    </w:p>
    <w:p w14:paraId="3A501BDA" w14:textId="713CE389" w:rsidR="009C5E3C" w:rsidRDefault="009C5E3C" w:rsidP="00DD5DA9">
      <w:pPr>
        <w:pStyle w:val="Caption"/>
      </w:pPr>
      <w:bookmarkStart w:id="1813" w:name="_Ref159169924"/>
      <w:r w:rsidRPr="00E215F0">
        <w:t xml:space="preserve">Figure </w:t>
      </w:r>
      <w:r w:rsidR="00500110">
        <w:fldChar w:fldCharType="begin"/>
      </w:r>
      <w:r w:rsidR="00500110">
        <w:instrText xml:space="preserve"> SEQ Figure \* ARABIC </w:instrText>
      </w:r>
      <w:r w:rsidR="00500110">
        <w:fldChar w:fldCharType="separate"/>
      </w:r>
      <w:r w:rsidR="00850DA1">
        <w:rPr>
          <w:noProof/>
        </w:rPr>
        <w:t>22</w:t>
      </w:r>
      <w:r w:rsidR="00500110">
        <w:rPr>
          <w:noProof/>
        </w:rPr>
        <w:fldChar w:fldCharType="end"/>
      </w:r>
      <w:bookmarkEnd w:id="1813"/>
      <w:r w:rsidRPr="00E215F0">
        <w:t xml:space="preserve">. </w:t>
      </w:r>
      <w:r>
        <w:t xml:space="preserve">An example where the model inference validity area is a sub-area of training dataset validity area. </w:t>
      </w:r>
    </w:p>
    <w:p w14:paraId="5C13551F" w14:textId="77777777" w:rsidR="004115A0" w:rsidRDefault="004115A0" w:rsidP="00CD59F9">
      <w:pPr>
        <w:jc w:val="center"/>
      </w:pPr>
    </w:p>
    <w:p w14:paraId="6140DDA9" w14:textId="77777777" w:rsidR="004115A0" w:rsidRDefault="004115A0" w:rsidP="002938DE">
      <w:pPr>
        <w:pStyle w:val="Proposal"/>
      </w:pPr>
      <w:bookmarkStart w:id="1814" w:name="_Toc178961956"/>
      <w:r>
        <w:t>The model training entity records the m</w:t>
      </w:r>
      <w:r w:rsidRPr="00DC32F9">
        <w:t>odel inference validity area</w:t>
      </w:r>
      <w:r>
        <w:t xml:space="preserve"> as a part of metadata for the trained model.</w:t>
      </w:r>
      <w:bookmarkEnd w:id="1814"/>
    </w:p>
    <w:p w14:paraId="1084775C" w14:textId="77777777" w:rsidR="004115A0" w:rsidRDefault="004115A0" w:rsidP="002938DE">
      <w:pPr>
        <w:pStyle w:val="Proposal"/>
      </w:pPr>
      <w:bookmarkStart w:id="1815" w:name="_Toc178961957"/>
      <w:r>
        <w:t>When preparing for model inference, the m</w:t>
      </w:r>
      <w:r w:rsidRPr="00CD59F9">
        <w:t>odel inference validity area</w:t>
      </w:r>
      <w:r>
        <w:t xml:space="preserve"> is checked for compatibility with the deployment area.</w:t>
      </w:r>
      <w:bookmarkEnd w:id="1815"/>
    </w:p>
    <w:p w14:paraId="4E710BBA" w14:textId="77777777" w:rsidR="004115A0" w:rsidRDefault="004115A0" w:rsidP="00CD59F9">
      <w:pPr>
        <w:jc w:val="center"/>
      </w:pPr>
    </w:p>
    <w:p w14:paraId="3D32F7AF" w14:textId="5327469E" w:rsidR="00E95AA0" w:rsidRDefault="00E95AA0" w:rsidP="00E95AA0">
      <w:r>
        <w:t xml:space="preserve">Furthermore, the observed fingerprint of a location is the composite picture including transmitter effect, radio channel, and receiver effect. To correctly determine a UE location based on fingerprinting, the </w:t>
      </w:r>
      <w:r w:rsidR="00BC5D6E">
        <w:t xml:space="preserve">features of the </w:t>
      </w:r>
      <w:r>
        <w:t xml:space="preserve">composite </w:t>
      </w:r>
      <w:r w:rsidR="00BC5D6E">
        <w:t>picture need to stay (approximately)</w:t>
      </w:r>
      <w:r w:rsidR="0010379A">
        <w:t xml:space="preserve"> the</w:t>
      </w:r>
      <w:r w:rsidR="00BC5D6E">
        <w:t xml:space="preserve"> same for </w:t>
      </w:r>
      <w:r>
        <w:t>different UEs (e.g., PRU and normal UE) at different times (e.g., training data collection, model inference)</w:t>
      </w:r>
      <w:r w:rsidR="00BC5D6E">
        <w:t xml:space="preserve">. Thus it is necessary to ensure </w:t>
      </w:r>
      <w:r w:rsidR="00F25DBF">
        <w:t xml:space="preserve">consistency in </w:t>
      </w:r>
      <w:r w:rsidR="00BC5D6E">
        <w:t>any transmitter behavior</w:t>
      </w:r>
      <w:r w:rsidR="003C1093">
        <w:t xml:space="preserve"> (e.g., PRS configuration)</w:t>
      </w:r>
      <w:r w:rsidR="00BC5D6E">
        <w:t xml:space="preserve"> and receiver behavi</w:t>
      </w:r>
      <w:r w:rsidR="007D2B08">
        <w:t>or</w:t>
      </w:r>
      <w:r w:rsidR="003C1093">
        <w:t xml:space="preserve"> (e.g., measurement type and granularity, at least for </w:t>
      </w:r>
      <w:r w:rsidR="0010379A">
        <w:t>Case 2b/3b</w:t>
      </w:r>
      <w:r w:rsidR="003C1093">
        <w:t>)</w:t>
      </w:r>
      <w:r w:rsidR="00BC5D6E">
        <w:t xml:space="preserve"> that </w:t>
      </w:r>
      <w:r w:rsidR="00F25DBF">
        <w:t xml:space="preserve">affect the observed </w:t>
      </w:r>
      <w:r w:rsidR="00F25DBF">
        <w:t>fingerprint.</w:t>
      </w:r>
      <w:r w:rsidR="00BC5D6E">
        <w:t xml:space="preserve"> </w:t>
      </w:r>
    </w:p>
    <w:p w14:paraId="736B2950" w14:textId="77777777" w:rsidR="00C63AEF" w:rsidRPr="004151D0" w:rsidRDefault="00C63AEF" w:rsidP="00C63AEF">
      <w:pPr>
        <w:pStyle w:val="Heading2"/>
      </w:pPr>
      <w:bookmarkStart w:id="1816" w:name="_Ref163214427"/>
      <w:bookmarkStart w:id="1817" w:name="_Toc178961687"/>
      <w:r w:rsidRPr="004151D0">
        <w:lastRenderedPageBreak/>
        <w:t xml:space="preserve">Consistency </w:t>
      </w:r>
      <w:r>
        <w:t>of RS configuration between model</w:t>
      </w:r>
      <w:r w:rsidRPr="004151D0">
        <w:t xml:space="preserve"> inference and </w:t>
      </w:r>
      <w:r>
        <w:t xml:space="preserve">model </w:t>
      </w:r>
      <w:r w:rsidRPr="004151D0">
        <w:t>training</w:t>
      </w:r>
      <w:bookmarkEnd w:id="1816"/>
      <w:bookmarkEnd w:id="1817"/>
    </w:p>
    <w:p w14:paraId="7AE9DE86" w14:textId="144241E8" w:rsidR="002D2659" w:rsidRPr="00194B5B" w:rsidRDefault="00C63AEF" w:rsidP="002D2659">
      <w:r>
        <w:t xml:space="preserve">For </w:t>
      </w:r>
      <w:r w:rsidRPr="00A940D2">
        <w:t>configuration of reference signal transmission and measurement</w:t>
      </w:r>
      <w:r>
        <w:t>, DL PRS and UL SRS need to be addressed for the relevant positioning cases.</w:t>
      </w:r>
      <w:r>
        <w:t xml:space="preserve"> </w:t>
      </w:r>
      <w:r w:rsidR="002D2659">
        <w:t xml:space="preserve">When the AI/ML model takes DL PRS measurement as input, for configuration of PRS transmission and measurement, it is necessary to ensure that the same configuration is used in training data collection stage and model inference stage. Also, the same configuration is used for all PRUs and UEs, for example, the IDs (e.g., TRP ID, </w:t>
      </w:r>
      <w:r w:rsidR="002D2659" w:rsidRPr="00194B5B">
        <w:t>dl-PRS-ID, DL PRS Resource Set ID, a DL PRS Resources ID) are assigned the same to all PRUs and UEs, and not varying in a UE-specific manner.</w:t>
      </w:r>
    </w:p>
    <w:p w14:paraId="72F8AE8C" w14:textId="0C8F19CD" w:rsidR="002D2659" w:rsidRPr="002D2659" w:rsidRDefault="002D2659" w:rsidP="002D2659">
      <w:r w:rsidRPr="00194B5B">
        <w:t xml:space="preserve">Similarly, </w:t>
      </w:r>
      <w:r>
        <w:t>when the AI/ML model takes UL SRS measurement as input,</w:t>
      </w:r>
      <w:r w:rsidRPr="00194B5B">
        <w:t xml:space="preserve"> </w:t>
      </w:r>
      <w:r>
        <w:t>for configuration of SRS transmission and measurement,</w:t>
      </w:r>
      <w:r w:rsidRPr="00194B5B">
        <w:t xml:space="preserve"> </w:t>
      </w:r>
      <w:r>
        <w:t>it is necessary to ensure that the same configuration is used in training data collection stage and model inference stage.</w:t>
      </w:r>
    </w:p>
    <w:p w14:paraId="0CF7256A" w14:textId="7CB3BFA8" w:rsidR="00E2621B" w:rsidRPr="00D20673" w:rsidRDefault="004F76DE" w:rsidP="002938DE">
      <w:pPr>
        <w:pStyle w:val="Proposal"/>
      </w:pPr>
      <w:bookmarkStart w:id="1818" w:name="_Toc178961958"/>
      <w:r>
        <w:t>When preparing for model inference</w:t>
      </w:r>
      <w:r w:rsidR="00F670A6">
        <w:t>,</w:t>
      </w:r>
      <w:r w:rsidR="00F670A6" w:rsidRPr="00F670A6">
        <w:t xml:space="preserve"> </w:t>
      </w:r>
      <w:r w:rsidR="00F670A6" w:rsidRPr="00A940D2">
        <w:t>configuration</w:t>
      </w:r>
      <w:r w:rsidR="00F670A6">
        <w:t>s</w:t>
      </w:r>
      <w:r w:rsidR="00F670A6" w:rsidRPr="00A940D2">
        <w:t xml:space="preserve"> of reference signal transmission and measurement</w:t>
      </w:r>
      <w:r w:rsidR="00F670A6">
        <w:t xml:space="preserve"> are checked for compatibility between the trained model and the deployment environment.</w:t>
      </w:r>
      <w:bookmarkEnd w:id="1818"/>
    </w:p>
    <w:p w14:paraId="544C38AA" w14:textId="206CC7F7" w:rsidR="00D20673" w:rsidRPr="00D20673" w:rsidRDefault="000651ED" w:rsidP="003D368A">
      <w:r>
        <w:t>In terms of specification i</w:t>
      </w:r>
      <w:r w:rsidR="00FF7D97">
        <w:t>m</w:t>
      </w:r>
      <w:r>
        <w:t xml:space="preserve">pact, </w:t>
      </w:r>
      <w:r w:rsidR="0010379A">
        <w:t xml:space="preserve">for Case 2a/3a </w:t>
      </w:r>
      <w:r>
        <w:t xml:space="preserve">the model readiness for inference </w:t>
      </w:r>
      <w:r w:rsidR="00357833">
        <w:t xml:space="preserve">may be </w:t>
      </w:r>
      <w:r w:rsidR="0010379A">
        <w:t>signaled</w:t>
      </w:r>
      <w:r w:rsidR="00357833">
        <w:t xml:space="preserve"> </w:t>
      </w:r>
      <w:r w:rsidR="00EC3C58">
        <w:t xml:space="preserve">from the </w:t>
      </w:r>
      <w:r w:rsidR="0010379A">
        <w:t xml:space="preserve">model </w:t>
      </w:r>
      <w:r w:rsidR="00EC3C58">
        <w:t>infer</w:t>
      </w:r>
      <w:r w:rsidR="0010379A">
        <w:t>ence</w:t>
      </w:r>
      <w:r w:rsidR="00EC3C58">
        <w:t xml:space="preserve"> node </w:t>
      </w:r>
      <w:r w:rsidR="0010379A">
        <w:t xml:space="preserve">(e.g., UE/gNB) </w:t>
      </w:r>
      <w:r w:rsidR="00EC3C58">
        <w:t>to other nodes requesting the measurements, e.g. the LMF</w:t>
      </w:r>
      <w:r w:rsidR="007C3F36">
        <w:t>, in order to signal that AI</w:t>
      </w:r>
      <w:r w:rsidR="0010379A">
        <w:t>/</w:t>
      </w:r>
      <w:r w:rsidR="007C3F36">
        <w:t>ML positioning is available.</w:t>
      </w:r>
      <w:r w:rsidR="00DD7547">
        <w:t xml:space="preserve"> </w:t>
      </w:r>
    </w:p>
    <w:p w14:paraId="6E74647E" w14:textId="37C3F232" w:rsidR="00D20673" w:rsidRDefault="0010379A" w:rsidP="002938DE">
      <w:pPr>
        <w:pStyle w:val="Proposal"/>
      </w:pPr>
      <w:bookmarkStart w:id="1819" w:name="_Toc178961959"/>
      <w:r>
        <w:t>For Case 2a/3a, s</w:t>
      </w:r>
      <w:r w:rsidR="00DD7547">
        <w:t>upport UE/gNB to send an indication to the LMF when the AI/ML model</w:t>
      </w:r>
      <w:r w:rsidR="00525F50">
        <w:t xml:space="preserve"> is ready for reporting measurements based on model inference. </w:t>
      </w:r>
      <w:r w:rsidR="00836728">
        <w:t>It is up to RAN2/3 to decide which procedure to use to convey the information.</w:t>
      </w:r>
      <w:bookmarkEnd w:id="1819"/>
    </w:p>
    <w:p w14:paraId="78C6C81E" w14:textId="571C224A" w:rsidR="00F04267" w:rsidRDefault="00F04267" w:rsidP="00F04267">
      <w:r>
        <w:t xml:space="preserve">Ideally, signals configured for inference are configured exactly the same for the training phase. For example, PRS configuration of bandwidth, comb offset, etc., should remain unchanged between inference and training. To make sure of </w:t>
      </w:r>
      <w:r>
        <w:t xml:space="preserve">this, the training data could be generated for all possible signal configurations, but this would lead to a massive training data set.  Thus some misalignment may be unavoidable. For example, the SRS resource used for training the gNB based model used in </w:t>
      </w:r>
      <w:r w:rsidR="00C41738">
        <w:t xml:space="preserve">Case </w:t>
      </w:r>
      <w:r>
        <w:t xml:space="preserve">3a may be already assigned to another UE at the time of inference, so that a resource with a different comb offset and or cyclic shift may be chosen to be configured.  It is however important that the measured channel response at inference is consistent with the one measured during training. This means that at least bandwidth, transmitted power and spatial properties of the reference signals stay the same between inference and training. </w:t>
      </w:r>
    </w:p>
    <w:p w14:paraId="7CF8162A" w14:textId="77777777" w:rsidR="00F04267" w:rsidRDefault="00F04267" w:rsidP="00F04267"/>
    <w:p w14:paraId="54773F6B" w14:textId="4C00D5EF" w:rsidR="00F04267" w:rsidRDefault="009C7F57" w:rsidP="00F04267">
      <w:r>
        <w:t>Before model inference can start</w:t>
      </w:r>
      <w:r w:rsidR="00F04267">
        <w:t xml:space="preserve">, the UE/gNB should </w:t>
      </w:r>
      <w:r>
        <w:t>ensure</w:t>
      </w:r>
      <w:r w:rsidR="00F04267">
        <w:t xml:space="preserve"> the following stay unchanged</w:t>
      </w:r>
      <w:r>
        <w:t xml:space="preserve"> between training and inference</w:t>
      </w:r>
      <w:r w:rsidR="00F04267">
        <w:t>:</w:t>
      </w:r>
    </w:p>
    <w:p w14:paraId="7DC8D6F1" w14:textId="77777777" w:rsidR="00F04267" w:rsidRDefault="00F04267" w:rsidP="00F04267">
      <w:pPr>
        <w:pStyle w:val="ListParagraph"/>
        <w:numPr>
          <w:ilvl w:val="0"/>
          <w:numId w:val="14"/>
        </w:numPr>
      </w:pPr>
      <w:r>
        <w:t>PRS:</w:t>
      </w:r>
    </w:p>
    <w:p w14:paraId="1CEACB0C" w14:textId="77777777" w:rsidR="00F04267" w:rsidRDefault="00F04267" w:rsidP="00F04267">
      <w:pPr>
        <w:pStyle w:val="ListParagraph"/>
        <w:numPr>
          <w:ilvl w:val="1"/>
          <w:numId w:val="14"/>
        </w:numPr>
      </w:pPr>
      <w:r>
        <w:t>Positioning frequency layer configuration (bandwidth, comb size, SCS, starting PRB, CP)</w:t>
      </w:r>
    </w:p>
    <w:p w14:paraId="767C499F" w14:textId="77777777" w:rsidR="00F04267" w:rsidRDefault="00F04267" w:rsidP="00F04267">
      <w:pPr>
        <w:pStyle w:val="ListParagraph"/>
        <w:numPr>
          <w:ilvl w:val="1"/>
          <w:numId w:val="14"/>
        </w:numPr>
      </w:pPr>
      <w:r>
        <w:t>Muting patterns</w:t>
      </w:r>
    </w:p>
    <w:p w14:paraId="192156CB" w14:textId="77777777" w:rsidR="00F04267" w:rsidRDefault="00F04267" w:rsidP="00F04267">
      <w:pPr>
        <w:pStyle w:val="ListParagraph"/>
        <w:numPr>
          <w:ilvl w:val="1"/>
          <w:numId w:val="14"/>
        </w:numPr>
      </w:pPr>
      <w:r>
        <w:t>DL PRS spatial properties</w:t>
      </w:r>
    </w:p>
    <w:p w14:paraId="2F0B714E" w14:textId="77777777" w:rsidR="00F04267" w:rsidRDefault="00F04267" w:rsidP="00F04267">
      <w:pPr>
        <w:pStyle w:val="ListParagraph"/>
        <w:numPr>
          <w:ilvl w:val="1"/>
          <w:numId w:val="14"/>
        </w:numPr>
      </w:pPr>
      <w:r>
        <w:t>Power over the measured bandwidth</w:t>
      </w:r>
    </w:p>
    <w:p w14:paraId="650682B8" w14:textId="77777777" w:rsidR="00F04267" w:rsidRDefault="00F04267" w:rsidP="00F04267">
      <w:pPr>
        <w:pStyle w:val="ListParagraph"/>
        <w:numPr>
          <w:ilvl w:val="0"/>
          <w:numId w:val="14"/>
        </w:numPr>
      </w:pPr>
      <w:r>
        <w:t>SRS:</w:t>
      </w:r>
    </w:p>
    <w:p w14:paraId="45D1AE53" w14:textId="77777777" w:rsidR="00F04267" w:rsidRDefault="00F04267" w:rsidP="00F04267">
      <w:pPr>
        <w:pStyle w:val="ListParagraph"/>
        <w:numPr>
          <w:ilvl w:val="1"/>
          <w:numId w:val="14"/>
        </w:numPr>
      </w:pPr>
      <w:r>
        <w:t>Bandwidth configuration (starting PRB, bandwidth, comb size, SCS, CP)</w:t>
      </w:r>
    </w:p>
    <w:p w14:paraId="18198C0F" w14:textId="77777777" w:rsidR="00F04267" w:rsidRDefault="00F04267" w:rsidP="00F04267">
      <w:pPr>
        <w:pStyle w:val="ListParagraph"/>
        <w:numPr>
          <w:ilvl w:val="1"/>
          <w:numId w:val="14"/>
        </w:numPr>
      </w:pPr>
      <w:r>
        <w:t>UL SRS for positioning spatial properties</w:t>
      </w:r>
    </w:p>
    <w:p w14:paraId="271ED020" w14:textId="77777777" w:rsidR="00F04267" w:rsidRDefault="00F04267" w:rsidP="00F04267">
      <w:pPr>
        <w:pStyle w:val="ListParagraph"/>
        <w:numPr>
          <w:ilvl w:val="1"/>
          <w:numId w:val="14"/>
        </w:numPr>
      </w:pPr>
      <w:r>
        <w:t>SRS transmission power</w:t>
      </w:r>
    </w:p>
    <w:p w14:paraId="098C717A" w14:textId="4BD7B707" w:rsidR="00F04267" w:rsidRDefault="00F04267" w:rsidP="00924F11">
      <w:pPr>
        <w:pStyle w:val="ListParagraph"/>
        <w:numPr>
          <w:ilvl w:val="1"/>
          <w:numId w:val="14"/>
        </w:numPr>
      </w:pPr>
      <w:r>
        <w:t>UL path loss reference</w:t>
      </w:r>
      <w:r w:rsidR="00924F11">
        <w:t xml:space="preserve"> </w:t>
      </w:r>
    </w:p>
    <w:p w14:paraId="5C18B192" w14:textId="34290A70" w:rsidR="00D52BD0" w:rsidRPr="004151D0" w:rsidRDefault="00D52BD0" w:rsidP="009C7F57">
      <w:pPr>
        <w:pStyle w:val="Heading2"/>
      </w:pPr>
      <w:bookmarkStart w:id="1820" w:name="_Ref178770342"/>
      <w:bookmarkStart w:id="1821" w:name="_Toc178961688"/>
      <w:r w:rsidRPr="004151D0">
        <w:t xml:space="preserve">Consistency </w:t>
      </w:r>
      <w:r>
        <w:t>of network</w:t>
      </w:r>
      <w:r w:rsidR="00C63AEF">
        <w:t>-</w:t>
      </w:r>
      <w:r>
        <w:t xml:space="preserve">side </w:t>
      </w:r>
      <w:bookmarkEnd w:id="1820"/>
      <w:r w:rsidR="00C63AEF">
        <w:t>additional conditions between model</w:t>
      </w:r>
      <w:r w:rsidR="00C63AEF" w:rsidRPr="004151D0">
        <w:t xml:space="preserve"> inference and </w:t>
      </w:r>
      <w:r w:rsidR="00C63AEF">
        <w:t xml:space="preserve">model </w:t>
      </w:r>
      <w:r w:rsidR="00C63AEF" w:rsidRPr="004151D0">
        <w:t>training</w:t>
      </w:r>
      <w:bookmarkEnd w:id="1821"/>
    </w:p>
    <w:p w14:paraId="370239B7" w14:textId="25824248" w:rsidR="00D52BD0" w:rsidRDefault="007E5250" w:rsidP="00D52BD0">
      <w:r>
        <w:t xml:space="preserve">In section 7.1 we discussed maintaining consistency in the </w:t>
      </w:r>
      <w:r w:rsidRPr="00E45393">
        <w:rPr>
          <w:i/>
          <w:iCs/>
        </w:rPr>
        <w:t>configuration</w:t>
      </w:r>
      <w:r>
        <w:t xml:space="preserve"> of reference signals</w:t>
      </w:r>
      <w:r w:rsidR="00D0344B">
        <w:t xml:space="preserve"> between training an inference, using a validity area. </w:t>
      </w:r>
      <w:r w:rsidR="00D52BD0">
        <w:t xml:space="preserve">Beyond </w:t>
      </w:r>
      <w:r w:rsidR="00D52BD0" w:rsidRPr="00CD59F9">
        <w:t>validity area</w:t>
      </w:r>
      <w:r w:rsidR="00D52BD0">
        <w:t xml:space="preserve"> (corresponding to </w:t>
      </w:r>
      <w:r w:rsidR="00D52BD0" w:rsidRPr="00DA08AC">
        <w:rPr>
          <w:b/>
          <w:bCs/>
        </w:rPr>
        <w:t>assistanceDataValidityArea-r17</w:t>
      </w:r>
      <w:r w:rsidR="00D52BD0">
        <w:rPr>
          <w:b/>
          <w:bCs/>
        </w:rPr>
        <w:t xml:space="preserve"> </w:t>
      </w:r>
      <w:r w:rsidR="00D52BD0" w:rsidRPr="00A07EF8">
        <w:t>in existing spec</w:t>
      </w:r>
      <w:r w:rsidR="00D52BD0">
        <w:t xml:space="preserve">) and DL PRS configuration (corresponding to </w:t>
      </w:r>
      <w:r w:rsidR="00D52BD0" w:rsidRPr="00322EB0">
        <w:rPr>
          <w:b/>
          <w:bCs/>
        </w:rPr>
        <w:t>NR-DL-PRS-PositioningFrequencyLayer-</w:t>
      </w:r>
      <w:r w:rsidR="00D52BD0" w:rsidRPr="00322EB0">
        <w:rPr>
          <w:b/>
          <w:bCs/>
          <w:snapToGrid w:val="0"/>
        </w:rPr>
        <w:t>r16</w:t>
      </w:r>
      <w:r w:rsidR="00D52BD0">
        <w:t xml:space="preserve"> </w:t>
      </w:r>
      <w:r w:rsidR="00D52BD0" w:rsidRPr="00A07EF8">
        <w:t>in existing spec</w:t>
      </w:r>
      <w:r w:rsidR="00D52BD0">
        <w:t xml:space="preserve">), there are other </w:t>
      </w:r>
      <w:r w:rsidR="00D52BD0">
        <w:t xml:space="preserve">NW-side additional conditions that may affect the model inference performance of UE-side model (e.g., Case 1). While the </w:t>
      </w:r>
      <w:r w:rsidR="00D52BD0">
        <w:lastRenderedPageBreak/>
        <w:t>set of TRPs (i.e., provided by validity area) and DL PRS configurations are needed for DL channel measurement, the details of other NW-side additional conditions are not explicitly needed for model inference.</w:t>
      </w:r>
    </w:p>
    <w:p w14:paraId="6B6CE404" w14:textId="4A835630" w:rsidR="00D52BD0" w:rsidRDefault="00D52BD0" w:rsidP="00D52BD0">
      <w:r>
        <w:t>In the existing specification TS 37.355 (LPP), some IEs already exist, which can be optionally</w:t>
      </w:r>
      <w:r w:rsidRPr="00BF49CC">
        <w:t xml:space="preserve"> used by the location server to provide assistance data to enable </w:t>
      </w:r>
      <w:r>
        <w:t xml:space="preserve">legacy </w:t>
      </w:r>
      <w:r w:rsidRPr="00BF49CC">
        <w:t>UE</w:t>
      </w:r>
      <w:r w:rsidRPr="00BF49CC">
        <w:noBreakHyphen/>
        <w:t>based downlink positioning</w:t>
      </w:r>
      <w:r>
        <w:t xml:space="preserve"> methods (i.e., DL-TDOA)</w:t>
      </w:r>
      <w:r w:rsidRPr="00BF49CC">
        <w:t>.</w:t>
      </w:r>
      <w:r>
        <w:t xml:space="preserve"> </w:t>
      </w:r>
      <w:r w:rsidR="0073649B">
        <w:t>For DL-TDOA, the position calculation assistance data include</w:t>
      </w:r>
      <w:r>
        <w:t>:</w:t>
      </w:r>
    </w:p>
    <w:p w14:paraId="4894C656" w14:textId="77777777" w:rsidR="00D52BD0" w:rsidRPr="00FD7393" w:rsidRDefault="00D52BD0" w:rsidP="00D35F36">
      <w:pPr>
        <w:pStyle w:val="ListParagraph"/>
        <w:numPr>
          <w:ilvl w:val="0"/>
          <w:numId w:val="65"/>
        </w:numPr>
        <w:rPr>
          <w:rFonts w:eastAsiaTheme="minorEastAsia"/>
        </w:rPr>
      </w:pPr>
      <w:bookmarkStart w:id="1822" w:name="_Hlk178755942"/>
      <w:r w:rsidRPr="00322EB0">
        <w:rPr>
          <w:b/>
          <w:bCs/>
        </w:rPr>
        <w:t>nr-DL-PRS-BeamInfo-r16</w:t>
      </w:r>
      <w:bookmarkEnd w:id="1822"/>
      <w:r>
        <w:t xml:space="preserve">: </w:t>
      </w:r>
      <w:r w:rsidRPr="00BF49CC">
        <w:rPr>
          <w:noProof/>
        </w:rPr>
        <w:t>This field provides the spatial directions of DL-PRS Resources for TRPs.</w:t>
      </w:r>
    </w:p>
    <w:p w14:paraId="4B91C337" w14:textId="77777777" w:rsidR="00BE02A1" w:rsidRPr="00FD7393" w:rsidRDefault="00BE02A1" w:rsidP="00D35F36">
      <w:pPr>
        <w:pStyle w:val="ListParagraph"/>
        <w:numPr>
          <w:ilvl w:val="0"/>
          <w:numId w:val="65"/>
        </w:numPr>
        <w:rPr>
          <w:rFonts w:eastAsiaTheme="minorEastAsia"/>
        </w:rPr>
      </w:pPr>
      <w:r w:rsidRPr="00322EB0">
        <w:rPr>
          <w:rFonts w:eastAsiaTheme="minorEastAsia"/>
          <w:b/>
          <w:bCs/>
        </w:rPr>
        <w:t>nr-TRP-LocationInfo-r16</w:t>
      </w:r>
      <w:r>
        <w:rPr>
          <w:rFonts w:eastAsiaTheme="minorEastAsia"/>
        </w:rPr>
        <w:t xml:space="preserve">: </w:t>
      </w:r>
      <w:r w:rsidRPr="00BF49CC">
        <w:rPr>
          <w:noProof/>
        </w:rPr>
        <w:t>This field provides the location coordinates of the TRPs and location coordinates of antenna reference points for DL-PRS Resource Set(s) and DL-PRS Resources of the TRPs.</w:t>
      </w:r>
    </w:p>
    <w:p w14:paraId="3ACF2403" w14:textId="77777777" w:rsidR="00BE02A1" w:rsidRPr="00FD7393" w:rsidRDefault="00BE02A1" w:rsidP="00D35F36">
      <w:pPr>
        <w:pStyle w:val="ListParagraph"/>
        <w:numPr>
          <w:ilvl w:val="0"/>
          <w:numId w:val="65"/>
        </w:numPr>
        <w:rPr>
          <w:rFonts w:eastAsiaTheme="minorEastAsia"/>
        </w:rPr>
      </w:pPr>
      <w:r w:rsidRPr="00322EB0">
        <w:rPr>
          <w:b/>
          <w:bCs/>
        </w:rPr>
        <w:t>nr-RTD-Info-r16</w:t>
      </w:r>
      <w:r>
        <w:t>: T</w:t>
      </w:r>
      <w:r w:rsidRPr="00BF49CC">
        <w:rPr>
          <w:noProof/>
        </w:rPr>
        <w:t>his field provides the time synchronization information between the reference TRP and neighbour TRPs.</w:t>
      </w:r>
    </w:p>
    <w:p w14:paraId="0C9DE039" w14:textId="77777777" w:rsidR="00D52BD0" w:rsidRDefault="00D52BD0" w:rsidP="00D52BD0"/>
    <w:p w14:paraId="2ECA48F4" w14:textId="77777777" w:rsidR="00D52BD0" w:rsidRDefault="00D52BD0" w:rsidP="00D52BD0">
      <w:r>
        <w:t>For AI/ML based positioning with UE-side model, to support verification of NW additional conditions, the IEs above can be signaled from LMF to UE at training data collection stage and model inference stage. Alternatively, associated IDs can be defined to identify a given set of NW additional conditions. This has the benefit that the IE details do not need to be explicitly signaled, if they are not needed for performing model inference, and only needed for consistency verification. This avoids exposing unnecessary network condition details and reduces signaling overhead.</w:t>
      </w:r>
    </w:p>
    <w:p w14:paraId="215D9807" w14:textId="3B38B643" w:rsidR="00D52BD0" w:rsidRDefault="005D2E70" w:rsidP="0078718A">
      <w:pPr>
        <w:pStyle w:val="Observation"/>
      </w:pPr>
      <w:bookmarkStart w:id="1823" w:name="_Toc178961881"/>
      <w:r>
        <w:t xml:space="preserve">The benefit of associated ID </w:t>
      </w:r>
      <w:r w:rsidR="00932E2B">
        <w:t xml:space="preserve">is </w:t>
      </w:r>
      <w:r>
        <w:t xml:space="preserve">that the </w:t>
      </w:r>
      <w:r w:rsidR="00932E2B">
        <w:t>details for the information covered by associated ID</w:t>
      </w:r>
      <w:r>
        <w:t xml:space="preserve"> do not need to be explicitly signaled, if they are not needed for performing model inference, and only needed for consistency verification.</w:t>
      </w:r>
      <w:bookmarkEnd w:id="1823"/>
    </w:p>
    <w:p w14:paraId="26E0D1B1" w14:textId="78C2CC47" w:rsidR="00D52BD0" w:rsidRPr="00397642" w:rsidRDefault="0078132B" w:rsidP="00D52BD0">
      <w:r>
        <w:t>Adopting associated ID for the positioning use case</w:t>
      </w:r>
      <w:r w:rsidR="00D52BD0">
        <w:t xml:space="preserve"> is similar to the agreement made in RAN1#11</w:t>
      </w:r>
      <w:r w:rsidR="00762194">
        <w:t>8</w:t>
      </w:r>
      <w:r w:rsidR="00D52BD0">
        <w:t xml:space="preserve"> for beam management (AI 9.1.1):</w:t>
      </w:r>
    </w:p>
    <w:tbl>
      <w:tblPr>
        <w:tblStyle w:val="TableGrid"/>
        <w:tblW w:w="9990" w:type="dxa"/>
        <w:tblInd w:w="-5" w:type="dxa"/>
        <w:tblLook w:val="04A0" w:firstRow="1" w:lastRow="0" w:firstColumn="1" w:lastColumn="0" w:noHBand="0" w:noVBand="1"/>
      </w:tblPr>
      <w:tblGrid>
        <w:gridCol w:w="9990"/>
      </w:tblGrid>
      <w:tr w:rsidR="00D52BD0" w:rsidRPr="00762194" w14:paraId="28B1F02C" w14:textId="77777777">
        <w:tc>
          <w:tcPr>
            <w:tcW w:w="9990" w:type="dxa"/>
          </w:tcPr>
          <w:p w14:paraId="35ECC823" w14:textId="77777777" w:rsidR="00FF7E92" w:rsidRPr="00FF7E92" w:rsidRDefault="00FF7E92" w:rsidP="00FF7E92">
            <w:pPr>
              <w:spacing w:after="0"/>
              <w:rPr>
                <w:rFonts w:ascii="Times" w:eastAsia="DengXian" w:hAnsi="Times" w:cs="Times New Roman"/>
                <w:kern w:val="0"/>
                <w:sz w:val="20"/>
                <w:szCs w:val="20"/>
                <w:highlight w:val="green"/>
                <w:lang w:val="en-GB" w:eastAsia="zh-CN"/>
                <w14:ligatures w14:val="none"/>
              </w:rPr>
            </w:pPr>
            <w:r w:rsidRPr="00FF7E92">
              <w:rPr>
                <w:rFonts w:ascii="Times" w:eastAsia="DengXian" w:hAnsi="Times" w:cs="Times New Roman" w:hint="eastAsia"/>
                <w:kern w:val="0"/>
                <w:sz w:val="20"/>
                <w:szCs w:val="20"/>
                <w:highlight w:val="green"/>
                <w:lang w:val="en-GB" w:eastAsia="zh-CN"/>
                <w14:ligatures w14:val="none"/>
              </w:rPr>
              <w:t>Agreement</w:t>
            </w:r>
          </w:p>
          <w:p w14:paraId="57C6C473" w14:textId="77777777" w:rsidR="00FF7E92" w:rsidRPr="00FF7E92" w:rsidRDefault="00FF7E92" w:rsidP="00FF7E92">
            <w:pPr>
              <w:spacing w:after="0"/>
              <w:rPr>
                <w:rFonts w:ascii="Times" w:eastAsia="DengXian" w:hAnsi="Times" w:cs="Times New Roman"/>
                <w:kern w:val="0"/>
                <w:sz w:val="20"/>
                <w:szCs w:val="20"/>
                <w:lang w:val="en-GB" w:eastAsia="zh-CN"/>
                <w14:ligatures w14:val="none"/>
              </w:rPr>
            </w:pPr>
            <w:r w:rsidRPr="00FF7E92">
              <w:rPr>
                <w:rFonts w:ascii="Times" w:eastAsia="Times New Roman" w:hAnsi="Times" w:cs="Times New Roman"/>
                <w:kern w:val="0"/>
                <w:sz w:val="20"/>
                <w:szCs w:val="20"/>
                <w:lang w:val="en-GB"/>
                <w14:ligatures w14:val="none"/>
              </w:rPr>
              <w:t>For UE sided model in beam management, support</w:t>
            </w:r>
            <w:r w:rsidRPr="00FF7E92">
              <w:rPr>
                <w:rFonts w:ascii="Times" w:eastAsia="Times New Roman" w:hAnsi="Times" w:cs="Times New Roman"/>
                <w:color w:val="FF0000"/>
                <w:kern w:val="0"/>
                <w:sz w:val="20"/>
                <w:szCs w:val="20"/>
                <w:lang w:val="en-GB"/>
                <w14:ligatures w14:val="none"/>
              </w:rPr>
              <w:t xml:space="preserve"> </w:t>
            </w:r>
            <w:r w:rsidRPr="00FF7E92">
              <w:rPr>
                <w:rFonts w:ascii="Times" w:eastAsia="Times New Roman" w:hAnsi="Times" w:cs="Times New Roman"/>
                <w:kern w:val="0"/>
                <w:sz w:val="20"/>
                <w:szCs w:val="20"/>
                <w:lang w:val="en-GB"/>
                <w14:ligatures w14:val="none"/>
              </w:rPr>
              <w:t>associated ID</w:t>
            </w:r>
          </w:p>
          <w:p w14:paraId="7F6B5287" w14:textId="77777777" w:rsidR="00FF7E92" w:rsidRPr="00FF7E92" w:rsidRDefault="00FF7E92" w:rsidP="00D35F36">
            <w:pPr>
              <w:numPr>
                <w:ilvl w:val="0"/>
                <w:numId w:val="90"/>
              </w:numPr>
              <w:tabs>
                <w:tab w:val="left" w:pos="360"/>
                <w:tab w:val="left" w:pos="709"/>
              </w:tabs>
              <w:spacing w:after="0"/>
              <w:rPr>
                <w:rFonts w:ascii="Times" w:eastAsia="Times New Roman" w:hAnsi="Times" w:cs="Times New Roman"/>
                <w:kern w:val="0"/>
                <w:sz w:val="20"/>
                <w:szCs w:val="20"/>
                <w:highlight w:val="darkYellow"/>
                <w:lang w:val="en-GB"/>
                <w14:ligatures w14:val="none"/>
              </w:rPr>
            </w:pPr>
            <w:r w:rsidRPr="00FF7E92">
              <w:rPr>
                <w:rFonts w:ascii="Times" w:eastAsia="DengXian" w:hAnsi="Times" w:cs="Times New Roman" w:hint="eastAsia"/>
                <w:kern w:val="0"/>
                <w:sz w:val="20"/>
                <w:szCs w:val="20"/>
                <w:highlight w:val="darkYellow"/>
                <w:lang w:val="en-GB" w:eastAsia="zh-CN"/>
                <w14:ligatures w14:val="none"/>
              </w:rPr>
              <w:t>[Working Assumption]</w:t>
            </w:r>
          </w:p>
          <w:p w14:paraId="534A14AE" w14:textId="77777777" w:rsidR="00FF7E92" w:rsidRPr="00FF7E92" w:rsidRDefault="00FF7E92" w:rsidP="00D35F36">
            <w:pPr>
              <w:numPr>
                <w:ilvl w:val="1"/>
                <w:numId w:val="90"/>
              </w:numPr>
              <w:tabs>
                <w:tab w:val="left" w:pos="360"/>
                <w:tab w:val="left" w:pos="709"/>
              </w:tabs>
              <w:spacing w:after="0"/>
              <w:rPr>
                <w:rFonts w:ascii="Times" w:eastAsia="Times New Roman" w:hAnsi="Times" w:cs="Times New Roman"/>
                <w:kern w:val="0"/>
                <w:sz w:val="20"/>
                <w:szCs w:val="20"/>
                <w:highlight w:val="darkYellow"/>
                <w:lang w:val="en-GB"/>
                <w14:ligatures w14:val="none"/>
              </w:rPr>
            </w:pPr>
            <w:r w:rsidRPr="00FF7E92">
              <w:rPr>
                <w:rFonts w:ascii="Times" w:eastAsia="Times New Roman" w:hAnsi="Times" w:cs="Times New Roman"/>
                <w:kern w:val="0"/>
                <w:sz w:val="20"/>
                <w:szCs w:val="20"/>
                <w:highlight w:val="darkYellow"/>
                <w:lang w:val="en-GB"/>
                <w14:ligatures w14:val="none"/>
              </w:rPr>
              <w:t>The associated ID</w:t>
            </w:r>
            <w:r w:rsidRPr="00FF7E92">
              <w:rPr>
                <w:rFonts w:ascii="Times" w:eastAsia="DengXian" w:hAnsi="Times" w:cs="Times New Roman" w:hint="eastAsia"/>
                <w:kern w:val="0"/>
                <w:sz w:val="20"/>
                <w:szCs w:val="20"/>
                <w:highlight w:val="darkYellow"/>
                <w:lang w:val="en-GB" w:eastAsia="zh-CN"/>
                <w14:ligatures w14:val="none"/>
              </w:rPr>
              <w:t xml:space="preserve"> </w:t>
            </w:r>
            <w:r w:rsidRPr="00FF7E92">
              <w:rPr>
                <w:rFonts w:ascii="Times" w:eastAsia="Times New Roman" w:hAnsi="Times" w:cs="Times New Roman"/>
                <w:kern w:val="0"/>
                <w:sz w:val="20"/>
                <w:szCs w:val="20"/>
                <w:highlight w:val="darkYellow"/>
                <w:lang w:val="en-GB"/>
                <w14:ligatures w14:val="none"/>
              </w:rPr>
              <w:t>at least can be configured</w:t>
            </w:r>
            <w:r w:rsidRPr="00FF7E92">
              <w:rPr>
                <w:rFonts w:ascii="Times" w:eastAsia="DengXian" w:hAnsi="Times" w:cs="Times New Roman" w:hint="eastAsia"/>
                <w:kern w:val="0"/>
                <w:sz w:val="20"/>
                <w:szCs w:val="20"/>
                <w:highlight w:val="darkYellow"/>
                <w:lang w:val="en-GB" w:eastAsia="zh-CN"/>
                <w14:ligatures w14:val="none"/>
              </w:rPr>
              <w:t xml:space="preserve"> </w:t>
            </w:r>
            <w:r w:rsidRPr="00FF7E92">
              <w:rPr>
                <w:rFonts w:ascii="Times" w:eastAsia="Times New Roman" w:hAnsi="Times" w:cs="Times New Roman"/>
                <w:kern w:val="0"/>
                <w:sz w:val="20"/>
                <w:szCs w:val="20"/>
                <w:highlight w:val="darkYellow"/>
                <w:lang w:val="en-GB"/>
                <w14:ligatures w14:val="none"/>
              </w:rPr>
              <w:t xml:space="preserve">within CSI framework </w:t>
            </w:r>
          </w:p>
          <w:p w14:paraId="5C0838FE" w14:textId="77777777" w:rsidR="00FF7E92" w:rsidRPr="00FF7E92" w:rsidRDefault="00FF7E92" w:rsidP="00D35F36">
            <w:pPr>
              <w:numPr>
                <w:ilvl w:val="2"/>
                <w:numId w:val="90"/>
              </w:numPr>
              <w:tabs>
                <w:tab w:val="left" w:pos="360"/>
                <w:tab w:val="left" w:pos="1080"/>
              </w:tabs>
              <w:spacing w:after="0"/>
              <w:rPr>
                <w:rFonts w:ascii="Times" w:eastAsia="Times New Roman" w:hAnsi="Times" w:cs="Times New Roman"/>
                <w:kern w:val="0"/>
                <w:sz w:val="20"/>
                <w:szCs w:val="20"/>
                <w:highlight w:val="darkYellow"/>
                <w:lang w:val="en-GB" w:eastAsia="x-none"/>
                <w14:ligatures w14:val="none"/>
              </w:rPr>
            </w:pPr>
            <w:r w:rsidRPr="00FF7E92">
              <w:rPr>
                <w:rFonts w:ascii="Times" w:eastAsia="Batang" w:hAnsi="Times" w:cs="Times New Roman"/>
                <w:kern w:val="0"/>
                <w:sz w:val="20"/>
                <w:szCs w:val="20"/>
                <w:highlight w:val="darkYellow"/>
                <w:lang w:eastAsia="x-none"/>
                <w14:ligatures w14:val="none"/>
              </w:rPr>
              <w:t>FFS on details</w:t>
            </w:r>
          </w:p>
          <w:p w14:paraId="427F43B0" w14:textId="77777777" w:rsidR="00FF7E92" w:rsidRPr="00FF7E92" w:rsidRDefault="00FF7E92" w:rsidP="00D35F36">
            <w:pPr>
              <w:numPr>
                <w:ilvl w:val="2"/>
                <w:numId w:val="90"/>
              </w:numPr>
              <w:tabs>
                <w:tab w:val="left" w:pos="360"/>
                <w:tab w:val="left" w:pos="1080"/>
              </w:tabs>
              <w:spacing w:after="0"/>
              <w:rPr>
                <w:rFonts w:ascii="Times" w:eastAsia="Times New Roman" w:hAnsi="Times" w:cs="Times New Roman"/>
                <w:kern w:val="0"/>
                <w:sz w:val="20"/>
                <w:szCs w:val="20"/>
                <w:highlight w:val="darkYellow"/>
                <w:lang w:val="en-GB" w:eastAsia="x-none"/>
                <w14:ligatures w14:val="none"/>
              </w:rPr>
            </w:pPr>
            <w:r w:rsidRPr="00FF7E92">
              <w:rPr>
                <w:rFonts w:ascii="Times" w:eastAsia="Batang" w:hAnsi="Times" w:cs="Times New Roman"/>
                <w:kern w:val="0"/>
                <w:sz w:val="20"/>
                <w:szCs w:val="20"/>
                <w:highlight w:val="darkYellow"/>
                <w:lang w:eastAsia="x-none"/>
                <w14:ligatures w14:val="none"/>
              </w:rPr>
              <w:t>FFS on whether/how to configure/indicate the associated ID via other signal(s) and/or in other procedure(s)/framework(s)</w:t>
            </w:r>
          </w:p>
          <w:p w14:paraId="2754817E" w14:textId="77777777" w:rsidR="00FF7E92" w:rsidRPr="00FF7E92" w:rsidRDefault="00FF7E92" w:rsidP="00D35F36">
            <w:pPr>
              <w:numPr>
                <w:ilvl w:val="0"/>
                <w:numId w:val="90"/>
              </w:numPr>
              <w:tabs>
                <w:tab w:val="left" w:pos="360"/>
              </w:tabs>
              <w:spacing w:after="0"/>
              <w:ind w:left="709"/>
              <w:rPr>
                <w:rFonts w:ascii="Times" w:eastAsia="Times New Roman" w:hAnsi="Times" w:cs="Times New Roman"/>
                <w:kern w:val="0"/>
                <w:sz w:val="20"/>
                <w:szCs w:val="20"/>
                <w:lang w:eastAsia="zh-CN"/>
                <w14:ligatures w14:val="none"/>
              </w:rPr>
            </w:pPr>
            <w:r w:rsidRPr="00FF7E92">
              <w:rPr>
                <w:rFonts w:ascii="Times" w:eastAsia="Times New Roman" w:hAnsi="Times" w:cs="Times New Roman"/>
                <w:kern w:val="0"/>
                <w:sz w:val="20"/>
                <w:szCs w:val="20"/>
                <w:lang w:eastAsia="zh-CN"/>
                <w14:ligatures w14:val="none"/>
              </w:rPr>
              <w:t xml:space="preserve">UE may assume the </w:t>
            </w:r>
            <w:r w:rsidRPr="00FF7E92">
              <w:rPr>
                <w:rFonts w:ascii="Times" w:eastAsia="DengXian" w:hAnsi="Times" w:cs="Times New Roman" w:hint="eastAsia"/>
                <w:kern w:val="0"/>
                <w:sz w:val="20"/>
                <w:szCs w:val="20"/>
                <w:lang w:eastAsia="zh-CN"/>
                <w14:ligatures w14:val="none"/>
              </w:rPr>
              <w:t xml:space="preserve">similar </w:t>
            </w:r>
            <w:r w:rsidRPr="00FF7E92">
              <w:rPr>
                <w:rFonts w:ascii="Times" w:eastAsia="Times New Roman" w:hAnsi="Times" w:cs="Times New Roman"/>
                <w:kern w:val="0"/>
                <w:sz w:val="20"/>
                <w:szCs w:val="20"/>
                <w:lang w:eastAsia="zh-CN"/>
                <w14:ligatures w14:val="none"/>
              </w:rPr>
              <w:t>properties of a DL Tx beam or beam set/list associated with the same associated ID</w:t>
            </w:r>
          </w:p>
          <w:p w14:paraId="37C55746" w14:textId="6146681E" w:rsidR="00FF7E92" w:rsidRPr="00762194" w:rsidRDefault="00FF7E92" w:rsidP="00D35F36">
            <w:pPr>
              <w:numPr>
                <w:ilvl w:val="1"/>
                <w:numId w:val="89"/>
              </w:numPr>
              <w:spacing w:after="180"/>
              <w:rPr>
                <w:rFonts w:ascii="Times" w:eastAsia="Batang" w:hAnsi="Times" w:cs="Times New Roman"/>
                <w:kern w:val="0"/>
                <w:sz w:val="20"/>
                <w:szCs w:val="20"/>
                <w:lang w:val="en-GB" w:eastAsia="x-none"/>
                <w14:ligatures w14:val="none"/>
              </w:rPr>
            </w:pPr>
            <w:r w:rsidRPr="00FF7E92">
              <w:rPr>
                <w:rFonts w:ascii="Times" w:eastAsia="Batang" w:hAnsi="Times" w:cs="Times New Roman"/>
                <w:kern w:val="0"/>
                <w:sz w:val="20"/>
                <w:szCs w:val="20"/>
                <w:lang w:val="en-GB" w:eastAsia="x-none"/>
                <w14:ligatures w14:val="none"/>
              </w:rPr>
              <w:t xml:space="preserve">FFS: whether/how to define </w:t>
            </w:r>
            <w:r w:rsidRPr="00FF7E92">
              <w:rPr>
                <w:rFonts w:ascii="Times" w:eastAsia="Batang" w:hAnsi="Times" w:cs="Times New Roman"/>
                <w:i/>
                <w:iCs/>
                <w:kern w:val="0"/>
                <w:sz w:val="20"/>
                <w:szCs w:val="20"/>
                <w:lang w:val="en-GB" w:eastAsia="x-none"/>
                <w14:ligatures w14:val="none"/>
              </w:rPr>
              <w:t>similar properties</w:t>
            </w:r>
            <w:r w:rsidRPr="00FF7E92">
              <w:rPr>
                <w:rFonts w:ascii="Times" w:eastAsia="Batang" w:hAnsi="Times" w:cs="Times New Roman"/>
                <w:kern w:val="0"/>
                <w:sz w:val="20"/>
                <w:szCs w:val="20"/>
                <w:lang w:val="en-GB" w:eastAsia="x-none"/>
                <w14:ligatures w14:val="none"/>
              </w:rPr>
              <w:t xml:space="preserve"> of a DL Tx beam or beam set/list</w:t>
            </w:r>
          </w:p>
        </w:tc>
      </w:tr>
    </w:tbl>
    <w:p w14:paraId="3430211D" w14:textId="77777777" w:rsidR="00D52BD0" w:rsidRDefault="00D52BD0" w:rsidP="00D52BD0"/>
    <w:p w14:paraId="35731945" w14:textId="0BB569C5" w:rsidR="00D52BD0" w:rsidRDefault="00D52BD0" w:rsidP="00D52BD0">
      <w:r>
        <w:t>In RAN1#11</w:t>
      </w:r>
      <w:r w:rsidR="00762194">
        <w:t>8</w:t>
      </w:r>
      <w:r>
        <w:t xml:space="preserve">, the following working assumption was </w:t>
      </w:r>
      <w:r w:rsidR="00762194">
        <w:t>confirmed</w:t>
      </w:r>
      <w:r>
        <w:t xml:space="preserve"> under agenda item 9.1.3.3.</w:t>
      </w:r>
    </w:p>
    <w:tbl>
      <w:tblPr>
        <w:tblStyle w:val="TableGrid"/>
        <w:tblW w:w="9990" w:type="dxa"/>
        <w:tblInd w:w="-5" w:type="dxa"/>
        <w:tblLook w:val="04A0" w:firstRow="1" w:lastRow="0" w:firstColumn="1" w:lastColumn="0" w:noHBand="0" w:noVBand="1"/>
      </w:tblPr>
      <w:tblGrid>
        <w:gridCol w:w="9990"/>
      </w:tblGrid>
      <w:tr w:rsidR="00D52BD0" w14:paraId="14156E4C" w14:textId="77777777">
        <w:tc>
          <w:tcPr>
            <w:tcW w:w="9990" w:type="dxa"/>
          </w:tcPr>
          <w:p w14:paraId="47EC7DFA" w14:textId="77777777" w:rsidR="00FF7E92" w:rsidRPr="00587BF1" w:rsidRDefault="00FF7E92" w:rsidP="00FF7E92">
            <w:pPr>
              <w:rPr>
                <w:rFonts w:ascii="Times" w:eastAsia="Batang" w:hAnsi="Times"/>
                <w:b/>
                <w:bCs/>
                <w:iCs/>
                <w:sz w:val="20"/>
                <w:highlight w:val="green"/>
                <w:lang w:val="en-GB" w:eastAsia="x-none"/>
              </w:rPr>
            </w:pPr>
            <w:r w:rsidRPr="00587BF1">
              <w:rPr>
                <w:rFonts w:ascii="Times" w:eastAsia="Batang" w:hAnsi="Times" w:hint="eastAsia"/>
                <w:b/>
                <w:bCs/>
                <w:iCs/>
                <w:sz w:val="20"/>
                <w:highlight w:val="green"/>
                <w:lang w:val="en-GB" w:eastAsia="x-none"/>
              </w:rPr>
              <w:t>Agreement</w:t>
            </w:r>
          </w:p>
          <w:p w14:paraId="56A9C3D9" w14:textId="77777777" w:rsidR="00FF7E92" w:rsidRPr="00FF7E92" w:rsidRDefault="00FF7E92" w:rsidP="00FF7E92">
            <w:pPr>
              <w:rPr>
                <w:rFonts w:ascii="Times" w:eastAsia="DengXian" w:hAnsi="Times"/>
                <w:iCs/>
                <w:sz w:val="20"/>
                <w:lang w:val="en-GB" w:eastAsia="zh-CN"/>
              </w:rPr>
            </w:pPr>
            <w:r w:rsidRPr="00FF7E92">
              <w:rPr>
                <w:rFonts w:ascii="Times" w:eastAsia="DengXian" w:hAnsi="Times"/>
                <w:iCs/>
                <w:sz w:val="20"/>
                <w:lang w:val="en-GB" w:eastAsia="zh-CN"/>
              </w:rPr>
              <w:t xml:space="preserve">Confirm the </w:t>
            </w:r>
            <w:r w:rsidRPr="00FF7E92">
              <w:rPr>
                <w:rFonts w:ascii="Times" w:eastAsia="DengXian" w:hAnsi="Times" w:hint="eastAsia"/>
                <w:iCs/>
                <w:sz w:val="20"/>
                <w:lang w:val="en-GB" w:eastAsia="zh-CN"/>
              </w:rPr>
              <w:t>following Working assumption.</w:t>
            </w:r>
          </w:p>
          <w:p w14:paraId="49CB487A" w14:textId="77777777" w:rsidR="00FF7E92" w:rsidRPr="00FF7E92" w:rsidRDefault="00FF7E92" w:rsidP="00FF7E92">
            <w:pPr>
              <w:rPr>
                <w:rFonts w:ascii="Times" w:eastAsia="DengXian" w:hAnsi="Times"/>
                <w:iCs/>
                <w:sz w:val="20"/>
                <w:highlight w:val="darkYellow"/>
                <w:lang w:val="en-GB" w:eastAsia="zh-CN"/>
              </w:rPr>
            </w:pPr>
            <w:r w:rsidRPr="00FF7E92">
              <w:rPr>
                <w:rFonts w:ascii="Times" w:eastAsia="DengXian" w:hAnsi="Times" w:hint="eastAsia"/>
                <w:iCs/>
                <w:sz w:val="20"/>
                <w:highlight w:val="darkYellow"/>
                <w:lang w:val="en-GB" w:eastAsia="zh-CN"/>
              </w:rPr>
              <w:t>Working Assumption</w:t>
            </w:r>
          </w:p>
          <w:p w14:paraId="16A858B3" w14:textId="77777777" w:rsidR="00FF7E92" w:rsidRPr="00FF7E92" w:rsidRDefault="00FF7E92" w:rsidP="00FF7E92">
            <w:pPr>
              <w:rPr>
                <w:rFonts w:ascii="Times" w:eastAsia="Batang" w:hAnsi="Times"/>
                <w:iCs/>
                <w:sz w:val="20"/>
                <w:lang w:val="en-GB" w:eastAsia="x-none"/>
              </w:rPr>
            </w:pPr>
            <w:r w:rsidRPr="00FF7E92">
              <w:rPr>
                <w:rFonts w:ascii="Times" w:eastAsia="Batang" w:hAnsi="Times"/>
                <w:iCs/>
                <w:sz w:val="20"/>
                <w:lang w:val="en-GB" w:eastAsia="x-none"/>
              </w:rPr>
              <w:t>Regarding the associated ID for Rel-19, the UE assum</w:t>
            </w:r>
            <w:r w:rsidRPr="00FF7E92">
              <w:rPr>
                <w:rFonts w:ascii="Times" w:eastAsia="DengXian" w:hAnsi="Times" w:hint="eastAsia"/>
                <w:iCs/>
                <w:sz w:val="20"/>
                <w:lang w:val="en-GB" w:eastAsia="zh-CN"/>
              </w:rPr>
              <w:t xml:space="preserve">es that </w:t>
            </w:r>
            <w:r w:rsidRPr="00FF7E92">
              <w:rPr>
                <w:rFonts w:ascii="Times" w:eastAsia="Batang" w:hAnsi="Times"/>
                <w:iCs/>
                <w:sz w:val="20"/>
                <w:lang w:val="en-GB" w:eastAsia="x-none"/>
              </w:rPr>
              <w:t>NW-side additional condition</w:t>
            </w:r>
            <w:r w:rsidRPr="00FF7E92">
              <w:rPr>
                <w:rFonts w:ascii="Times" w:eastAsia="DengXian" w:hAnsi="Times" w:hint="eastAsia"/>
                <w:iCs/>
                <w:sz w:val="20"/>
                <w:lang w:val="en-GB" w:eastAsia="zh-CN"/>
              </w:rPr>
              <w:t>s</w:t>
            </w:r>
            <w:r w:rsidRPr="00FF7E92">
              <w:rPr>
                <w:rFonts w:ascii="Times" w:eastAsia="Batang" w:hAnsi="Times"/>
                <w:iCs/>
                <w:sz w:val="20"/>
                <w:lang w:val="en-GB" w:eastAsia="x-none"/>
              </w:rPr>
              <w:t xml:space="preserve"> with the same associated ID </w:t>
            </w:r>
            <w:r w:rsidRPr="00FF7E92">
              <w:rPr>
                <w:rFonts w:ascii="Times" w:eastAsia="DengXian" w:hAnsi="Times" w:hint="eastAsia"/>
                <w:iCs/>
                <w:sz w:val="20"/>
                <w:lang w:val="en-GB" w:eastAsia="zh-CN"/>
              </w:rPr>
              <w:t>are</w:t>
            </w:r>
            <w:r w:rsidRPr="00FF7E92">
              <w:rPr>
                <w:rFonts w:ascii="Times" w:eastAsia="Batang" w:hAnsi="Times"/>
                <w:iCs/>
                <w:sz w:val="20"/>
                <w:lang w:val="en-GB" w:eastAsia="x-none"/>
              </w:rPr>
              <w:t xml:space="preserve"> </w:t>
            </w:r>
            <w:r w:rsidRPr="00FF7E92">
              <w:rPr>
                <w:rFonts w:ascii="Times" w:eastAsia="DengXian" w:hAnsi="Times" w:hint="eastAsia"/>
                <w:iCs/>
                <w:sz w:val="20"/>
                <w:lang w:val="en-GB" w:eastAsia="zh-CN"/>
              </w:rPr>
              <w:t xml:space="preserve">consistent </w:t>
            </w:r>
            <w:r w:rsidRPr="00FF7E92">
              <w:rPr>
                <w:rFonts w:ascii="Times" w:eastAsia="Batang" w:hAnsi="Times"/>
                <w:iCs/>
                <w:sz w:val="20"/>
                <w:lang w:val="en-GB" w:eastAsia="x-none"/>
              </w:rPr>
              <w:t xml:space="preserve">at least within a cell  </w:t>
            </w:r>
          </w:p>
          <w:p w14:paraId="1D9FBCA9" w14:textId="231011B9" w:rsidR="00FF7E92" w:rsidRPr="00FF7E92" w:rsidRDefault="00FF7E92" w:rsidP="00D35F36">
            <w:pPr>
              <w:numPr>
                <w:ilvl w:val="0"/>
                <w:numId w:val="74"/>
              </w:numPr>
              <w:spacing w:after="0" w:line="300" w:lineRule="auto"/>
              <w:contextualSpacing/>
              <w:jc w:val="both"/>
              <w:rPr>
                <w:rFonts w:ascii="Times" w:eastAsia="Batang" w:hAnsi="Times"/>
                <w:b/>
                <w:bCs/>
                <w:iCs/>
                <w:sz w:val="20"/>
                <w:lang w:val="en-GB" w:eastAsia="x-none"/>
              </w:rPr>
            </w:pPr>
            <w:r w:rsidRPr="00FF7E92">
              <w:rPr>
                <w:rFonts w:ascii="Times" w:eastAsia="Batang" w:hAnsi="Times"/>
                <w:iCs/>
                <w:sz w:val="20"/>
                <w:lang w:val="en-GB" w:eastAsia="x-none"/>
              </w:rPr>
              <w:t>FFS: whether/how UE assumption can be applicable for multiple cells (including the feasibility study)</w:t>
            </w:r>
          </w:p>
        </w:tc>
      </w:tr>
    </w:tbl>
    <w:p w14:paraId="1535175A" w14:textId="77777777" w:rsidR="00D52BD0" w:rsidRDefault="00D52BD0" w:rsidP="00D52BD0"/>
    <w:p w14:paraId="188858A0" w14:textId="18E9FDDB" w:rsidR="00BE02A1" w:rsidRDefault="0078132B" w:rsidP="00BE02A1">
      <w:r>
        <w:t>Positioning use case share the same issue with beam management in that the UE needs to have knowledge on the consistency of DL Tx beam information between training and inference.  Thus, for the positioning use case, associated ID should be supported for NW-side additional conditions</w:t>
      </w:r>
      <w:r w:rsidR="00BE02A1">
        <w:t>, at least</w:t>
      </w:r>
      <w:r>
        <w:t xml:space="preserve"> related to </w:t>
      </w:r>
      <w:r w:rsidR="001B6E69">
        <w:t>TRP location (</w:t>
      </w:r>
      <w:r w:rsidR="001B6E69" w:rsidRPr="00B11F71">
        <w:t>nr-TRP-LocationInfo-r16</w:t>
      </w:r>
      <w:r w:rsidR="001B6E69">
        <w:t xml:space="preserve">) </w:t>
      </w:r>
      <w:r w:rsidR="00927445">
        <w:t xml:space="preserve">and </w:t>
      </w:r>
      <w:r>
        <w:t>DL beam information</w:t>
      </w:r>
      <w:r w:rsidR="00BE02A1">
        <w:t xml:space="preserve"> (</w:t>
      </w:r>
      <w:r w:rsidR="00BE02A1" w:rsidRPr="00BE02A1">
        <w:t>nr-DL-PRS-BeamInfo-r16</w:t>
      </w:r>
      <w:r w:rsidR="00BE02A1">
        <w:t>)</w:t>
      </w:r>
      <w:r>
        <w:t>.</w:t>
      </w:r>
      <w:r w:rsidR="00BE02A1">
        <w:t xml:space="preserve"> It can be further discussed whether associated ID covers more NW-side additional condition such as RTD info. </w:t>
      </w:r>
      <w:r w:rsidR="0073649B">
        <w:t>In summary</w:t>
      </w:r>
      <w:r w:rsidR="00BE02A1">
        <w:t xml:space="preserve">, </w:t>
      </w:r>
      <w:r w:rsidR="0073649B">
        <w:t xml:space="preserve">for the positioning use case, </w:t>
      </w:r>
      <w:r w:rsidR="00BE02A1">
        <w:t xml:space="preserve">the associated ID </w:t>
      </w:r>
      <w:r w:rsidR="0073649B">
        <w:t xml:space="preserve">is introduced to </w:t>
      </w:r>
      <w:r w:rsidR="00BE02A1">
        <w:t xml:space="preserve">covers NW-side </w:t>
      </w:r>
      <w:r w:rsidR="00BE02A1" w:rsidRPr="00BD0AFF">
        <w:t>additional</w:t>
      </w:r>
      <w:r w:rsidR="00BE02A1">
        <w:t xml:space="preserve"> conditions that are not explicitly signalled to the UE, including:</w:t>
      </w:r>
    </w:p>
    <w:p w14:paraId="41BC9FFB" w14:textId="36CDD54C" w:rsidR="00BE02A1" w:rsidRPr="00982F72" w:rsidRDefault="00BE02A1" w:rsidP="00D35F36">
      <w:pPr>
        <w:pStyle w:val="ListParagraph"/>
        <w:numPr>
          <w:ilvl w:val="0"/>
          <w:numId w:val="65"/>
        </w:numPr>
        <w:rPr>
          <w:rFonts w:eastAsiaTheme="minorEastAsia"/>
        </w:rPr>
      </w:pPr>
      <w:r w:rsidRPr="00B11F71">
        <w:rPr>
          <w:rFonts w:eastAsiaTheme="minorEastAsia"/>
        </w:rPr>
        <w:t>nr-TRP-LocationInfo-r16</w:t>
      </w:r>
      <w:r w:rsidR="001B6E69">
        <w:rPr>
          <w:rFonts w:eastAsiaTheme="minorEastAsia"/>
        </w:rPr>
        <w:t xml:space="preserve">, </w:t>
      </w:r>
      <w:r w:rsidR="008C45D9" w:rsidRPr="00B11F71">
        <w:t>nr-DL-PRS-BeamInfo-r16</w:t>
      </w:r>
    </w:p>
    <w:p w14:paraId="7A7A3EFC" w14:textId="6E432532" w:rsidR="00BE02A1" w:rsidRPr="00B11F71" w:rsidRDefault="0073649B" w:rsidP="00D35F36">
      <w:pPr>
        <w:pStyle w:val="ListParagraph"/>
        <w:numPr>
          <w:ilvl w:val="0"/>
          <w:numId w:val="65"/>
        </w:numPr>
      </w:pPr>
      <w:r>
        <w:lastRenderedPageBreak/>
        <w:t>FFS:</w:t>
      </w:r>
      <w:r w:rsidR="009777AC">
        <w:t xml:space="preserve"> </w:t>
      </w:r>
      <w:r w:rsidR="00BE02A1" w:rsidRPr="00B11F71">
        <w:t>nr-RTD-Info-r16</w:t>
      </w:r>
    </w:p>
    <w:p w14:paraId="311F1E91" w14:textId="77777777" w:rsidR="00BE02A1" w:rsidRDefault="00BE02A1" w:rsidP="00BE02A1">
      <w:pPr>
        <w:pStyle w:val="Proposal"/>
        <w:numPr>
          <w:ilvl w:val="0"/>
          <w:numId w:val="0"/>
        </w:numPr>
        <w:ind w:left="1304"/>
      </w:pPr>
    </w:p>
    <w:p w14:paraId="026EDA94" w14:textId="71CEDD0F" w:rsidR="0073649B" w:rsidRDefault="0073649B" w:rsidP="0073649B">
      <w:r>
        <w:t xml:space="preserve">It is noted that in our view Case 1 </w:t>
      </w:r>
      <w:r w:rsidRPr="0037719E">
        <w:t>should be supported using UE based DL-TDOA procedure</w:t>
      </w:r>
      <w:r>
        <w:t>s</w:t>
      </w:r>
      <w:r w:rsidRPr="0037719E">
        <w:t xml:space="preserve"> as a foundation</w:t>
      </w:r>
      <w:r>
        <w:t xml:space="preserve">, not DL-AoD. Thus </w:t>
      </w:r>
      <w:r w:rsidR="007C2543">
        <w:t xml:space="preserve">information peculiar </w:t>
      </w:r>
      <w:r>
        <w:t>for DL-AoD</w:t>
      </w:r>
      <w:r w:rsidR="00143A27">
        <w:t xml:space="preserve"> </w:t>
      </w:r>
      <w:r>
        <w:t xml:space="preserve">does not need to be considered, </w:t>
      </w:r>
      <w:r w:rsidR="007C2543">
        <w:t>for example,</w:t>
      </w:r>
      <w:r>
        <w:t xml:space="preserve"> </w:t>
      </w:r>
      <w:r w:rsidRPr="0073649B">
        <w:t>nr-TRP-BeamAntennaInfo-r17</w:t>
      </w:r>
      <w:r>
        <w:t xml:space="preserve"> does not need to be covered by associated ID:</w:t>
      </w:r>
    </w:p>
    <w:p w14:paraId="7E1B8AF4" w14:textId="77777777" w:rsidR="0073649B" w:rsidRPr="00397642" w:rsidRDefault="0073649B" w:rsidP="00D35F36">
      <w:pPr>
        <w:pStyle w:val="ListParagraph"/>
        <w:numPr>
          <w:ilvl w:val="0"/>
          <w:numId w:val="65"/>
        </w:numPr>
        <w:rPr>
          <w:rFonts w:eastAsiaTheme="minorEastAsia"/>
        </w:rPr>
      </w:pPr>
      <w:bookmarkStart w:id="1824" w:name="_Hlk178757968"/>
      <w:r w:rsidRPr="00322EB0">
        <w:rPr>
          <w:b/>
          <w:bCs/>
        </w:rPr>
        <w:t>nr-TRP-BeamAntennaInfo-r17</w:t>
      </w:r>
      <w:bookmarkEnd w:id="1824"/>
      <w:r>
        <w:t xml:space="preserve">: </w:t>
      </w:r>
      <w:r w:rsidRPr="00BF49CC">
        <w:rPr>
          <w:bCs/>
          <w:iCs/>
          <w:noProof/>
        </w:rPr>
        <w:t>This field provides the relative DL-PRS Resource power between PRS resources per angle per TRP.</w:t>
      </w:r>
    </w:p>
    <w:p w14:paraId="48A0C15E" w14:textId="11E4763F" w:rsidR="0078132B" w:rsidRDefault="0078132B" w:rsidP="00D52BD0"/>
    <w:p w14:paraId="30CDA4F3" w14:textId="290E895A" w:rsidR="00D52BD0" w:rsidRDefault="00D52BD0" w:rsidP="00D52BD0">
      <w:r>
        <w:t xml:space="preserve">One difference between the positioning use case and beam management use case is, </w:t>
      </w:r>
      <w:r w:rsidR="00BE02A1">
        <w:t xml:space="preserve">for BM </w:t>
      </w:r>
      <w:r>
        <w:t>the model covers the beams in a given cell</w:t>
      </w:r>
      <w:r w:rsidR="00BE02A1">
        <w:t xml:space="preserve"> only</w:t>
      </w:r>
      <w:r>
        <w:t xml:space="preserve">, while multiple cells/TRPs are involved in the model for positioning. Also, the number of TRPs that are needed for generating model input can vary, if a model for positioning is trained to support a varying number of TRPs. </w:t>
      </w:r>
    </w:p>
    <w:p w14:paraId="5C3DBC2B" w14:textId="77777777" w:rsidR="00D52BD0" w:rsidRDefault="00D52BD0" w:rsidP="00D52BD0"/>
    <w:p w14:paraId="2EC3088E" w14:textId="28A768CF" w:rsidR="00D52BD0" w:rsidRDefault="00D52BD0" w:rsidP="00D52BD0">
      <w:r>
        <w:t>Thus for the positioning use case, the coverage of associated ID should be discussed separately. In our view,</w:t>
      </w:r>
      <w:r w:rsidRPr="00BF7E5C">
        <w:t xml:space="preserve"> </w:t>
      </w:r>
      <w:r>
        <w:t>the consistency between training and inference should be checked for each TRP separately, including the NW-side conditions explicit</w:t>
      </w:r>
      <w:r w:rsidR="00BE02A1">
        <w:t>ly</w:t>
      </w:r>
      <w:r>
        <w:t xml:space="preserve"> signalled (e.g., PRS bandwidth) and the NW-side additional conditions which are covered by associated IDs.  </w:t>
      </w:r>
    </w:p>
    <w:p w14:paraId="0B2C048F" w14:textId="77777777" w:rsidR="00D52BD0" w:rsidRDefault="00D52BD0" w:rsidP="00D52BD0"/>
    <w:p w14:paraId="32B794AD" w14:textId="442D466D" w:rsidR="00D52BD0" w:rsidRDefault="00D52BD0" w:rsidP="00D52BD0">
      <w:r>
        <w:t xml:space="preserve">Regarding the associated ID, it is </w:t>
      </w:r>
      <w:r w:rsidR="00BE02A1">
        <w:t xml:space="preserve">to be </w:t>
      </w:r>
      <w:r>
        <w:t xml:space="preserve">defined per TRP, i.e., for a given TRP j, the UE assumes that the NW-side additional conditions with the same associated ID are consistent within the TRP j. </w:t>
      </w:r>
    </w:p>
    <w:p w14:paraId="47CF8990" w14:textId="77777777" w:rsidR="00D52BD0" w:rsidRDefault="00D52BD0" w:rsidP="00D35F36">
      <w:pPr>
        <w:pStyle w:val="ListParagraph"/>
        <w:numPr>
          <w:ilvl w:val="0"/>
          <w:numId w:val="75"/>
        </w:numPr>
      </w:pPr>
      <w:r>
        <w:t xml:space="preserve">If for a given TRP j, the same associated ID is used between training and inference, then TRP j may be included in model inference by the UE. </w:t>
      </w:r>
    </w:p>
    <w:p w14:paraId="7FDD358C" w14:textId="77777777" w:rsidR="00D52BD0" w:rsidRDefault="00D52BD0" w:rsidP="00D35F36">
      <w:pPr>
        <w:pStyle w:val="ListParagraph"/>
        <w:numPr>
          <w:ilvl w:val="0"/>
          <w:numId w:val="75"/>
        </w:numPr>
      </w:pPr>
      <w:r>
        <w:t>If for a given TRP i, different associated IDs are used between training and inference, then TRP i should not be included in model inference by the UE.</w:t>
      </w:r>
    </w:p>
    <w:p w14:paraId="645C2CB3" w14:textId="77777777" w:rsidR="00D52BD0" w:rsidRDefault="00D52BD0" w:rsidP="00D52BD0"/>
    <w:p w14:paraId="087C917C" w14:textId="77777777" w:rsidR="00D52BD0" w:rsidRDefault="00D52BD0" w:rsidP="00D52BD0">
      <w:r>
        <w:t>RAN1 should further discuss the range of values for associated ID (hence the number of bits to represent the associated ID).</w:t>
      </w:r>
    </w:p>
    <w:p w14:paraId="2DE605EF" w14:textId="77777777" w:rsidR="00D52BD0" w:rsidRDefault="00D52BD0" w:rsidP="00D52BD0">
      <w:pPr>
        <w:pStyle w:val="Proposal"/>
        <w:numPr>
          <w:ilvl w:val="0"/>
          <w:numId w:val="0"/>
        </w:numPr>
        <w:ind w:left="1304"/>
      </w:pPr>
    </w:p>
    <w:p w14:paraId="50E63DA1" w14:textId="5A08532B" w:rsidR="00986300" w:rsidRDefault="00986300" w:rsidP="00D34A58">
      <w:pPr>
        <w:pStyle w:val="Proposal"/>
      </w:pPr>
      <w:bookmarkStart w:id="1825" w:name="_Toc178961960"/>
      <w:r>
        <w:t xml:space="preserve">For Case 1, the explicit assistance data provided by LMF to UE include: validity area info and </w:t>
      </w:r>
      <w:r w:rsidRPr="00C96D6C">
        <w:rPr>
          <w:snapToGrid w:val="0"/>
        </w:rPr>
        <w:t>NR-DL-PRS-AssistanceData-r16</w:t>
      </w:r>
      <w:r>
        <w:rPr>
          <w:snapToGrid w:val="0"/>
        </w:rPr>
        <w:t>.</w:t>
      </w:r>
      <w:bookmarkEnd w:id="1825"/>
    </w:p>
    <w:p w14:paraId="50230FDC" w14:textId="4CA0BE7D" w:rsidR="00D34A58" w:rsidRDefault="00D34A58" w:rsidP="00D34A58">
      <w:pPr>
        <w:pStyle w:val="Proposal"/>
      </w:pPr>
      <w:bookmarkStart w:id="1826" w:name="_Toc178961961"/>
      <w:r>
        <w:t xml:space="preserve">For Case 1, to ensure </w:t>
      </w:r>
      <w:r w:rsidRPr="00964596">
        <w:t>the consistency of NW-side additional condition</w:t>
      </w:r>
      <w:r>
        <w:t xml:space="preserve"> (e.g., beam configuration of DL PRS)</w:t>
      </w:r>
      <w:r w:rsidRPr="00964596">
        <w:t xml:space="preserve"> across training and inference</w:t>
      </w:r>
      <w:r>
        <w:t xml:space="preserve">, </w:t>
      </w:r>
      <w:r w:rsidR="00986300">
        <w:t>s</w:t>
      </w:r>
      <w:r>
        <w:t>upport associated ID for indicating NW conditions/configurations.</w:t>
      </w:r>
      <w:bookmarkEnd w:id="1826"/>
    </w:p>
    <w:p w14:paraId="6C7E6B07" w14:textId="77777777" w:rsidR="00D52BD0" w:rsidRDefault="00D52BD0" w:rsidP="00D52BD0">
      <w:pPr>
        <w:pStyle w:val="Proposal"/>
      </w:pPr>
      <w:bookmarkStart w:id="1827" w:name="_Toc178961962"/>
      <w:r>
        <w:t>For AI/ML based positioning, the consistency between training and inference is checked for each TRP separately.</w:t>
      </w:r>
      <w:bookmarkEnd w:id="1827"/>
      <w:r>
        <w:t xml:space="preserve"> </w:t>
      </w:r>
    </w:p>
    <w:p w14:paraId="48DCD724" w14:textId="77777777" w:rsidR="00D52BD0" w:rsidRDefault="00D52BD0" w:rsidP="00D52BD0">
      <w:pPr>
        <w:pStyle w:val="Proposal"/>
      </w:pPr>
      <w:bookmarkStart w:id="1828" w:name="_Toc178961963"/>
      <w:r>
        <w:t xml:space="preserve">For a given TRP j, the UE assumes that the NW-side additional conditions with the same associated ID </w:t>
      </w:r>
      <w:r>
        <w:t>are consistent within the TRP j.</w:t>
      </w:r>
      <w:bookmarkEnd w:id="1828"/>
      <w:r>
        <w:t xml:space="preserve"> </w:t>
      </w:r>
    </w:p>
    <w:p w14:paraId="3E003676" w14:textId="77777777" w:rsidR="00444A3E" w:rsidRDefault="00444A3E" w:rsidP="00F04267"/>
    <w:p w14:paraId="6EB69DA3" w14:textId="4D2C9D26" w:rsidR="00444A3E" w:rsidRPr="004151D0" w:rsidRDefault="00444A3E" w:rsidP="009C7F57">
      <w:pPr>
        <w:pStyle w:val="Heading2"/>
      </w:pPr>
      <w:bookmarkStart w:id="1829" w:name="_Toc178961689"/>
      <w:r w:rsidRPr="004151D0">
        <w:t xml:space="preserve">Consistency </w:t>
      </w:r>
      <w:r w:rsidR="00C63AEF">
        <w:t xml:space="preserve">of </w:t>
      </w:r>
      <w:r>
        <w:t xml:space="preserve">measurements reported </w:t>
      </w:r>
      <w:r w:rsidR="00C63AEF">
        <w:t xml:space="preserve">between </w:t>
      </w:r>
      <w:r>
        <w:t>model</w:t>
      </w:r>
      <w:r w:rsidRPr="004151D0">
        <w:t xml:space="preserve"> inference and </w:t>
      </w:r>
      <w:r>
        <w:t xml:space="preserve">model </w:t>
      </w:r>
      <w:r w:rsidRPr="004151D0">
        <w:t>training</w:t>
      </w:r>
      <w:bookmarkEnd w:id="1829"/>
    </w:p>
    <w:p w14:paraId="1CAE887B" w14:textId="77777777" w:rsidR="00444A3E" w:rsidRDefault="00444A3E" w:rsidP="00F04267"/>
    <w:p w14:paraId="6BEA0F16" w14:textId="29362177" w:rsidR="00F04267" w:rsidRDefault="00F04267" w:rsidP="00F04267">
      <w:r>
        <w:t xml:space="preserve">For the consistency between the RSs used during training and inference, similarly it could be left to network deployment choice at least for cases 1/2a/3a. Although there could be several types of UE deployed in the network and each could be using e.g. a different bandwidth during training, parameters can be controlled by network implementation to remain static during both training and inference. The UE can also ensure the measurement bandwidth is consistent with the bandwidth </w:t>
      </w:r>
      <w:r>
        <w:lastRenderedPageBreak/>
        <w:t>used for training. For case 3b and 2b, the LMF gather the measurements and the gNB/UE may not have been involved with the model training.  It is thus important that the LMF signals what measurement bandwidth to use to provide model input.</w:t>
      </w:r>
    </w:p>
    <w:p w14:paraId="0D51C0EC" w14:textId="77777777" w:rsidR="00F04267" w:rsidRDefault="00F04267" w:rsidP="002938DE">
      <w:pPr>
        <w:pStyle w:val="Observation"/>
      </w:pPr>
      <w:bookmarkStart w:id="1830" w:name="_Toc178961882"/>
      <w:r>
        <w:t>For Cases with LMF-side model (case 2b/3b), the measurements reported for model input must be consistent with the ones used with training data.</w:t>
      </w:r>
      <w:bookmarkEnd w:id="1830"/>
    </w:p>
    <w:p w14:paraId="1E03A5AC" w14:textId="3B3517A7" w:rsidR="00F04267" w:rsidRDefault="00F04267" w:rsidP="00154F22">
      <w:pPr>
        <w:pStyle w:val="Proposal"/>
      </w:pPr>
      <w:bookmarkStart w:id="1831" w:name="_Toc178961964"/>
      <w:r w:rsidRPr="00736203">
        <w:t xml:space="preserve">For measurements reported to the LMF in case </w:t>
      </w:r>
      <w:r>
        <w:t>2</w:t>
      </w:r>
      <w:r w:rsidRPr="00736203">
        <w:t>b/</w:t>
      </w:r>
      <w:r>
        <w:t>3</w:t>
      </w:r>
      <w:r w:rsidRPr="00736203">
        <w:t xml:space="preserve">b, support the LMF to indicate the </w:t>
      </w:r>
      <w:r>
        <w:t xml:space="preserve">PRS/SRS </w:t>
      </w:r>
      <w:r w:rsidRPr="00736203">
        <w:t>measurement bandwidth.</w:t>
      </w:r>
      <w:bookmarkEnd w:id="1831"/>
      <w:r w:rsidRPr="00736203">
        <w:t xml:space="preserve"> </w:t>
      </w:r>
    </w:p>
    <w:p w14:paraId="375D782F" w14:textId="5A303A46" w:rsidR="00C01F33" w:rsidRPr="00E215F0" w:rsidRDefault="00C01F33" w:rsidP="00CE0424">
      <w:pPr>
        <w:pStyle w:val="Heading1"/>
        <w:rPr>
          <w:lang w:val="en-US"/>
        </w:rPr>
      </w:pPr>
      <w:bookmarkStart w:id="1832" w:name="_Toc166157546"/>
      <w:bookmarkStart w:id="1833" w:name="_Toc165991023"/>
      <w:bookmarkStart w:id="1834" w:name="_Toc178961690"/>
      <w:bookmarkEnd w:id="1832"/>
      <w:r w:rsidRPr="00E215F0">
        <w:rPr>
          <w:lang w:val="en-US"/>
        </w:rPr>
        <w:t>Conclusion</w:t>
      </w:r>
      <w:bookmarkEnd w:id="1833"/>
      <w:bookmarkEnd w:id="1834"/>
    </w:p>
    <w:p w14:paraId="17D87799" w14:textId="77777777" w:rsidR="008E065E" w:rsidRDefault="008E065E" w:rsidP="00024894">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25136058" w14:textId="3E916962" w:rsidR="00850DA1" w:rsidRDefault="006F6582">
      <w:pPr>
        <w:pStyle w:val="TableofFigures"/>
        <w:tabs>
          <w:tab w:val="right" w:leader="dot" w:pos="9962"/>
        </w:tabs>
        <w:rPr>
          <w:rFonts w:asciiTheme="minorHAnsi" w:eastAsiaTheme="minorEastAsia" w:hAnsiTheme="minorHAnsi"/>
          <w:b w:val="0"/>
          <w:noProof/>
          <w:sz w:val="22"/>
        </w:rPr>
      </w:pPr>
      <w:r>
        <w:rPr>
          <w:bCs/>
        </w:rPr>
        <w:fldChar w:fldCharType="begin"/>
      </w:r>
      <w:r>
        <w:rPr>
          <w:bCs/>
        </w:rPr>
        <w:instrText xml:space="preserve"> TOC \f O \n \h \z \t "Observation" \c </w:instrText>
      </w:r>
      <w:r>
        <w:rPr>
          <w:bCs/>
        </w:rPr>
        <w:fldChar w:fldCharType="separate"/>
      </w:r>
      <w:hyperlink w:anchor="_Toc178961831" w:history="1">
        <w:r w:rsidR="00850DA1" w:rsidRPr="002F3CE0">
          <w:rPr>
            <w:rStyle w:val="Hyperlink"/>
            <w:noProof/>
          </w:rPr>
          <w:t>Observation 1</w:t>
        </w:r>
        <w:r w:rsidR="00850DA1">
          <w:rPr>
            <w:rFonts w:asciiTheme="minorHAnsi" w:eastAsiaTheme="minorEastAsia" w:hAnsiTheme="minorHAnsi"/>
            <w:b w:val="0"/>
            <w:noProof/>
            <w:sz w:val="22"/>
          </w:rPr>
          <w:tab/>
        </w:r>
        <w:r w:rsidR="00850DA1" w:rsidRPr="002F3CE0">
          <w:rPr>
            <w:rStyle w:val="Hyperlink"/>
            <w:noProof/>
          </w:rPr>
          <w:t>The template for specifying Case 1 should be decided by RAN WG, choosing between existing DL-TDOA, DL-AoD or a new procedure as the baseline procedure.</w:t>
        </w:r>
      </w:hyperlink>
    </w:p>
    <w:p w14:paraId="7363C577" w14:textId="5B532029" w:rsidR="00850DA1" w:rsidRDefault="00850DA1">
      <w:pPr>
        <w:pStyle w:val="TableofFigures"/>
        <w:tabs>
          <w:tab w:val="right" w:leader="dot" w:pos="9962"/>
        </w:tabs>
        <w:rPr>
          <w:rFonts w:asciiTheme="minorHAnsi" w:eastAsiaTheme="minorEastAsia" w:hAnsiTheme="minorHAnsi"/>
          <w:b w:val="0"/>
          <w:noProof/>
          <w:sz w:val="22"/>
        </w:rPr>
      </w:pPr>
      <w:hyperlink w:anchor="_Toc178961832" w:history="1">
        <w:r w:rsidRPr="002F3CE0">
          <w:rPr>
            <w:rStyle w:val="Hyperlink"/>
            <w:noProof/>
          </w:rPr>
          <w:t>Observation 2</w:t>
        </w:r>
        <w:r>
          <w:rPr>
            <w:rFonts w:asciiTheme="minorHAnsi" w:eastAsiaTheme="minorEastAsia" w:hAnsiTheme="minorHAnsi"/>
            <w:b w:val="0"/>
            <w:noProof/>
            <w:sz w:val="22"/>
          </w:rPr>
          <w:tab/>
        </w:r>
        <w:r w:rsidRPr="002F3CE0">
          <w:rPr>
            <w:rStyle w:val="Hyperlink"/>
            <w:noProof/>
          </w:rPr>
          <w:t>For Case 1/2a (i.e., UE-side model), channel measurement generation process is collocated in the same node with the AI/ML models. The exact details of the model inputs are implementation issues at least for model inference.</w:t>
        </w:r>
      </w:hyperlink>
    </w:p>
    <w:p w14:paraId="559B5A98" w14:textId="3A6FECE0" w:rsidR="00850DA1" w:rsidRDefault="00850DA1">
      <w:pPr>
        <w:pStyle w:val="TableofFigures"/>
        <w:tabs>
          <w:tab w:val="right" w:leader="dot" w:pos="9962"/>
        </w:tabs>
        <w:rPr>
          <w:rFonts w:asciiTheme="minorHAnsi" w:eastAsiaTheme="minorEastAsia" w:hAnsiTheme="minorHAnsi"/>
          <w:b w:val="0"/>
          <w:noProof/>
          <w:sz w:val="22"/>
        </w:rPr>
      </w:pPr>
      <w:hyperlink w:anchor="_Toc178961833" w:history="1">
        <w:r w:rsidRPr="002F3CE0">
          <w:rPr>
            <w:rStyle w:val="Hyperlink"/>
            <w:noProof/>
          </w:rPr>
          <w:t>Observation 3</w:t>
        </w:r>
        <w:r>
          <w:rPr>
            <w:rFonts w:asciiTheme="minorHAnsi" w:eastAsiaTheme="minorEastAsia" w:hAnsiTheme="minorHAnsi"/>
            <w:b w:val="0"/>
            <w:noProof/>
            <w:sz w:val="22"/>
          </w:rPr>
          <w:tab/>
        </w:r>
        <w:r w:rsidRPr="002F3CE0">
          <w:rPr>
            <w:rStyle w:val="Hyperlink"/>
            <w:noProof/>
          </w:rPr>
          <w:t>For Case 3b (1st priority) and Case 2b (2nd priority), due to the LMF sided model, there is a need to clarify the target model input formats to be supported for the AI/ML positioning models.</w:t>
        </w:r>
      </w:hyperlink>
    </w:p>
    <w:p w14:paraId="43EF5681" w14:textId="773DABA6" w:rsidR="00850DA1" w:rsidRDefault="00850DA1">
      <w:pPr>
        <w:pStyle w:val="TableofFigures"/>
        <w:tabs>
          <w:tab w:val="right" w:leader="dot" w:pos="9962"/>
        </w:tabs>
        <w:rPr>
          <w:rFonts w:asciiTheme="minorHAnsi" w:eastAsiaTheme="minorEastAsia" w:hAnsiTheme="minorHAnsi"/>
          <w:b w:val="0"/>
          <w:noProof/>
          <w:sz w:val="22"/>
        </w:rPr>
      </w:pPr>
      <w:hyperlink w:anchor="_Toc178961834" w:history="1">
        <w:r w:rsidRPr="002F3CE0">
          <w:rPr>
            <w:rStyle w:val="Hyperlink"/>
            <w:noProof/>
          </w:rPr>
          <w:t>Observation 4</w:t>
        </w:r>
        <w:r>
          <w:rPr>
            <w:rFonts w:asciiTheme="minorHAnsi" w:eastAsiaTheme="minorEastAsia" w:hAnsiTheme="minorHAnsi"/>
            <w:b w:val="0"/>
            <w:noProof/>
            <w:sz w:val="22"/>
          </w:rPr>
          <w:tab/>
        </w:r>
        <w:r w:rsidRPr="002F3CE0">
          <w:rPr>
            <w:rStyle w:val="Hyperlink"/>
            <w:noProof/>
          </w:rPr>
          <w:t xml:space="preserve">The positioning accuracy of the AI/ML model is not sensitive to channel estimation method when the timing of the first detected path is used to determine the start of </w:t>
        </w:r>
        <m:oMath>
          <m:r>
            <m:rPr>
              <m:sty m:val="bi"/>
            </m:rPr>
            <w:rPr>
              <w:rStyle w:val="Hyperlink"/>
              <w:rFonts w:ascii="Cambria Math" w:hAnsi="Cambria Math"/>
              <w:noProof/>
            </w:rPr>
            <m:t>N</m:t>
          </m:r>
          <m:r>
            <m:rPr>
              <m:sty m:val="bi"/>
            </m:rPr>
            <w:rPr>
              <w:rStyle w:val="Hyperlink"/>
              <w:rFonts w:ascii="Cambria Math" w:hAnsi="Cambria Math"/>
              <w:noProof/>
              <w:vertAlign w:val="subscript"/>
            </w:rPr>
            <m:t>t</m:t>
          </m:r>
        </m:oMath>
        <w:r w:rsidRPr="002F3CE0">
          <w:rPr>
            <w:rStyle w:val="Hyperlink"/>
            <w:noProof/>
          </w:rPr>
          <w:t xml:space="preserve"> samples.</w:t>
        </w:r>
      </w:hyperlink>
    </w:p>
    <w:p w14:paraId="4FD6722C" w14:textId="501B0F03" w:rsidR="00850DA1" w:rsidRDefault="00850DA1">
      <w:pPr>
        <w:pStyle w:val="TableofFigures"/>
        <w:tabs>
          <w:tab w:val="right" w:leader="dot" w:pos="9962"/>
        </w:tabs>
        <w:rPr>
          <w:rFonts w:asciiTheme="minorHAnsi" w:eastAsiaTheme="minorEastAsia" w:hAnsiTheme="minorHAnsi"/>
          <w:b w:val="0"/>
          <w:noProof/>
          <w:sz w:val="22"/>
        </w:rPr>
      </w:pPr>
      <w:hyperlink w:anchor="_Toc178961835" w:history="1">
        <w:r w:rsidRPr="002F3CE0">
          <w:rPr>
            <w:rStyle w:val="Hyperlink"/>
            <w:noProof/>
          </w:rPr>
          <w:t>Observation 5</w:t>
        </w:r>
        <w:r>
          <w:rPr>
            <w:rFonts w:asciiTheme="minorHAnsi" w:eastAsiaTheme="minorEastAsia" w:hAnsiTheme="minorHAnsi"/>
            <w:b w:val="0"/>
            <w:noProof/>
            <w:sz w:val="22"/>
          </w:rPr>
          <w:tab/>
        </w:r>
        <w:r w:rsidRPr="002F3CE0">
          <w:rPr>
            <w:rStyle w:val="Hyperlink"/>
            <w:noProof/>
          </w:rPr>
          <w:t xml:space="preserve">Setting </w:t>
        </w:r>
        <m:oMath>
          <m:r>
            <m:rPr>
              <m:sty m:val="bi"/>
            </m:rPr>
            <w:rPr>
              <w:rStyle w:val="Hyperlink"/>
              <w:rFonts w:ascii="Cambria Math" w:hAnsi="Cambria Math"/>
              <w:i/>
              <w:noProof/>
            </w:rPr>
            <w:sym w:font="Symbol" w:char="F064"/>
          </m:r>
          <m:r>
            <m:rPr>
              <m:sty m:val="bi"/>
            </m:rPr>
            <w:rPr>
              <w:rStyle w:val="Hyperlink"/>
              <w:rFonts w:ascii="Cambria Math" w:hAnsi="Cambria Math"/>
              <w:noProof/>
            </w:rPr>
            <m:t xml:space="preserve"> = 0</m:t>
          </m:r>
        </m:oMath>
        <w:r w:rsidRPr="002F3CE0">
          <w:rPr>
            <w:rStyle w:val="Hyperlink"/>
            <w:noProof/>
          </w:rPr>
          <w:t xml:space="preserve">, i.e., starting the </w:t>
        </w:r>
        <m:oMath>
          <m:r>
            <m:rPr>
              <m:sty m:val="bi"/>
            </m:rPr>
            <w:rPr>
              <w:rStyle w:val="Hyperlink"/>
              <w:rFonts w:ascii="Cambria Math" w:hAnsi="Cambria Math"/>
              <w:noProof/>
            </w:rPr>
            <m:t>Nt</m:t>
          </m:r>
        </m:oMath>
        <w:r w:rsidRPr="002F3CE0">
          <w:rPr>
            <w:rStyle w:val="Hyperlink"/>
            <w:noProof/>
          </w:rPr>
          <w:t xml:space="preserve"> samples at the timing of the first detected path, provides the same or better accuracy compared to </w:t>
        </w:r>
        <m:oMath>
          <m:r>
            <m:rPr>
              <m:sty m:val="bi"/>
            </m:rPr>
            <w:rPr>
              <w:rStyle w:val="Hyperlink"/>
              <w:rFonts w:ascii="Cambria Math" w:hAnsi="Cambria Math"/>
              <w:i/>
              <w:noProof/>
            </w:rPr>
            <w:sym w:font="Symbol" w:char="F064"/>
          </m:r>
          <m:r>
            <m:rPr>
              <m:sty m:val="bi"/>
            </m:rPr>
            <w:rPr>
              <w:rStyle w:val="Hyperlink"/>
              <w:rFonts w:ascii="Cambria Math" w:hAnsi="Cambria Math"/>
              <w:noProof/>
            </w:rPr>
            <m:t xml:space="preserve"> = 3</m:t>
          </m:r>
        </m:oMath>
        <w:r w:rsidRPr="002F3CE0">
          <w:rPr>
            <w:rStyle w:val="Hyperlink"/>
            <w:noProof/>
          </w:rPr>
          <w:t xml:space="preserve"> , i.e., starting the </w:t>
        </w:r>
        <m:oMath>
          <m:r>
            <m:rPr>
              <m:sty m:val="bi"/>
            </m:rPr>
            <w:rPr>
              <w:rStyle w:val="Hyperlink"/>
              <w:rFonts w:ascii="Cambria Math" w:hAnsi="Cambria Math"/>
              <w:noProof/>
            </w:rPr>
            <m:t>Nt</m:t>
          </m:r>
        </m:oMath>
        <w:r w:rsidRPr="002F3CE0">
          <w:rPr>
            <w:rStyle w:val="Hyperlink"/>
            <w:noProof/>
          </w:rPr>
          <w:t xml:space="preserve"> samples 3 samples before the timing of the first detected path.</w:t>
        </w:r>
      </w:hyperlink>
    </w:p>
    <w:p w14:paraId="70E6DD9E" w14:textId="7857025D" w:rsidR="00850DA1" w:rsidRDefault="00850DA1">
      <w:pPr>
        <w:pStyle w:val="TableofFigures"/>
        <w:tabs>
          <w:tab w:val="right" w:leader="dot" w:pos="9962"/>
        </w:tabs>
        <w:rPr>
          <w:rFonts w:asciiTheme="minorHAnsi" w:eastAsiaTheme="minorEastAsia" w:hAnsiTheme="minorHAnsi"/>
          <w:b w:val="0"/>
          <w:noProof/>
          <w:sz w:val="22"/>
        </w:rPr>
      </w:pPr>
      <w:hyperlink w:anchor="_Toc178961836" w:history="1">
        <w:r w:rsidRPr="002F3CE0">
          <w:rPr>
            <w:rStyle w:val="Hyperlink"/>
            <w:noProof/>
          </w:rPr>
          <w:t>Observation 6</w:t>
        </w:r>
        <w:r>
          <w:rPr>
            <w:rFonts w:asciiTheme="minorHAnsi" w:eastAsiaTheme="minorEastAsia" w:hAnsiTheme="minorHAnsi"/>
            <w:b w:val="0"/>
            <w:noProof/>
            <w:sz w:val="22"/>
          </w:rPr>
          <w:tab/>
        </w:r>
        <w:r w:rsidRPr="002F3CE0">
          <w:rPr>
            <w:rStyle w:val="Hyperlink"/>
            <w:noProof/>
          </w:rPr>
          <w:t>The size N</w:t>
        </w:r>
        <w:r w:rsidRPr="002F3CE0">
          <w:rPr>
            <w:rStyle w:val="Hyperlink"/>
            <w:noProof/>
            <w:vertAlign w:val="subscript"/>
          </w:rPr>
          <w:t>t</w:t>
        </w:r>
        <w:r w:rsidRPr="002F3CE0">
          <w:rPr>
            <w:rStyle w:val="Hyperlink"/>
            <w:noProof/>
          </w:rPr>
          <w:t xml:space="preserve"> can be &lt;=1/2 the measurement range M</w:t>
        </w:r>
        <w:r w:rsidRPr="002F3CE0">
          <w:rPr>
            <w:rStyle w:val="Hyperlink"/>
            <w:noProof/>
            <w:vertAlign w:val="subscript"/>
          </w:rPr>
          <w:t>t</w:t>
        </w:r>
        <w:r w:rsidRPr="002F3CE0">
          <w:rPr>
            <w:rStyle w:val="Hyperlink"/>
            <w:noProof/>
          </w:rPr>
          <w:t xml:space="preserve"> without significantly degrading the positioning accuracy.</w:t>
        </w:r>
      </w:hyperlink>
    </w:p>
    <w:p w14:paraId="63D0FC38" w14:textId="2860162E" w:rsidR="00850DA1" w:rsidRDefault="00850DA1">
      <w:pPr>
        <w:pStyle w:val="TableofFigures"/>
        <w:tabs>
          <w:tab w:val="right" w:leader="dot" w:pos="9962"/>
        </w:tabs>
        <w:rPr>
          <w:rFonts w:asciiTheme="minorHAnsi" w:eastAsiaTheme="minorEastAsia" w:hAnsiTheme="minorHAnsi"/>
          <w:b w:val="0"/>
          <w:noProof/>
          <w:sz w:val="22"/>
        </w:rPr>
      </w:pPr>
      <w:hyperlink w:anchor="_Toc178961837" w:history="1">
        <w:r w:rsidRPr="002F3CE0">
          <w:rPr>
            <w:rStyle w:val="Hyperlink"/>
            <w:noProof/>
          </w:rPr>
          <w:t>Observation 7</w:t>
        </w:r>
        <w:r>
          <w:rPr>
            <w:rFonts w:asciiTheme="minorHAnsi" w:eastAsiaTheme="minorEastAsia" w:hAnsiTheme="minorHAnsi"/>
            <w:b w:val="0"/>
            <w:noProof/>
            <w:sz w:val="22"/>
          </w:rPr>
          <w:tab/>
        </w:r>
        <w:r w:rsidRPr="002F3CE0">
          <w:rPr>
            <w:rStyle w:val="Hyperlink"/>
            <w:noProof/>
          </w:rPr>
          <w:t xml:space="preserve">Setting </w:t>
        </w:r>
        <m:oMath>
          <m:r>
            <m:rPr>
              <m:sty m:val="bi"/>
            </m:rPr>
            <w:rPr>
              <w:rStyle w:val="Hyperlink"/>
              <w:rFonts w:ascii="Cambria Math" w:hAnsi="Cambria Math"/>
              <w:noProof/>
            </w:rPr>
            <m:t>N</m:t>
          </m:r>
          <m:r>
            <m:rPr>
              <m:sty m:val="bi"/>
            </m:rPr>
            <w:rPr>
              <w:rStyle w:val="Hyperlink"/>
              <w:rFonts w:ascii="Cambria Math" w:hAnsi="Cambria Math"/>
              <w:noProof/>
              <w:vertAlign w:val="subscript"/>
            </w:rPr>
            <m:t>t</m:t>
          </m:r>
          <m:r>
            <m:rPr>
              <m:sty m:val="bi"/>
            </m:rPr>
            <w:rPr>
              <w:rStyle w:val="Hyperlink"/>
              <w:rFonts w:ascii="Cambria Math" w:hAnsi="Cambria Math"/>
              <w:noProof/>
            </w:rPr>
            <m:t>=N</m:t>
          </m:r>
          <m:r>
            <m:rPr>
              <m:sty m:val="bi"/>
            </m:rPr>
            <w:rPr>
              <w:rStyle w:val="Hyperlink"/>
              <w:rFonts w:ascii="Cambria Math" w:hAnsi="Cambria Math"/>
              <w:noProof/>
              <w:vertAlign w:val="subscript"/>
            </w:rPr>
            <m:t>t'</m:t>
          </m:r>
        </m:oMath>
        <w:r w:rsidRPr="002F3CE0">
          <w:rPr>
            <w:rStyle w:val="Hyperlink"/>
            <w:noProof/>
          </w:rPr>
          <w:t xml:space="preserve"> leads to clear performance degradation when the number of active TRPs is small (e.g., 4 TRPs), while performance degradation is minor when the number of active TRPs is adequate (e.g., 6 or 9 TRPs).</w:t>
        </w:r>
      </w:hyperlink>
    </w:p>
    <w:p w14:paraId="6368DA11" w14:textId="6CC6E3AD" w:rsidR="00850DA1" w:rsidRDefault="00850DA1">
      <w:pPr>
        <w:pStyle w:val="TableofFigures"/>
        <w:tabs>
          <w:tab w:val="right" w:leader="dot" w:pos="9962"/>
        </w:tabs>
        <w:rPr>
          <w:rFonts w:asciiTheme="minorHAnsi" w:eastAsiaTheme="minorEastAsia" w:hAnsiTheme="minorHAnsi"/>
          <w:b w:val="0"/>
          <w:noProof/>
          <w:sz w:val="22"/>
        </w:rPr>
      </w:pPr>
      <w:hyperlink w:anchor="_Toc178961838" w:history="1">
        <w:r w:rsidRPr="002F3CE0">
          <w:rPr>
            <w:rStyle w:val="Hyperlink"/>
            <w:noProof/>
          </w:rPr>
          <w:t>Observation 8</w:t>
        </w:r>
        <w:r>
          <w:rPr>
            <w:rFonts w:asciiTheme="minorHAnsi" w:eastAsiaTheme="minorEastAsia" w:hAnsiTheme="minorHAnsi"/>
            <w:b w:val="0"/>
            <w:noProof/>
            <w:sz w:val="22"/>
          </w:rPr>
          <w:tab/>
        </w:r>
        <w:r w:rsidRPr="002F3CE0">
          <w:rPr>
            <w:rStyle w:val="Hyperlink"/>
            <w:noProof/>
          </w:rPr>
          <w:t>Unlike path-based measurement, sample-based measurement is robust to channel estimation algorithm, even though the start of N</w:t>
        </w:r>
        <w:r w:rsidRPr="002F3CE0">
          <w:rPr>
            <w:rStyle w:val="Hyperlink"/>
            <w:noProof/>
            <w:vertAlign w:val="subscript"/>
          </w:rPr>
          <w:t>t</w:t>
        </w:r>
        <w:r w:rsidRPr="002F3CE0">
          <w:rPr>
            <w:rStyle w:val="Hyperlink"/>
            <w:noProof/>
          </w:rPr>
          <w:t xml:space="preserve"> consecutive samples is determined using the first detected path.</w:t>
        </w:r>
      </w:hyperlink>
    </w:p>
    <w:p w14:paraId="4882A354" w14:textId="59E97ADA" w:rsidR="00850DA1" w:rsidRDefault="00850DA1">
      <w:pPr>
        <w:pStyle w:val="TableofFigures"/>
        <w:tabs>
          <w:tab w:val="right" w:leader="dot" w:pos="9962"/>
        </w:tabs>
        <w:rPr>
          <w:rFonts w:asciiTheme="minorHAnsi" w:eastAsiaTheme="minorEastAsia" w:hAnsiTheme="minorHAnsi"/>
          <w:b w:val="0"/>
          <w:noProof/>
          <w:sz w:val="22"/>
        </w:rPr>
      </w:pPr>
      <w:hyperlink w:anchor="_Toc178961839" w:history="1">
        <w:r w:rsidRPr="002F3CE0">
          <w:rPr>
            <w:rStyle w:val="Hyperlink"/>
            <w:noProof/>
          </w:rPr>
          <w:t>Observation 9</w:t>
        </w:r>
        <w:r>
          <w:rPr>
            <w:rFonts w:asciiTheme="minorHAnsi" w:eastAsiaTheme="minorEastAsia" w:hAnsiTheme="minorHAnsi"/>
            <w:b w:val="0"/>
            <w:noProof/>
            <w:sz w:val="22"/>
          </w:rPr>
          <w:tab/>
        </w:r>
        <w:r w:rsidRPr="002F3CE0">
          <w:rPr>
            <w:rStyle w:val="Hyperlink"/>
            <w:noProof/>
          </w:rPr>
          <w:t>Training/test timing error distributional mismatch has the same impact on both direct sample-based reporting and Rel-17 path-based reporting.</w:t>
        </w:r>
      </w:hyperlink>
    </w:p>
    <w:p w14:paraId="56C0AF98" w14:textId="39E36401" w:rsidR="00850DA1" w:rsidRDefault="00850DA1">
      <w:pPr>
        <w:pStyle w:val="TableofFigures"/>
        <w:tabs>
          <w:tab w:val="right" w:leader="dot" w:pos="9962"/>
        </w:tabs>
        <w:rPr>
          <w:rFonts w:asciiTheme="minorHAnsi" w:eastAsiaTheme="minorEastAsia" w:hAnsiTheme="minorHAnsi"/>
          <w:b w:val="0"/>
          <w:noProof/>
          <w:sz w:val="22"/>
        </w:rPr>
      </w:pPr>
      <w:hyperlink w:anchor="_Toc178961840" w:history="1">
        <w:r w:rsidRPr="002F3CE0">
          <w:rPr>
            <w:rStyle w:val="Hyperlink"/>
            <w:noProof/>
          </w:rPr>
          <w:t>Observation 10</w:t>
        </w:r>
        <w:r>
          <w:rPr>
            <w:rFonts w:asciiTheme="minorHAnsi" w:eastAsiaTheme="minorEastAsia" w:hAnsiTheme="minorHAnsi"/>
            <w:b w:val="0"/>
            <w:noProof/>
            <w:sz w:val="22"/>
          </w:rPr>
          <w:tab/>
        </w:r>
        <w:r w:rsidRPr="002F3CE0">
          <w:rPr>
            <w:rStyle w:val="Hyperlink"/>
            <w:noProof/>
          </w:rPr>
          <w:t>When compared to the total-power PDP input type, the 2-port PDP input type (1) doubles the signal sizes; (2) requires higher computational complexity; and (3) achieves marginal performance improvements.</w:t>
        </w:r>
      </w:hyperlink>
    </w:p>
    <w:p w14:paraId="391D5181" w14:textId="499909B0" w:rsidR="00850DA1" w:rsidRDefault="00850DA1">
      <w:pPr>
        <w:pStyle w:val="TableofFigures"/>
        <w:tabs>
          <w:tab w:val="right" w:leader="dot" w:pos="9962"/>
        </w:tabs>
        <w:rPr>
          <w:rFonts w:asciiTheme="minorHAnsi" w:eastAsiaTheme="minorEastAsia" w:hAnsiTheme="minorHAnsi"/>
          <w:b w:val="0"/>
          <w:noProof/>
          <w:sz w:val="22"/>
        </w:rPr>
      </w:pPr>
      <w:hyperlink w:anchor="_Toc178961841" w:history="1">
        <w:r w:rsidRPr="002F3CE0">
          <w:rPr>
            <w:rStyle w:val="Hyperlink"/>
            <w:noProof/>
          </w:rPr>
          <w:t>Observation 11</w:t>
        </w:r>
        <w:r>
          <w:rPr>
            <w:rFonts w:asciiTheme="minorHAnsi" w:eastAsiaTheme="minorEastAsia" w:hAnsiTheme="minorHAnsi"/>
            <w:b w:val="0"/>
            <w:noProof/>
            <w:sz w:val="22"/>
          </w:rPr>
          <w:tab/>
        </w:r>
        <w:r w:rsidRPr="002F3CE0">
          <w:rPr>
            <w:rStyle w:val="Hyperlink"/>
            <w:noProof/>
          </w:rPr>
          <w:t>When compared to the total-power PDP input type, the 1-port PDP input type (1) discards signal power and radio channel information that is readily available, and (2) achieves lower positioning accuracy.</w:t>
        </w:r>
      </w:hyperlink>
    </w:p>
    <w:p w14:paraId="34CCA24C" w14:textId="4787E023" w:rsidR="00850DA1" w:rsidRDefault="00850DA1">
      <w:pPr>
        <w:pStyle w:val="TableofFigures"/>
        <w:tabs>
          <w:tab w:val="right" w:leader="dot" w:pos="9962"/>
        </w:tabs>
        <w:rPr>
          <w:rFonts w:asciiTheme="minorHAnsi" w:eastAsiaTheme="minorEastAsia" w:hAnsiTheme="minorHAnsi"/>
          <w:b w:val="0"/>
          <w:noProof/>
          <w:sz w:val="22"/>
        </w:rPr>
      </w:pPr>
      <w:hyperlink w:anchor="_Toc178961842" w:history="1">
        <w:r w:rsidRPr="002F3CE0">
          <w:rPr>
            <w:rStyle w:val="Hyperlink"/>
            <w:noProof/>
          </w:rPr>
          <w:t>Observation 12</w:t>
        </w:r>
        <w:r>
          <w:rPr>
            <w:rFonts w:asciiTheme="minorHAnsi" w:eastAsiaTheme="minorEastAsia" w:hAnsiTheme="minorHAnsi"/>
            <w:b w:val="0"/>
            <w:noProof/>
            <w:sz w:val="22"/>
          </w:rPr>
          <w:tab/>
        </w:r>
        <w:r w:rsidRPr="002F3CE0">
          <w:rPr>
            <w:rStyle w:val="Hyperlink"/>
            <w:noProof/>
          </w:rPr>
          <w:t>While both PDP sub-samples from regular sampling grid points and legacy path-based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 The Rel-17 path-based reporting impose substantially higher computation complexity loads on the measurement nodes than the sample-based reporting approach.</w:t>
        </w:r>
      </w:hyperlink>
    </w:p>
    <w:p w14:paraId="297B0EAF" w14:textId="3950FCE6" w:rsidR="00850DA1" w:rsidRDefault="00850DA1">
      <w:pPr>
        <w:pStyle w:val="TableofFigures"/>
        <w:tabs>
          <w:tab w:val="right" w:leader="dot" w:pos="9962"/>
        </w:tabs>
        <w:rPr>
          <w:rFonts w:asciiTheme="minorHAnsi" w:eastAsiaTheme="minorEastAsia" w:hAnsiTheme="minorHAnsi"/>
          <w:b w:val="0"/>
          <w:noProof/>
          <w:sz w:val="22"/>
        </w:rPr>
      </w:pPr>
      <w:hyperlink w:anchor="_Toc178961843" w:history="1">
        <w:r w:rsidRPr="002F3CE0">
          <w:rPr>
            <w:rStyle w:val="Hyperlink"/>
            <w:noProof/>
          </w:rPr>
          <w:t>Observation 13</w:t>
        </w:r>
        <w:r>
          <w:rPr>
            <w:rFonts w:asciiTheme="minorHAnsi" w:eastAsiaTheme="minorEastAsia" w:hAnsiTheme="minorHAnsi"/>
            <w:b w:val="0"/>
            <w:noProof/>
            <w:sz w:val="22"/>
          </w:rPr>
          <w:tab/>
        </w:r>
        <w:r w:rsidRPr="002F3CE0">
          <w:rPr>
            <w:rStyle w:val="Hyperlink"/>
            <w:noProof/>
          </w:rPr>
          <w:t>There has been no systematic study on the use of (off-grid) RSRPP reports as AI/ML model inputs in 3GPP. Without correct modeling of UE channel estimation and interpolation capabilities, the performance of (off-grid) RSRPP reports as AI/ML model inputs cn be exaggerated.</w:t>
        </w:r>
      </w:hyperlink>
    </w:p>
    <w:p w14:paraId="70EF1794" w14:textId="4DFA5420" w:rsidR="00850DA1" w:rsidRDefault="00850DA1">
      <w:pPr>
        <w:pStyle w:val="TableofFigures"/>
        <w:tabs>
          <w:tab w:val="right" w:leader="dot" w:pos="9962"/>
        </w:tabs>
        <w:rPr>
          <w:rFonts w:asciiTheme="minorHAnsi" w:eastAsiaTheme="minorEastAsia" w:hAnsiTheme="minorHAnsi"/>
          <w:b w:val="0"/>
          <w:noProof/>
          <w:sz w:val="22"/>
        </w:rPr>
      </w:pPr>
      <w:hyperlink w:anchor="_Toc178961844" w:history="1">
        <w:r w:rsidRPr="002F3CE0">
          <w:rPr>
            <w:rStyle w:val="Hyperlink"/>
            <w:noProof/>
          </w:rPr>
          <w:t>Observation 14</w:t>
        </w:r>
        <w:r>
          <w:rPr>
            <w:rFonts w:asciiTheme="minorHAnsi" w:eastAsiaTheme="minorEastAsia" w:hAnsiTheme="minorHAnsi"/>
            <w:b w:val="0"/>
            <w:noProof/>
            <w:sz w:val="22"/>
          </w:rPr>
          <w:tab/>
        </w:r>
        <w:r w:rsidRPr="002F3CE0">
          <w:rPr>
            <w:rStyle w:val="Hyperlink"/>
            <w:noProof/>
          </w:rPr>
          <w:t>If the UE receiver implementation issues are not studied, there will be model input distributional mismatch between training and inference phases, when different UEs with different receiver implementation are used in training vs inference.</w:t>
        </w:r>
      </w:hyperlink>
    </w:p>
    <w:p w14:paraId="1F6877F6" w14:textId="440012A1" w:rsidR="00850DA1" w:rsidRDefault="00850DA1">
      <w:pPr>
        <w:pStyle w:val="TableofFigures"/>
        <w:tabs>
          <w:tab w:val="right" w:leader="dot" w:pos="9962"/>
        </w:tabs>
        <w:rPr>
          <w:rFonts w:asciiTheme="minorHAnsi" w:eastAsiaTheme="minorEastAsia" w:hAnsiTheme="minorHAnsi"/>
          <w:b w:val="0"/>
          <w:noProof/>
          <w:sz w:val="22"/>
        </w:rPr>
      </w:pPr>
      <w:hyperlink w:anchor="_Toc178961845" w:history="1">
        <w:r w:rsidRPr="002F3CE0">
          <w:rPr>
            <w:rStyle w:val="Hyperlink"/>
            <w:noProof/>
          </w:rPr>
          <w:t>Observation 15</w:t>
        </w:r>
        <w:r>
          <w:rPr>
            <w:rFonts w:asciiTheme="minorHAnsi" w:eastAsiaTheme="minorEastAsia" w:hAnsiTheme="minorHAnsi"/>
            <w:b w:val="0"/>
            <w:noProof/>
            <w:sz w:val="22"/>
          </w:rPr>
          <w:tab/>
        </w:r>
        <w:r w:rsidRPr="002F3CE0">
          <w:rPr>
            <w:rStyle w:val="Hyperlink"/>
            <w:noProof/>
          </w:rPr>
          <w:t>Rel-17 path-based reporting requires much higher computational complexity for the measurement node than the sample-based reporting approach, particularly when more capable and accurate channel estimation algorithms are used.</w:t>
        </w:r>
      </w:hyperlink>
    </w:p>
    <w:p w14:paraId="05CEE120" w14:textId="5189B861" w:rsidR="00850DA1" w:rsidRDefault="00850DA1">
      <w:pPr>
        <w:pStyle w:val="TableofFigures"/>
        <w:tabs>
          <w:tab w:val="right" w:leader="dot" w:pos="9962"/>
        </w:tabs>
        <w:rPr>
          <w:rFonts w:asciiTheme="minorHAnsi" w:eastAsiaTheme="minorEastAsia" w:hAnsiTheme="minorHAnsi"/>
          <w:b w:val="0"/>
          <w:noProof/>
          <w:sz w:val="22"/>
        </w:rPr>
      </w:pPr>
      <w:hyperlink w:anchor="_Toc178961846" w:history="1">
        <w:r w:rsidRPr="002F3CE0">
          <w:rPr>
            <w:rStyle w:val="Hyperlink"/>
            <w:noProof/>
          </w:rPr>
          <w:t>Observation 16</w:t>
        </w:r>
        <w:r>
          <w:rPr>
            <w:rFonts w:asciiTheme="minorHAnsi" w:eastAsiaTheme="minorEastAsia" w:hAnsiTheme="minorHAnsi"/>
            <w:b w:val="0"/>
            <w:noProof/>
            <w:sz w:val="22"/>
          </w:rPr>
          <w:tab/>
        </w:r>
        <w:r w:rsidRPr="002F3CE0">
          <w:rPr>
            <w:rStyle w:val="Hyperlink"/>
            <w:noProof/>
          </w:rPr>
          <w:t>Positioning accuracy of ML models using Rel-17 path-based reports, which are trained and tested with data generated by a specific measurement implementation, depends significantly on the signal processing capabilities of the measurement nodes.</w:t>
        </w:r>
      </w:hyperlink>
    </w:p>
    <w:p w14:paraId="6C9F4A69" w14:textId="0104250B" w:rsidR="00850DA1" w:rsidRDefault="00850DA1">
      <w:pPr>
        <w:pStyle w:val="TableofFigures"/>
        <w:tabs>
          <w:tab w:val="right" w:leader="dot" w:pos="9962"/>
        </w:tabs>
        <w:rPr>
          <w:rFonts w:asciiTheme="minorHAnsi" w:eastAsiaTheme="minorEastAsia" w:hAnsiTheme="minorHAnsi"/>
          <w:b w:val="0"/>
          <w:noProof/>
          <w:sz w:val="22"/>
        </w:rPr>
      </w:pPr>
      <w:hyperlink w:anchor="_Toc178961847" w:history="1">
        <w:r w:rsidRPr="002F3CE0">
          <w:rPr>
            <w:rStyle w:val="Hyperlink"/>
            <w:noProof/>
          </w:rPr>
          <w:t>Observation 17</w:t>
        </w:r>
        <w:r>
          <w:rPr>
            <w:rFonts w:asciiTheme="minorHAnsi" w:eastAsiaTheme="minorEastAsia" w:hAnsiTheme="minorHAnsi"/>
            <w:b w:val="0"/>
            <w:noProof/>
            <w:sz w:val="22"/>
          </w:rPr>
          <w:tab/>
        </w:r>
        <w:r w:rsidRPr="002F3CE0">
          <w:rPr>
            <w:rStyle w:val="Hyperlink"/>
            <w:noProof/>
          </w:rPr>
          <w:t>Models trained using Rel-17 path-based reports prepared by one channel estimator do not generalize to reports from different channel estimators.</w:t>
        </w:r>
      </w:hyperlink>
    </w:p>
    <w:p w14:paraId="35F68A6B" w14:textId="05122D2C" w:rsidR="00850DA1" w:rsidRDefault="00850DA1">
      <w:pPr>
        <w:pStyle w:val="TableofFigures"/>
        <w:tabs>
          <w:tab w:val="right" w:leader="dot" w:pos="9962"/>
        </w:tabs>
        <w:rPr>
          <w:rFonts w:asciiTheme="minorHAnsi" w:eastAsiaTheme="minorEastAsia" w:hAnsiTheme="minorHAnsi"/>
          <w:b w:val="0"/>
          <w:noProof/>
          <w:sz w:val="22"/>
        </w:rPr>
      </w:pPr>
      <w:hyperlink w:anchor="_Toc178961848" w:history="1">
        <w:r w:rsidRPr="002F3CE0">
          <w:rPr>
            <w:rStyle w:val="Hyperlink"/>
            <w:noProof/>
          </w:rPr>
          <w:t>Observation 18</w:t>
        </w:r>
        <w:r>
          <w:rPr>
            <w:rFonts w:asciiTheme="minorHAnsi" w:eastAsiaTheme="minorEastAsia" w:hAnsiTheme="minorHAnsi"/>
            <w:b w:val="0"/>
            <w:noProof/>
            <w:sz w:val="22"/>
          </w:rPr>
          <w:tab/>
        </w:r>
        <w:r w:rsidRPr="002F3CE0">
          <w:rPr>
            <w:rStyle w:val="Hyperlink"/>
            <w:noProof/>
          </w:rPr>
          <w:t>Given the large dimensions and ranges of possible channel estimation algorithm design tradeoffs and algorithm behaviors, fingerprinting type ML models do not generalize to measurement reports generated from different channel estimation implementations.</w:t>
        </w:r>
      </w:hyperlink>
    </w:p>
    <w:p w14:paraId="4E28F07B" w14:textId="46D3EF35" w:rsidR="00850DA1" w:rsidRDefault="00850DA1">
      <w:pPr>
        <w:pStyle w:val="TableofFigures"/>
        <w:tabs>
          <w:tab w:val="right" w:leader="dot" w:pos="9962"/>
        </w:tabs>
        <w:rPr>
          <w:rFonts w:asciiTheme="minorHAnsi" w:eastAsiaTheme="minorEastAsia" w:hAnsiTheme="minorHAnsi"/>
          <w:b w:val="0"/>
          <w:noProof/>
          <w:sz w:val="22"/>
        </w:rPr>
      </w:pPr>
      <w:hyperlink w:anchor="_Toc178961849" w:history="1">
        <w:r w:rsidRPr="002F3CE0">
          <w:rPr>
            <w:rStyle w:val="Hyperlink"/>
            <w:noProof/>
          </w:rPr>
          <w:t>Observation 19</w:t>
        </w:r>
        <w:r>
          <w:rPr>
            <w:rFonts w:asciiTheme="minorHAnsi" w:eastAsiaTheme="minorEastAsia" w:hAnsiTheme="minorHAnsi"/>
            <w:b w:val="0"/>
            <w:noProof/>
            <w:sz w:val="22"/>
          </w:rPr>
          <w:tab/>
        </w:r>
        <w:r w:rsidRPr="002F3CE0">
          <w:rPr>
            <w:rStyle w:val="Hyperlink"/>
            <w:noProof/>
          </w:rPr>
          <w:t>Models using path-based PDP and path-based CIR as model input are sensitive to channel estimator mismatch between training and inference phases, with higher sensitivity observed for path-based CIR.</w:t>
        </w:r>
      </w:hyperlink>
    </w:p>
    <w:p w14:paraId="139E6EB6" w14:textId="6E9DC936" w:rsidR="00850DA1" w:rsidRDefault="00850DA1">
      <w:pPr>
        <w:pStyle w:val="TableofFigures"/>
        <w:tabs>
          <w:tab w:val="right" w:leader="dot" w:pos="9962"/>
        </w:tabs>
        <w:rPr>
          <w:rFonts w:asciiTheme="minorHAnsi" w:eastAsiaTheme="minorEastAsia" w:hAnsiTheme="minorHAnsi"/>
          <w:b w:val="0"/>
          <w:noProof/>
          <w:sz w:val="22"/>
        </w:rPr>
      </w:pPr>
      <w:hyperlink w:anchor="_Toc178961850" w:history="1">
        <w:r w:rsidRPr="002F3CE0">
          <w:rPr>
            <w:rStyle w:val="Hyperlink"/>
            <w:noProof/>
          </w:rPr>
          <w:t>Observation 20</w:t>
        </w:r>
        <w:r>
          <w:rPr>
            <w:rFonts w:asciiTheme="minorHAnsi" w:eastAsiaTheme="minorEastAsia" w:hAnsiTheme="minorHAnsi"/>
            <w:b w:val="0"/>
            <w:noProof/>
            <w:sz w:val="22"/>
          </w:rPr>
          <w:tab/>
        </w:r>
        <w:r w:rsidRPr="002F3CE0">
          <w:rPr>
            <w:rStyle w:val="Hyperlink"/>
            <w:noProof/>
          </w:rPr>
          <w:t>On the basis of a same large RS bandwidth (e.g., 100 MHz), models using Rel-17 path-based measurements on average achieve similar positioning accuracy as models using sample-based measurements.</w:t>
        </w:r>
      </w:hyperlink>
    </w:p>
    <w:p w14:paraId="4009EF4B" w14:textId="605C837C" w:rsidR="00850DA1" w:rsidRDefault="00850DA1">
      <w:pPr>
        <w:pStyle w:val="TableofFigures"/>
        <w:tabs>
          <w:tab w:val="right" w:leader="dot" w:pos="9962"/>
        </w:tabs>
        <w:rPr>
          <w:rFonts w:asciiTheme="minorHAnsi" w:eastAsiaTheme="minorEastAsia" w:hAnsiTheme="minorHAnsi"/>
          <w:b w:val="0"/>
          <w:noProof/>
          <w:sz w:val="22"/>
        </w:rPr>
      </w:pPr>
      <w:hyperlink w:anchor="_Toc178961851" w:history="1">
        <w:r w:rsidRPr="002F3CE0">
          <w:rPr>
            <w:rStyle w:val="Hyperlink"/>
            <w:noProof/>
          </w:rPr>
          <w:t>Observation 21</w:t>
        </w:r>
        <w:r>
          <w:rPr>
            <w:rFonts w:asciiTheme="minorHAnsi" w:eastAsiaTheme="minorEastAsia" w:hAnsiTheme="minorHAnsi"/>
            <w:b w:val="0"/>
            <w:noProof/>
            <w:sz w:val="22"/>
          </w:rPr>
          <w:tab/>
        </w:r>
        <w:r w:rsidRPr="002F3CE0">
          <w:rPr>
            <w:rStyle w:val="Hyperlink"/>
            <w:noProof/>
          </w:rPr>
          <w:t>On the basis of a same small RS bandwidth (e.g., 25 MHz), ML models using Rel-17 path-based reporting on average have 26% higher 90%tile 2D positioning error than ML models using sample-based reporting.</w:t>
        </w:r>
      </w:hyperlink>
    </w:p>
    <w:p w14:paraId="582DEC68" w14:textId="543EB081" w:rsidR="00850DA1" w:rsidRDefault="00850DA1">
      <w:pPr>
        <w:pStyle w:val="TableofFigures"/>
        <w:tabs>
          <w:tab w:val="right" w:leader="dot" w:pos="9962"/>
        </w:tabs>
        <w:rPr>
          <w:rFonts w:asciiTheme="minorHAnsi" w:eastAsiaTheme="minorEastAsia" w:hAnsiTheme="minorHAnsi"/>
          <w:b w:val="0"/>
          <w:noProof/>
          <w:sz w:val="22"/>
        </w:rPr>
      </w:pPr>
      <w:hyperlink w:anchor="_Toc178961852" w:history="1">
        <w:r w:rsidRPr="002F3CE0">
          <w:rPr>
            <w:rStyle w:val="Hyperlink"/>
            <w:noProof/>
          </w:rPr>
          <w:t>Observation 22</w:t>
        </w:r>
        <w:r>
          <w:rPr>
            <w:rFonts w:asciiTheme="minorHAnsi" w:eastAsiaTheme="minorEastAsia" w:hAnsiTheme="minorHAnsi"/>
            <w:b w:val="0"/>
            <w:noProof/>
            <w:sz w:val="22"/>
          </w:rPr>
          <w:tab/>
        </w:r>
        <w:r w:rsidRPr="002F3CE0">
          <w:rPr>
            <w:rStyle w:val="Hyperlink"/>
            <w:noProof/>
          </w:rPr>
          <w:t>Given the same receiver computational complexity, a measurement node can support a wider RS bandwidth for sample-based reporting than for Rel-17 path-based reporting. The wider RS bandwidth measurement reports enable better positioning accuracy for the ML models using sample-based reporting.</w:t>
        </w:r>
      </w:hyperlink>
    </w:p>
    <w:p w14:paraId="74D33BA7" w14:textId="7AEB8484" w:rsidR="00850DA1" w:rsidRDefault="00850DA1">
      <w:pPr>
        <w:pStyle w:val="TableofFigures"/>
        <w:tabs>
          <w:tab w:val="right" w:leader="dot" w:pos="9962"/>
        </w:tabs>
        <w:rPr>
          <w:rFonts w:asciiTheme="minorHAnsi" w:eastAsiaTheme="minorEastAsia" w:hAnsiTheme="minorHAnsi"/>
          <w:b w:val="0"/>
          <w:noProof/>
          <w:sz w:val="22"/>
        </w:rPr>
      </w:pPr>
      <w:hyperlink w:anchor="_Toc178961853" w:history="1">
        <w:r w:rsidRPr="002F3CE0">
          <w:rPr>
            <w:rStyle w:val="Hyperlink"/>
            <w:noProof/>
            <w:lang w:eastAsia="en-GB"/>
          </w:rPr>
          <w:t>Observation 23</w:t>
        </w:r>
        <w:r>
          <w:rPr>
            <w:rFonts w:asciiTheme="minorHAnsi" w:eastAsiaTheme="minorEastAsia" w:hAnsiTheme="minorHAnsi"/>
            <w:b w:val="0"/>
            <w:noProof/>
            <w:sz w:val="22"/>
          </w:rPr>
          <w:tab/>
        </w:r>
        <w:r w:rsidRPr="002F3CE0">
          <w:rPr>
            <w:rStyle w:val="Hyperlink"/>
            <w:noProof/>
            <w:lang w:eastAsia="en-GB"/>
          </w:rPr>
          <w:t>Sample-based reporting can achieve significantly better positioning accuracy compared to path-based reporting when fewer number of TRPs are used on smaller RS bandwidth (i.e., BW=50, 25 and 12.5 MHz).</w:t>
        </w:r>
      </w:hyperlink>
    </w:p>
    <w:p w14:paraId="66A468C1" w14:textId="308ED8EF" w:rsidR="00850DA1" w:rsidRDefault="00850DA1">
      <w:pPr>
        <w:pStyle w:val="TableofFigures"/>
        <w:tabs>
          <w:tab w:val="right" w:leader="dot" w:pos="9962"/>
        </w:tabs>
        <w:rPr>
          <w:rFonts w:asciiTheme="minorHAnsi" w:eastAsiaTheme="minorEastAsia" w:hAnsiTheme="minorHAnsi"/>
          <w:b w:val="0"/>
          <w:noProof/>
          <w:sz w:val="22"/>
        </w:rPr>
      </w:pPr>
      <w:hyperlink w:anchor="_Toc178961854" w:history="1">
        <w:r w:rsidRPr="002F3CE0">
          <w:rPr>
            <w:rStyle w:val="Hyperlink"/>
            <w:noProof/>
            <w:lang w:eastAsia="en-GB"/>
          </w:rPr>
          <w:t>Observation 24</w:t>
        </w:r>
        <w:r>
          <w:rPr>
            <w:rFonts w:asciiTheme="minorHAnsi" w:eastAsiaTheme="minorEastAsia" w:hAnsiTheme="minorHAnsi"/>
            <w:b w:val="0"/>
            <w:noProof/>
            <w:sz w:val="22"/>
          </w:rPr>
          <w:tab/>
        </w:r>
        <w:r w:rsidRPr="002F3CE0">
          <w:rPr>
            <w:rStyle w:val="Hyperlink"/>
            <w:noProof/>
            <w:lang w:eastAsia="en-GB"/>
          </w:rPr>
          <w:t>Sample-based measurement allows a substantially smaller PRS bandwidth to be configured to achieve the same positioning accuracy as path-based measurement. The PRS resource allocation savings can be 50% or more, especially for smaller number of active TRP (e.g., 3-12 TRPs).</w:t>
        </w:r>
      </w:hyperlink>
    </w:p>
    <w:p w14:paraId="4C53B451" w14:textId="7336BF59" w:rsidR="00850DA1" w:rsidRDefault="00850DA1">
      <w:pPr>
        <w:pStyle w:val="TableofFigures"/>
        <w:tabs>
          <w:tab w:val="right" w:leader="dot" w:pos="9962"/>
        </w:tabs>
        <w:rPr>
          <w:rFonts w:asciiTheme="minorHAnsi" w:eastAsiaTheme="minorEastAsia" w:hAnsiTheme="minorHAnsi"/>
          <w:b w:val="0"/>
          <w:noProof/>
          <w:sz w:val="22"/>
        </w:rPr>
      </w:pPr>
      <w:hyperlink w:anchor="_Toc178961855" w:history="1">
        <w:r w:rsidRPr="002F3CE0">
          <w:rPr>
            <w:rStyle w:val="Hyperlink"/>
            <w:noProof/>
            <w:lang w:eastAsia="en-GB"/>
          </w:rPr>
          <w:t>Observation 25</w:t>
        </w:r>
        <w:r>
          <w:rPr>
            <w:rFonts w:asciiTheme="minorHAnsi" w:eastAsiaTheme="minorEastAsia" w:hAnsiTheme="minorHAnsi"/>
            <w:b w:val="0"/>
            <w:noProof/>
            <w:sz w:val="22"/>
          </w:rPr>
          <w:tab/>
        </w:r>
        <w:r w:rsidRPr="002F3CE0">
          <w:rPr>
            <w:rStyle w:val="Hyperlink"/>
            <w:noProof/>
            <w:lang w:eastAsia="en-GB"/>
          </w:rPr>
          <w:t>Sample-based measurement allows a substantially smaller number of reported TRPs to achieve the same positioning accuracy as path-based measurement. The reported TRP overhead savings can be 50% or more, especially for smaller BWs.</w:t>
        </w:r>
      </w:hyperlink>
    </w:p>
    <w:p w14:paraId="42395919" w14:textId="3E1F5266" w:rsidR="00850DA1" w:rsidRDefault="00850DA1">
      <w:pPr>
        <w:pStyle w:val="TableofFigures"/>
        <w:tabs>
          <w:tab w:val="right" w:leader="dot" w:pos="9962"/>
        </w:tabs>
        <w:rPr>
          <w:rFonts w:asciiTheme="minorHAnsi" w:eastAsiaTheme="minorEastAsia" w:hAnsiTheme="minorHAnsi"/>
          <w:b w:val="0"/>
          <w:noProof/>
          <w:sz w:val="22"/>
        </w:rPr>
      </w:pPr>
      <w:hyperlink w:anchor="_Toc178961856" w:history="1">
        <w:r w:rsidRPr="002F3CE0">
          <w:rPr>
            <w:rStyle w:val="Hyperlink"/>
            <w:noProof/>
          </w:rPr>
          <w:t>Observation 26</w:t>
        </w:r>
        <w:r>
          <w:rPr>
            <w:rFonts w:asciiTheme="minorHAnsi" w:eastAsiaTheme="minorEastAsia" w:hAnsiTheme="minorHAnsi"/>
            <w:b w:val="0"/>
            <w:noProof/>
            <w:sz w:val="22"/>
          </w:rPr>
          <w:tab/>
        </w:r>
        <w:r w:rsidRPr="002F3CE0">
          <w:rPr>
            <w:rStyle w:val="Hyperlink"/>
            <w:noProof/>
          </w:rPr>
          <w:t>Sample-based signaling can achieve better positioning accuracy and lower signaling sizes than legacy path-based signaling using substantially simpler measurement node processing.</w:t>
        </w:r>
      </w:hyperlink>
    </w:p>
    <w:p w14:paraId="2D1BED79" w14:textId="3216E716" w:rsidR="00850DA1" w:rsidRDefault="00850DA1">
      <w:pPr>
        <w:pStyle w:val="TableofFigures"/>
        <w:tabs>
          <w:tab w:val="right" w:leader="dot" w:pos="9962"/>
        </w:tabs>
        <w:rPr>
          <w:rFonts w:asciiTheme="minorHAnsi" w:eastAsiaTheme="minorEastAsia" w:hAnsiTheme="minorHAnsi"/>
          <w:b w:val="0"/>
          <w:noProof/>
          <w:sz w:val="22"/>
        </w:rPr>
      </w:pPr>
      <w:hyperlink w:anchor="_Toc178961857" w:history="1">
        <w:r w:rsidRPr="002F3CE0">
          <w:rPr>
            <w:rStyle w:val="Hyperlink"/>
            <w:noProof/>
          </w:rPr>
          <w:t>Observation 27</w:t>
        </w:r>
        <w:r>
          <w:rPr>
            <w:rFonts w:asciiTheme="minorHAnsi" w:eastAsiaTheme="minorEastAsia" w:hAnsiTheme="minorHAnsi"/>
            <w:b w:val="0"/>
            <w:noProof/>
            <w:sz w:val="22"/>
          </w:rPr>
          <w:tab/>
        </w:r>
        <w:r w:rsidRPr="002F3CE0">
          <w:rPr>
            <w:rStyle w:val="Hyperlink"/>
            <w:noProof/>
          </w:rPr>
          <w:t>Rel-18 CPP measurements (DL RSCPD, DL RSCP, UL RSCP) assumes LoS environment, which is contradictory with the target use case of Rel-19 AI/ML based positioning.</w:t>
        </w:r>
      </w:hyperlink>
    </w:p>
    <w:p w14:paraId="2372092F" w14:textId="67965503" w:rsidR="00850DA1" w:rsidRDefault="00850DA1">
      <w:pPr>
        <w:pStyle w:val="TableofFigures"/>
        <w:tabs>
          <w:tab w:val="right" w:leader="dot" w:pos="9962"/>
        </w:tabs>
        <w:rPr>
          <w:rFonts w:asciiTheme="minorHAnsi" w:eastAsiaTheme="minorEastAsia" w:hAnsiTheme="minorHAnsi"/>
          <w:b w:val="0"/>
          <w:noProof/>
          <w:sz w:val="22"/>
        </w:rPr>
      </w:pPr>
      <w:hyperlink w:anchor="_Toc178961858" w:history="1">
        <w:r w:rsidRPr="002F3CE0">
          <w:rPr>
            <w:rStyle w:val="Hyperlink"/>
            <w:noProof/>
          </w:rPr>
          <w:t>Observation 28</w:t>
        </w:r>
        <w:r>
          <w:rPr>
            <w:rFonts w:asciiTheme="minorHAnsi" w:eastAsiaTheme="minorEastAsia" w:hAnsiTheme="minorHAnsi"/>
            <w:b w:val="0"/>
            <w:noProof/>
            <w:sz w:val="22"/>
          </w:rPr>
          <w:tab/>
        </w:r>
        <w:r w:rsidRPr="002F3CE0">
          <w:rPr>
            <w:rStyle w:val="Hyperlink"/>
            <w:noProof/>
          </w:rPr>
          <w:t>Single phase value for first path/sample (e.g., DL RSCPD, DL RSCP, UL RSCP) brings no observable performance benefits to PDP, but incurs substantially high deployment cost and signalling overhead.</w:t>
        </w:r>
      </w:hyperlink>
    </w:p>
    <w:p w14:paraId="68D71BD3" w14:textId="2622291B" w:rsidR="00850DA1" w:rsidRDefault="00850DA1">
      <w:pPr>
        <w:pStyle w:val="TableofFigures"/>
        <w:tabs>
          <w:tab w:val="right" w:leader="dot" w:pos="9962"/>
        </w:tabs>
        <w:rPr>
          <w:rFonts w:asciiTheme="minorHAnsi" w:eastAsiaTheme="minorEastAsia" w:hAnsiTheme="minorHAnsi"/>
          <w:b w:val="0"/>
          <w:noProof/>
          <w:sz w:val="22"/>
        </w:rPr>
      </w:pPr>
      <w:hyperlink w:anchor="_Toc178961859" w:history="1">
        <w:r w:rsidRPr="002F3CE0">
          <w:rPr>
            <w:rStyle w:val="Hyperlink"/>
            <w:noProof/>
          </w:rPr>
          <w:t>Observation 29</w:t>
        </w:r>
        <w:r>
          <w:rPr>
            <w:rFonts w:asciiTheme="minorHAnsi" w:eastAsiaTheme="minorEastAsia" w:hAnsiTheme="minorHAnsi"/>
            <w:b w:val="0"/>
            <w:noProof/>
            <w:sz w:val="22"/>
          </w:rPr>
          <w:tab/>
        </w:r>
        <w:r w:rsidRPr="002F3CE0">
          <w:rPr>
            <w:rStyle w:val="Hyperlink"/>
            <w:noProof/>
          </w:rPr>
          <w:t>The initial phase values of measured CIR samples may be random and contains no useful spatial dependent information for an AI/ML model to learn the association between measured CIR samples and the target positions. Without addressing such spurious information during training and inference, fingerprinting ML models using the CIR inputs can produce inaccurate position estimates.</w:t>
        </w:r>
      </w:hyperlink>
    </w:p>
    <w:p w14:paraId="1F535FFF" w14:textId="325B341B" w:rsidR="00850DA1" w:rsidRDefault="00850DA1">
      <w:pPr>
        <w:pStyle w:val="TableofFigures"/>
        <w:tabs>
          <w:tab w:val="right" w:leader="dot" w:pos="9962"/>
        </w:tabs>
        <w:rPr>
          <w:rFonts w:asciiTheme="minorHAnsi" w:eastAsiaTheme="minorEastAsia" w:hAnsiTheme="minorHAnsi"/>
          <w:b w:val="0"/>
          <w:noProof/>
          <w:sz w:val="22"/>
        </w:rPr>
      </w:pPr>
      <w:hyperlink w:anchor="_Toc178961860" w:history="1">
        <w:r w:rsidRPr="002F3CE0">
          <w:rPr>
            <w:rStyle w:val="Hyperlink"/>
            <w:noProof/>
          </w:rPr>
          <w:t>Observation 30</w:t>
        </w:r>
        <w:r>
          <w:rPr>
            <w:rFonts w:asciiTheme="minorHAnsi" w:eastAsiaTheme="minorEastAsia" w:hAnsiTheme="minorHAnsi"/>
            <w:b w:val="0"/>
            <w:noProof/>
            <w:sz w:val="22"/>
          </w:rPr>
          <w:tab/>
        </w:r>
        <w:r w:rsidRPr="002F3CE0">
          <w:rPr>
            <w:rStyle w:val="Hyperlink"/>
            <w:noProof/>
          </w:rPr>
          <w:t>CIR samples containing relative phases can be used as inputs to AI/ML models to circumvent the impact of random initial phase values of measured CIR samples.</w:t>
        </w:r>
      </w:hyperlink>
    </w:p>
    <w:p w14:paraId="5C967428" w14:textId="1DD390A4" w:rsidR="00850DA1" w:rsidRDefault="00850DA1">
      <w:pPr>
        <w:pStyle w:val="TableofFigures"/>
        <w:tabs>
          <w:tab w:val="right" w:leader="dot" w:pos="9962"/>
        </w:tabs>
        <w:rPr>
          <w:rFonts w:asciiTheme="minorHAnsi" w:eastAsiaTheme="minorEastAsia" w:hAnsiTheme="minorHAnsi"/>
          <w:b w:val="0"/>
          <w:noProof/>
          <w:sz w:val="22"/>
        </w:rPr>
      </w:pPr>
      <w:hyperlink w:anchor="_Toc178961861" w:history="1">
        <w:r w:rsidRPr="002F3CE0">
          <w:rPr>
            <w:rStyle w:val="Hyperlink"/>
            <w:noProof/>
          </w:rPr>
          <w:t>Observation 31</w:t>
        </w:r>
        <w:r>
          <w:rPr>
            <w:rFonts w:asciiTheme="minorHAnsi" w:eastAsiaTheme="minorEastAsia" w:hAnsiTheme="minorHAnsi"/>
            <w:b w:val="0"/>
            <w:noProof/>
            <w:sz w:val="22"/>
          </w:rPr>
          <w:tab/>
        </w:r>
        <w:r w:rsidRPr="002F3CE0">
          <w:rPr>
            <w:rStyle w:val="Hyperlink"/>
            <w:noProof/>
          </w:rPr>
          <w:t>For the RSCPD measurement PRU assisted phase error compensation requires PRUs to be used during training and inference, further increasing the deployment cost and signaling overhead.</w:t>
        </w:r>
      </w:hyperlink>
    </w:p>
    <w:p w14:paraId="12F2F70E" w14:textId="10BD15A7" w:rsidR="00850DA1" w:rsidRDefault="00850DA1">
      <w:pPr>
        <w:pStyle w:val="TableofFigures"/>
        <w:tabs>
          <w:tab w:val="right" w:leader="dot" w:pos="9962"/>
        </w:tabs>
        <w:rPr>
          <w:rFonts w:asciiTheme="minorHAnsi" w:eastAsiaTheme="minorEastAsia" w:hAnsiTheme="minorHAnsi"/>
          <w:b w:val="0"/>
          <w:noProof/>
          <w:sz w:val="22"/>
        </w:rPr>
      </w:pPr>
      <w:hyperlink w:anchor="_Toc178961862" w:history="1">
        <w:r w:rsidRPr="002F3CE0">
          <w:rPr>
            <w:rStyle w:val="Hyperlink"/>
            <w:noProof/>
          </w:rPr>
          <w:t>Observation 32</w:t>
        </w:r>
        <w:r>
          <w:rPr>
            <w:rFonts w:asciiTheme="minorHAnsi" w:eastAsiaTheme="minorEastAsia" w:hAnsiTheme="minorHAnsi"/>
            <w:b w:val="0"/>
            <w:noProof/>
            <w:sz w:val="22"/>
          </w:rPr>
          <w:tab/>
        </w:r>
        <w:r w:rsidRPr="002F3CE0">
          <w:rPr>
            <w:rStyle w:val="Hyperlink"/>
            <w:noProof/>
          </w:rPr>
          <w:t>For inter-path phase measurements, the model input at training and inference must know the UE TX or RX antenna phase contribution, either by reporting the antenna phase contribution to the model, removing it, or assuming the same antenna pattern is used during inference and training.</w:t>
        </w:r>
      </w:hyperlink>
    </w:p>
    <w:p w14:paraId="0DFC835E" w14:textId="7981AA4D" w:rsidR="00850DA1" w:rsidRDefault="00850DA1">
      <w:pPr>
        <w:pStyle w:val="TableofFigures"/>
        <w:tabs>
          <w:tab w:val="right" w:leader="dot" w:pos="9962"/>
        </w:tabs>
        <w:rPr>
          <w:rFonts w:asciiTheme="minorHAnsi" w:eastAsiaTheme="minorEastAsia" w:hAnsiTheme="minorHAnsi"/>
          <w:b w:val="0"/>
          <w:noProof/>
          <w:sz w:val="22"/>
        </w:rPr>
      </w:pPr>
      <w:hyperlink w:anchor="_Toc178961863" w:history="1">
        <w:r w:rsidRPr="002F3CE0">
          <w:rPr>
            <w:rStyle w:val="Hyperlink"/>
            <w:noProof/>
          </w:rPr>
          <w:t>Observation 33</w:t>
        </w:r>
        <w:r>
          <w:rPr>
            <w:rFonts w:asciiTheme="minorHAnsi" w:eastAsiaTheme="minorEastAsia" w:hAnsiTheme="minorHAnsi"/>
            <w:b w:val="0"/>
            <w:noProof/>
            <w:sz w:val="22"/>
          </w:rPr>
          <w:tab/>
        </w:r>
        <w:r w:rsidRPr="002F3CE0">
          <w:rPr>
            <w:rStyle w:val="Hyperlink"/>
            <w:noProof/>
          </w:rPr>
          <w:t>It is unclear how a mobile UE would know the direction of departure / arrival and associated phase offset for each path toward a given TRP.</w:t>
        </w:r>
      </w:hyperlink>
    </w:p>
    <w:p w14:paraId="2B48783A" w14:textId="0BD34E3D" w:rsidR="00850DA1" w:rsidRDefault="00850DA1">
      <w:pPr>
        <w:pStyle w:val="TableofFigures"/>
        <w:tabs>
          <w:tab w:val="right" w:leader="dot" w:pos="9962"/>
        </w:tabs>
        <w:rPr>
          <w:rFonts w:asciiTheme="minorHAnsi" w:eastAsiaTheme="minorEastAsia" w:hAnsiTheme="minorHAnsi"/>
          <w:b w:val="0"/>
          <w:noProof/>
          <w:sz w:val="22"/>
        </w:rPr>
      </w:pPr>
      <w:hyperlink w:anchor="_Toc178961864" w:history="1">
        <w:r w:rsidRPr="002F3CE0">
          <w:rPr>
            <w:rStyle w:val="Hyperlink"/>
            <w:noProof/>
          </w:rPr>
          <w:t>Observation 34</w:t>
        </w:r>
        <w:r>
          <w:rPr>
            <w:rFonts w:asciiTheme="minorHAnsi" w:eastAsiaTheme="minorEastAsia" w:hAnsiTheme="minorHAnsi"/>
            <w:b w:val="0"/>
            <w:noProof/>
            <w:sz w:val="22"/>
          </w:rPr>
          <w:tab/>
        </w:r>
        <w:r w:rsidRPr="002F3CE0">
          <w:rPr>
            <w:rStyle w:val="Hyperlink"/>
            <w:noProof/>
          </w:rPr>
          <w:t>For small or moderate signaling sizes, PDP and DP samples can achieve better positioning accuracy than CIR samples at the same or smaller signaling size. Multi-port CIR samples can achieve higher positioning accuracy only with very large signaling requirements.</w:t>
        </w:r>
      </w:hyperlink>
    </w:p>
    <w:p w14:paraId="16392310" w14:textId="2E8A74B6" w:rsidR="00850DA1" w:rsidRDefault="00850DA1">
      <w:pPr>
        <w:pStyle w:val="TableofFigures"/>
        <w:tabs>
          <w:tab w:val="right" w:leader="dot" w:pos="9962"/>
        </w:tabs>
        <w:rPr>
          <w:rFonts w:asciiTheme="minorHAnsi" w:eastAsiaTheme="minorEastAsia" w:hAnsiTheme="minorHAnsi"/>
          <w:b w:val="0"/>
          <w:noProof/>
          <w:sz w:val="22"/>
        </w:rPr>
      </w:pPr>
      <w:hyperlink w:anchor="_Toc178961865" w:history="1">
        <w:r w:rsidRPr="002F3CE0">
          <w:rPr>
            <w:rStyle w:val="Hyperlink"/>
            <w:noProof/>
          </w:rPr>
          <w:t>Observation 35</w:t>
        </w:r>
        <w:r>
          <w:rPr>
            <w:rFonts w:asciiTheme="minorHAnsi" w:eastAsiaTheme="minorEastAsia" w:hAnsiTheme="minorHAnsi"/>
            <w:b w:val="0"/>
            <w:noProof/>
            <w:sz w:val="22"/>
          </w:rPr>
          <w:tab/>
        </w:r>
        <w:r w:rsidRPr="002F3CE0">
          <w:rPr>
            <w:rStyle w:val="Hyperlink"/>
            <w:noProof/>
          </w:rPr>
          <w:t>For small or moderate signaling sizes, PDP and DP samples can achieve better positioning accuracy than CIR samples at the same or smaller signaling size as well as with substantially lower AI/ML model complexity.</w:t>
        </w:r>
      </w:hyperlink>
    </w:p>
    <w:p w14:paraId="2902D60F" w14:textId="3A64AEF0" w:rsidR="00850DA1" w:rsidRDefault="00850DA1">
      <w:pPr>
        <w:pStyle w:val="TableofFigures"/>
        <w:tabs>
          <w:tab w:val="right" w:leader="dot" w:pos="9962"/>
        </w:tabs>
        <w:rPr>
          <w:rFonts w:asciiTheme="minorHAnsi" w:eastAsiaTheme="minorEastAsia" w:hAnsiTheme="minorHAnsi"/>
          <w:b w:val="0"/>
          <w:noProof/>
          <w:sz w:val="22"/>
        </w:rPr>
      </w:pPr>
      <w:hyperlink w:anchor="_Toc178961866" w:history="1">
        <w:r w:rsidRPr="002F3CE0">
          <w:rPr>
            <w:rStyle w:val="Hyperlink"/>
            <w:noProof/>
          </w:rPr>
          <w:t>Observation 36</w:t>
        </w:r>
        <w:r>
          <w:rPr>
            <w:rFonts w:asciiTheme="minorHAnsi" w:eastAsiaTheme="minorEastAsia" w:hAnsiTheme="minorHAnsi"/>
            <w:b w:val="0"/>
            <w:noProof/>
            <w:sz w:val="22"/>
          </w:rPr>
          <w:tab/>
        </w:r>
        <w:r w:rsidRPr="002F3CE0">
          <w:rPr>
            <w:rStyle w:val="Hyperlink"/>
            <w:noProof/>
          </w:rPr>
          <w:t>For most given 90%tile 2D UE positioning error requirements, the DP samples requires the smallest signaling sizes.</w:t>
        </w:r>
      </w:hyperlink>
    </w:p>
    <w:p w14:paraId="6CDACE98" w14:textId="3863FF76" w:rsidR="00850DA1" w:rsidRDefault="00850DA1">
      <w:pPr>
        <w:pStyle w:val="TableofFigures"/>
        <w:tabs>
          <w:tab w:val="right" w:leader="dot" w:pos="9962"/>
        </w:tabs>
        <w:rPr>
          <w:rFonts w:asciiTheme="minorHAnsi" w:eastAsiaTheme="minorEastAsia" w:hAnsiTheme="minorHAnsi"/>
          <w:b w:val="0"/>
          <w:noProof/>
          <w:sz w:val="22"/>
        </w:rPr>
      </w:pPr>
      <w:hyperlink w:anchor="_Toc178961867" w:history="1">
        <w:r w:rsidRPr="002F3CE0">
          <w:rPr>
            <w:rStyle w:val="Hyperlink"/>
            <w:noProof/>
          </w:rPr>
          <w:t>Observation 37</w:t>
        </w:r>
        <w:r>
          <w:rPr>
            <w:rFonts w:asciiTheme="minorHAnsi" w:eastAsiaTheme="minorEastAsia" w:hAnsiTheme="minorHAnsi"/>
            <w:b w:val="0"/>
            <w:noProof/>
            <w:sz w:val="22"/>
          </w:rPr>
          <w:tab/>
        </w:r>
        <w:r w:rsidRPr="002F3CE0">
          <w:rPr>
            <w:rStyle w:val="Hyperlink"/>
            <w:noProof/>
          </w:rPr>
          <w:t>Multi-port complex-valued CIR samples for both Case 3b (1st priority) and Case 2b (2nd priority) require very large signaling sizes, which can cause significantly negative impacts on the radio and core networks.</w:t>
        </w:r>
      </w:hyperlink>
    </w:p>
    <w:p w14:paraId="2134928F" w14:textId="5521F3DC" w:rsidR="00850DA1" w:rsidRDefault="00850DA1">
      <w:pPr>
        <w:pStyle w:val="TableofFigures"/>
        <w:tabs>
          <w:tab w:val="right" w:leader="dot" w:pos="9962"/>
        </w:tabs>
        <w:rPr>
          <w:rFonts w:asciiTheme="minorHAnsi" w:eastAsiaTheme="minorEastAsia" w:hAnsiTheme="minorHAnsi"/>
          <w:b w:val="0"/>
          <w:noProof/>
          <w:sz w:val="22"/>
        </w:rPr>
      </w:pPr>
      <w:hyperlink w:anchor="_Toc178961868" w:history="1">
        <w:r w:rsidRPr="002F3CE0">
          <w:rPr>
            <w:rStyle w:val="Hyperlink"/>
            <w:noProof/>
          </w:rPr>
          <w:t>Observation 38</w:t>
        </w:r>
        <w:r>
          <w:rPr>
            <w:rFonts w:asciiTheme="minorHAnsi" w:eastAsiaTheme="minorEastAsia" w:hAnsiTheme="minorHAnsi"/>
            <w:b w:val="0"/>
            <w:noProof/>
            <w:sz w:val="22"/>
          </w:rPr>
          <w:tab/>
        </w:r>
        <w:r w:rsidRPr="002F3CE0">
          <w:rPr>
            <w:rStyle w:val="Hyperlink"/>
            <w:noProof/>
          </w:rPr>
          <w:t>With small to moderate number of samples available to an ML model, the total-power PDP input type is a very helpful induction bias to impose on the ML model based on human domain knowledge that the sample powers contain more important information about the UE positions. It’s only with very large number of samples that the model can start to tease out how to use the additional information in the sample phases on its own.</w:t>
        </w:r>
      </w:hyperlink>
    </w:p>
    <w:p w14:paraId="78E73CCE" w14:textId="7F50A693" w:rsidR="00850DA1" w:rsidRDefault="00850DA1">
      <w:pPr>
        <w:pStyle w:val="TableofFigures"/>
        <w:tabs>
          <w:tab w:val="right" w:leader="dot" w:pos="9962"/>
        </w:tabs>
        <w:rPr>
          <w:rFonts w:asciiTheme="minorHAnsi" w:eastAsiaTheme="minorEastAsia" w:hAnsiTheme="minorHAnsi"/>
          <w:b w:val="0"/>
          <w:noProof/>
          <w:sz w:val="22"/>
        </w:rPr>
      </w:pPr>
      <w:hyperlink w:anchor="_Toc178961869" w:history="1">
        <w:r w:rsidRPr="002F3CE0">
          <w:rPr>
            <w:rStyle w:val="Hyperlink"/>
            <w:noProof/>
          </w:rPr>
          <w:t>Observation 39</w:t>
        </w:r>
        <w:r>
          <w:rPr>
            <w:rFonts w:asciiTheme="minorHAnsi" w:eastAsiaTheme="minorEastAsia" w:hAnsiTheme="minorHAnsi"/>
            <w:b w:val="0"/>
            <w:noProof/>
            <w:sz w:val="22"/>
          </w:rPr>
          <w:tab/>
        </w:r>
        <w:r w:rsidRPr="002F3CE0">
          <w:rPr>
            <w:rStyle w:val="Hyperlink"/>
            <w:noProof/>
          </w:rPr>
          <w:t>Dimension reduction techniques can be used to reduce the signal sizes of multi-port CIR samples. But the achievable positioning accuracy is also compromised. The overall accuracy vs overhead tradeoff situation of CIR samples is not improved by the two considered dimension reduction techniques.</w:t>
        </w:r>
      </w:hyperlink>
    </w:p>
    <w:p w14:paraId="5A14A844" w14:textId="038BBB49" w:rsidR="00850DA1" w:rsidRDefault="00850DA1">
      <w:pPr>
        <w:pStyle w:val="TableofFigures"/>
        <w:tabs>
          <w:tab w:val="right" w:leader="dot" w:pos="9962"/>
        </w:tabs>
        <w:rPr>
          <w:rFonts w:asciiTheme="minorHAnsi" w:eastAsiaTheme="minorEastAsia" w:hAnsiTheme="minorHAnsi"/>
          <w:b w:val="0"/>
          <w:noProof/>
          <w:sz w:val="22"/>
        </w:rPr>
      </w:pPr>
      <w:hyperlink w:anchor="_Toc178961870" w:history="1">
        <w:r w:rsidRPr="002F3CE0">
          <w:rPr>
            <w:rStyle w:val="Hyperlink"/>
            <w:noProof/>
          </w:rPr>
          <w:t>Observation 40</w:t>
        </w:r>
        <w:r>
          <w:rPr>
            <w:rFonts w:asciiTheme="minorHAnsi" w:eastAsiaTheme="minorEastAsia" w:hAnsiTheme="minorHAnsi"/>
            <w:b w:val="0"/>
            <w:noProof/>
            <w:sz w:val="22"/>
          </w:rPr>
          <w:tab/>
        </w:r>
        <w:r w:rsidRPr="002F3CE0">
          <w:rPr>
            <w:rStyle w:val="Hyperlink"/>
            <w:noProof/>
          </w:rPr>
          <w:t>For Case 3a, the location of the AI/ML model (e.g., gNB-DU vs gNB-CU) impacts the need to specify new measurements for model input.</w:t>
        </w:r>
      </w:hyperlink>
    </w:p>
    <w:p w14:paraId="6588153D" w14:textId="6BABF336" w:rsidR="00850DA1" w:rsidRDefault="00850DA1">
      <w:pPr>
        <w:pStyle w:val="TableofFigures"/>
        <w:tabs>
          <w:tab w:val="right" w:leader="dot" w:pos="9962"/>
        </w:tabs>
        <w:rPr>
          <w:rFonts w:asciiTheme="minorHAnsi" w:eastAsiaTheme="minorEastAsia" w:hAnsiTheme="minorHAnsi"/>
          <w:b w:val="0"/>
          <w:noProof/>
          <w:sz w:val="22"/>
        </w:rPr>
      </w:pPr>
      <w:hyperlink w:anchor="_Toc178961871" w:history="1">
        <w:r w:rsidRPr="002F3CE0">
          <w:rPr>
            <w:rStyle w:val="Hyperlink"/>
            <w:noProof/>
          </w:rPr>
          <w:t>Observation 41</w:t>
        </w:r>
        <w:r>
          <w:rPr>
            <w:rFonts w:asciiTheme="minorHAnsi" w:eastAsiaTheme="minorEastAsia" w:hAnsiTheme="minorHAnsi"/>
            <w:b w:val="0"/>
            <w:noProof/>
            <w:sz w:val="22"/>
          </w:rPr>
          <w:tab/>
        </w:r>
        <w:r w:rsidRPr="002F3CE0">
          <w:rPr>
            <w:rStyle w:val="Hyperlink"/>
            <w:noProof/>
          </w:rPr>
          <w:t>The LOS/NLOS indicator in legacy positioning report is a measure of the reliability of the measurement report.</w:t>
        </w:r>
      </w:hyperlink>
    </w:p>
    <w:p w14:paraId="30A3AB83" w14:textId="5B2A214F" w:rsidR="00850DA1" w:rsidRDefault="00850DA1">
      <w:pPr>
        <w:pStyle w:val="TableofFigures"/>
        <w:tabs>
          <w:tab w:val="right" w:leader="dot" w:pos="9962"/>
        </w:tabs>
        <w:rPr>
          <w:rFonts w:asciiTheme="minorHAnsi" w:eastAsiaTheme="minorEastAsia" w:hAnsiTheme="minorHAnsi"/>
          <w:b w:val="0"/>
          <w:noProof/>
          <w:sz w:val="22"/>
        </w:rPr>
      </w:pPr>
      <w:hyperlink w:anchor="_Toc178961872" w:history="1">
        <w:r w:rsidRPr="002F3CE0">
          <w:rPr>
            <w:rStyle w:val="Hyperlink"/>
            <w:noProof/>
          </w:rPr>
          <w:t>Observation 42</w:t>
        </w:r>
        <w:r>
          <w:rPr>
            <w:rFonts w:asciiTheme="minorHAnsi" w:eastAsiaTheme="minorEastAsia" w:hAnsiTheme="minorHAnsi"/>
            <w:b w:val="0"/>
            <w:noProof/>
            <w:sz w:val="22"/>
          </w:rPr>
          <w:tab/>
        </w:r>
        <w:r w:rsidRPr="002F3CE0">
          <w:rPr>
            <w:rStyle w:val="Hyperlink"/>
            <w:noProof/>
          </w:rPr>
          <w:t>AI/ML assisted positioning can provide measurement report of the NLOS channel with high confidence.</w:t>
        </w:r>
      </w:hyperlink>
    </w:p>
    <w:p w14:paraId="11F79F14" w14:textId="6E564E83" w:rsidR="00850DA1" w:rsidRDefault="00850DA1">
      <w:pPr>
        <w:pStyle w:val="TableofFigures"/>
        <w:tabs>
          <w:tab w:val="right" w:leader="dot" w:pos="9962"/>
        </w:tabs>
        <w:rPr>
          <w:rFonts w:asciiTheme="minorHAnsi" w:eastAsiaTheme="minorEastAsia" w:hAnsiTheme="minorHAnsi"/>
          <w:b w:val="0"/>
          <w:noProof/>
          <w:sz w:val="22"/>
        </w:rPr>
      </w:pPr>
      <w:hyperlink w:anchor="_Toc178961873" w:history="1">
        <w:r w:rsidRPr="002F3CE0">
          <w:rPr>
            <w:rStyle w:val="Hyperlink"/>
            <w:noProof/>
            <w:lang w:val="en-GB"/>
          </w:rPr>
          <w:t>Observation 43</w:t>
        </w:r>
        <w:r>
          <w:rPr>
            <w:rFonts w:asciiTheme="minorHAnsi" w:eastAsiaTheme="minorEastAsia" w:hAnsiTheme="minorHAnsi"/>
            <w:b w:val="0"/>
            <w:noProof/>
            <w:sz w:val="22"/>
          </w:rPr>
          <w:tab/>
        </w:r>
        <w:r w:rsidRPr="002F3CE0">
          <w:rPr>
            <w:rStyle w:val="Hyperlink"/>
            <w:noProof/>
            <w:lang w:val="en-GB"/>
          </w:rPr>
          <w:t>For Case 2a/3a first physical path RSRPP is not an indication of quality/reliability for AI/ML generated measurement, since the model may be able to obtain accurate timing information even if the direct physical path is heavily obstructed.</w:t>
        </w:r>
      </w:hyperlink>
    </w:p>
    <w:p w14:paraId="639E779D" w14:textId="587BC18B" w:rsidR="00850DA1" w:rsidRDefault="00850DA1">
      <w:pPr>
        <w:pStyle w:val="TableofFigures"/>
        <w:tabs>
          <w:tab w:val="right" w:leader="dot" w:pos="9962"/>
        </w:tabs>
        <w:rPr>
          <w:rFonts w:asciiTheme="minorHAnsi" w:eastAsiaTheme="minorEastAsia" w:hAnsiTheme="minorHAnsi"/>
          <w:b w:val="0"/>
          <w:noProof/>
          <w:sz w:val="22"/>
        </w:rPr>
      </w:pPr>
      <w:hyperlink w:anchor="_Toc178961874" w:history="1">
        <w:r w:rsidRPr="002F3CE0">
          <w:rPr>
            <w:rStyle w:val="Hyperlink"/>
            <w:noProof/>
            <w:lang w:val="en-GB"/>
          </w:rPr>
          <w:t>Observation 44</w:t>
        </w:r>
        <w:r>
          <w:rPr>
            <w:rFonts w:asciiTheme="minorHAnsi" w:eastAsiaTheme="minorEastAsia" w:hAnsiTheme="minorHAnsi"/>
            <w:b w:val="0"/>
            <w:noProof/>
            <w:sz w:val="22"/>
          </w:rPr>
          <w:tab/>
        </w:r>
        <w:r w:rsidRPr="002F3CE0">
          <w:rPr>
            <w:rStyle w:val="Hyperlink"/>
            <w:noProof/>
          </w:rPr>
          <w:t>From the RAN1 perspective, current specification support for Part A data collection in Case 1 is sufficient.</w:t>
        </w:r>
      </w:hyperlink>
    </w:p>
    <w:p w14:paraId="515FA876" w14:textId="4FC833E6" w:rsidR="00850DA1" w:rsidRDefault="00850DA1">
      <w:pPr>
        <w:pStyle w:val="TableofFigures"/>
        <w:tabs>
          <w:tab w:val="right" w:leader="dot" w:pos="9962"/>
        </w:tabs>
        <w:rPr>
          <w:rFonts w:asciiTheme="minorHAnsi" w:eastAsiaTheme="minorEastAsia" w:hAnsiTheme="minorHAnsi"/>
          <w:b w:val="0"/>
          <w:noProof/>
          <w:sz w:val="22"/>
        </w:rPr>
      </w:pPr>
      <w:hyperlink w:anchor="_Toc178961875" w:history="1">
        <w:r w:rsidRPr="002F3CE0">
          <w:rPr>
            <w:rStyle w:val="Hyperlink"/>
            <w:noProof/>
            <w:lang w:val="en-GB"/>
          </w:rPr>
          <w:t>Observation 45</w:t>
        </w:r>
        <w:r>
          <w:rPr>
            <w:rFonts w:asciiTheme="minorHAnsi" w:eastAsiaTheme="minorEastAsia" w:hAnsiTheme="minorHAnsi"/>
            <w:b w:val="0"/>
            <w:noProof/>
            <w:sz w:val="22"/>
          </w:rPr>
          <w:tab/>
        </w:r>
        <w:r w:rsidRPr="002F3CE0">
          <w:rPr>
            <w:rStyle w:val="Hyperlink"/>
            <w:noProof/>
          </w:rPr>
          <w:t>From the RAN1 perspective, Part A data collection in Case 2b and 3b is identical to measurement reporting for inference.</w:t>
        </w:r>
      </w:hyperlink>
    </w:p>
    <w:p w14:paraId="5DCE9C52" w14:textId="00E443F6" w:rsidR="00850DA1" w:rsidRDefault="00850DA1">
      <w:pPr>
        <w:pStyle w:val="TableofFigures"/>
        <w:tabs>
          <w:tab w:val="right" w:leader="dot" w:pos="9962"/>
        </w:tabs>
        <w:rPr>
          <w:rFonts w:asciiTheme="minorHAnsi" w:eastAsiaTheme="minorEastAsia" w:hAnsiTheme="minorHAnsi"/>
          <w:b w:val="0"/>
          <w:noProof/>
          <w:sz w:val="22"/>
        </w:rPr>
      </w:pPr>
      <w:hyperlink w:anchor="_Toc178961876" w:history="1">
        <w:r w:rsidRPr="002F3CE0">
          <w:rPr>
            <w:rStyle w:val="Hyperlink"/>
            <w:noProof/>
            <w:lang w:val="en-GB"/>
          </w:rPr>
          <w:t>Observation 46</w:t>
        </w:r>
        <w:r>
          <w:rPr>
            <w:rFonts w:asciiTheme="minorHAnsi" w:eastAsiaTheme="minorEastAsia" w:hAnsiTheme="minorHAnsi"/>
            <w:b w:val="0"/>
            <w:noProof/>
            <w:sz w:val="22"/>
          </w:rPr>
          <w:tab/>
        </w:r>
        <w:r w:rsidRPr="002F3CE0">
          <w:rPr>
            <w:rStyle w:val="Hyperlink"/>
            <w:noProof/>
          </w:rPr>
          <w:t>From the RAN1 perspective, Part A data collection in Case 3a is either up to the network implementation or identical to measurement reporting for inference.</w:t>
        </w:r>
      </w:hyperlink>
    </w:p>
    <w:p w14:paraId="5A4FCD61" w14:textId="0D46BAC2" w:rsidR="00850DA1" w:rsidRDefault="00850DA1">
      <w:pPr>
        <w:pStyle w:val="TableofFigures"/>
        <w:tabs>
          <w:tab w:val="right" w:leader="dot" w:pos="9962"/>
        </w:tabs>
        <w:rPr>
          <w:rFonts w:asciiTheme="minorHAnsi" w:eastAsiaTheme="minorEastAsia" w:hAnsiTheme="minorHAnsi"/>
          <w:b w:val="0"/>
          <w:noProof/>
          <w:sz w:val="22"/>
        </w:rPr>
      </w:pPr>
      <w:hyperlink w:anchor="_Toc178961877" w:history="1">
        <w:r w:rsidRPr="002F3CE0">
          <w:rPr>
            <w:rStyle w:val="Hyperlink"/>
            <w:noProof/>
            <w:lang w:val="en-GB"/>
          </w:rPr>
          <w:t>Observation 47</w:t>
        </w:r>
        <w:r>
          <w:rPr>
            <w:rFonts w:asciiTheme="minorHAnsi" w:eastAsiaTheme="minorEastAsia" w:hAnsiTheme="minorHAnsi"/>
            <w:b w:val="0"/>
            <w:noProof/>
            <w:sz w:val="22"/>
          </w:rPr>
          <w:tab/>
        </w:r>
        <w:r w:rsidRPr="002F3CE0">
          <w:rPr>
            <w:rStyle w:val="Hyperlink"/>
            <w:noProof/>
            <w:lang w:val="en-GB"/>
          </w:rPr>
          <w:t xml:space="preserve">Positioning procedure for assistance data requests at the UE can cover Option A and B, both for UE based and UE assisted positioning. </w:t>
        </w:r>
        <w:r w:rsidRPr="002F3CE0">
          <w:rPr>
            <w:rStyle w:val="Hyperlink"/>
            <w:rFonts w:cs="Arial"/>
            <w:noProof/>
          </w:rPr>
          <w:t>Positioning procedure for assistance data requests for on-demand PRS can also be used to complement the received assistance data.</w:t>
        </w:r>
      </w:hyperlink>
    </w:p>
    <w:p w14:paraId="4286E90A" w14:textId="16423FA5" w:rsidR="00850DA1" w:rsidRDefault="00850DA1">
      <w:pPr>
        <w:pStyle w:val="TableofFigures"/>
        <w:tabs>
          <w:tab w:val="right" w:leader="dot" w:pos="9962"/>
        </w:tabs>
        <w:rPr>
          <w:rFonts w:asciiTheme="minorHAnsi" w:eastAsiaTheme="minorEastAsia" w:hAnsiTheme="minorHAnsi"/>
          <w:b w:val="0"/>
          <w:noProof/>
          <w:sz w:val="22"/>
        </w:rPr>
      </w:pPr>
      <w:hyperlink w:anchor="_Toc178961878" w:history="1">
        <w:r w:rsidRPr="002F3CE0">
          <w:rPr>
            <w:rStyle w:val="Hyperlink"/>
            <w:noProof/>
          </w:rPr>
          <w:t>Observation 48</w:t>
        </w:r>
        <w:r>
          <w:rPr>
            <w:rFonts w:asciiTheme="minorHAnsi" w:eastAsiaTheme="minorEastAsia" w:hAnsiTheme="minorHAnsi"/>
            <w:b w:val="0"/>
            <w:noProof/>
            <w:sz w:val="22"/>
          </w:rPr>
          <w:tab/>
        </w:r>
        <w:r w:rsidRPr="002F3CE0">
          <w:rPr>
            <w:rStyle w:val="Hyperlink"/>
            <w:noProof/>
          </w:rPr>
          <w:t>Collecting sufficient data in terms of training dataset size, UE distribution, diversity of UE sources, etc, is up to implementation.</w:t>
        </w:r>
      </w:hyperlink>
    </w:p>
    <w:p w14:paraId="4CA70690" w14:textId="68F6EFB7" w:rsidR="00850DA1" w:rsidRDefault="00850DA1">
      <w:pPr>
        <w:pStyle w:val="TableofFigures"/>
        <w:tabs>
          <w:tab w:val="right" w:leader="dot" w:pos="9962"/>
        </w:tabs>
        <w:rPr>
          <w:rFonts w:asciiTheme="minorHAnsi" w:eastAsiaTheme="minorEastAsia" w:hAnsiTheme="minorHAnsi"/>
          <w:b w:val="0"/>
          <w:noProof/>
          <w:sz w:val="22"/>
        </w:rPr>
      </w:pPr>
      <w:hyperlink w:anchor="_Toc178961879" w:history="1">
        <w:r w:rsidRPr="002F3CE0">
          <w:rPr>
            <w:rStyle w:val="Hyperlink"/>
            <w:noProof/>
          </w:rPr>
          <w:t>Observation 49</w:t>
        </w:r>
        <w:r>
          <w:rPr>
            <w:rFonts w:asciiTheme="minorHAnsi" w:eastAsiaTheme="minorEastAsia" w:hAnsiTheme="minorHAnsi"/>
            <w:b w:val="0"/>
            <w:noProof/>
            <w:sz w:val="22"/>
          </w:rPr>
          <w:tab/>
        </w:r>
        <w:r w:rsidRPr="002F3CE0">
          <w:rPr>
            <w:rStyle w:val="Hyperlink"/>
            <w:noProof/>
          </w:rPr>
          <w:t>Label-free model performance monitoring is up to implementation of model inference entity. The only potential specification impact is to notify other entities of the model monitoring decision, if necessary.</w:t>
        </w:r>
      </w:hyperlink>
    </w:p>
    <w:p w14:paraId="3EB3ABA9" w14:textId="7E16DD93" w:rsidR="00850DA1" w:rsidRDefault="00850DA1">
      <w:pPr>
        <w:pStyle w:val="TableofFigures"/>
        <w:tabs>
          <w:tab w:val="right" w:leader="dot" w:pos="9962"/>
        </w:tabs>
        <w:rPr>
          <w:rFonts w:asciiTheme="minorHAnsi" w:eastAsiaTheme="minorEastAsia" w:hAnsiTheme="minorHAnsi"/>
          <w:b w:val="0"/>
          <w:noProof/>
          <w:sz w:val="22"/>
        </w:rPr>
      </w:pPr>
      <w:hyperlink w:anchor="_Toc178961880" w:history="1">
        <w:r w:rsidRPr="002F3CE0">
          <w:rPr>
            <w:rStyle w:val="Hyperlink"/>
            <w:noProof/>
          </w:rPr>
          <w:t>Observation 50</w:t>
        </w:r>
        <w:r>
          <w:rPr>
            <w:rFonts w:asciiTheme="minorHAnsi" w:eastAsiaTheme="minorEastAsia" w:hAnsiTheme="minorHAnsi"/>
            <w:b w:val="0"/>
            <w:noProof/>
            <w:sz w:val="22"/>
          </w:rPr>
          <w:tab/>
        </w:r>
        <w:r w:rsidRPr="002F3CE0">
          <w:rPr>
            <w:rStyle w:val="Hyperlink"/>
            <w:noProof/>
          </w:rPr>
          <w:t>If certain information on the ground truth label can be generated by the model inference entity, then such label-based model performance monitoring is also self-contained and up to implementation of model inference entity. The only potential specification impact is to notify other entities of the model monitoring decision, if necessary.</w:t>
        </w:r>
      </w:hyperlink>
    </w:p>
    <w:p w14:paraId="0DCD5B13" w14:textId="6FC487E1" w:rsidR="00850DA1" w:rsidRDefault="00850DA1">
      <w:pPr>
        <w:pStyle w:val="TableofFigures"/>
        <w:tabs>
          <w:tab w:val="right" w:leader="dot" w:pos="9962"/>
        </w:tabs>
        <w:rPr>
          <w:rFonts w:asciiTheme="minorHAnsi" w:eastAsiaTheme="minorEastAsia" w:hAnsiTheme="minorHAnsi"/>
          <w:b w:val="0"/>
          <w:noProof/>
          <w:sz w:val="22"/>
        </w:rPr>
      </w:pPr>
      <w:hyperlink w:anchor="_Toc178961881" w:history="1">
        <w:r w:rsidRPr="002F3CE0">
          <w:rPr>
            <w:rStyle w:val="Hyperlink"/>
            <w:noProof/>
          </w:rPr>
          <w:t>Observation 51</w:t>
        </w:r>
        <w:r>
          <w:rPr>
            <w:rFonts w:asciiTheme="minorHAnsi" w:eastAsiaTheme="minorEastAsia" w:hAnsiTheme="minorHAnsi"/>
            <w:b w:val="0"/>
            <w:noProof/>
            <w:sz w:val="22"/>
          </w:rPr>
          <w:tab/>
        </w:r>
        <w:r w:rsidRPr="002F3CE0">
          <w:rPr>
            <w:rStyle w:val="Hyperlink"/>
            <w:noProof/>
          </w:rPr>
          <w:t>The benefit of associated ID is that the details for the information covered by associated ID do not need to be explicitly signaled, if they are not needed for performing model inference, and only needed for consistency verification.</w:t>
        </w:r>
      </w:hyperlink>
    </w:p>
    <w:p w14:paraId="1A2B91DD" w14:textId="78EB304C" w:rsidR="00850DA1" w:rsidRDefault="00850DA1">
      <w:pPr>
        <w:pStyle w:val="TableofFigures"/>
        <w:tabs>
          <w:tab w:val="right" w:leader="dot" w:pos="9962"/>
        </w:tabs>
        <w:rPr>
          <w:rFonts w:asciiTheme="minorHAnsi" w:eastAsiaTheme="minorEastAsia" w:hAnsiTheme="minorHAnsi"/>
          <w:b w:val="0"/>
          <w:noProof/>
          <w:sz w:val="22"/>
        </w:rPr>
      </w:pPr>
      <w:hyperlink w:anchor="_Toc178961882" w:history="1">
        <w:r w:rsidRPr="002F3CE0">
          <w:rPr>
            <w:rStyle w:val="Hyperlink"/>
            <w:noProof/>
          </w:rPr>
          <w:t>Observation 52</w:t>
        </w:r>
        <w:r>
          <w:rPr>
            <w:rFonts w:asciiTheme="minorHAnsi" w:eastAsiaTheme="minorEastAsia" w:hAnsiTheme="minorHAnsi"/>
            <w:b w:val="0"/>
            <w:noProof/>
            <w:sz w:val="22"/>
          </w:rPr>
          <w:tab/>
        </w:r>
        <w:r w:rsidRPr="002F3CE0">
          <w:rPr>
            <w:rStyle w:val="Hyperlink"/>
            <w:noProof/>
          </w:rPr>
          <w:t>For Cases with LMF-side model (case 2b/3b), the measurements reported for model input must be consistent with the ones used with training data.</w:t>
        </w:r>
      </w:hyperlink>
    </w:p>
    <w:p w14:paraId="71B23DC5" w14:textId="14879A56" w:rsidR="006E1C82" w:rsidRDefault="006F6582" w:rsidP="00024894">
      <w:pPr>
        <w:pStyle w:val="BodyText"/>
      </w:pPr>
      <w:r>
        <w:fldChar w:fldCharType="end"/>
      </w:r>
    </w:p>
    <w:p w14:paraId="5DF8B489" w14:textId="77777777" w:rsidR="006E1C82" w:rsidRDefault="008E065E" w:rsidP="00024894">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5B63E795" w14:textId="7D52C20C" w:rsidR="00850DA1" w:rsidRDefault="006E1C82">
      <w:pPr>
        <w:pStyle w:val="TableofFigures"/>
        <w:tabs>
          <w:tab w:val="right" w:leader="dot" w:pos="9962"/>
        </w:tabs>
        <w:rPr>
          <w:rFonts w:asciiTheme="minorHAnsi" w:eastAsiaTheme="minorEastAsia" w:hAnsiTheme="minorHAnsi"/>
          <w:b w:val="0"/>
          <w:noProof/>
          <w:sz w:val="22"/>
        </w:rPr>
      </w:pPr>
      <w:r>
        <w:rPr>
          <w:bCs/>
        </w:rPr>
        <w:fldChar w:fldCharType="begin"/>
      </w:r>
      <w:r>
        <w:rPr>
          <w:bCs/>
        </w:rPr>
        <w:instrText xml:space="preserve"> TOC \n \h \z \t "Proposal" \c </w:instrText>
      </w:r>
      <w:r>
        <w:rPr>
          <w:bCs/>
        </w:rPr>
        <w:fldChar w:fldCharType="separate"/>
      </w:r>
      <w:hyperlink w:anchor="_Toc178961883" w:history="1">
        <w:r w:rsidR="00850DA1" w:rsidRPr="00AF11F4">
          <w:rPr>
            <w:rStyle w:val="Hyperlink"/>
            <w:noProof/>
          </w:rPr>
          <w:t>Proposal 1</w:t>
        </w:r>
        <w:r w:rsidR="00850DA1">
          <w:rPr>
            <w:rFonts w:asciiTheme="minorHAnsi" w:eastAsiaTheme="minorEastAsia" w:hAnsiTheme="minorHAnsi"/>
            <w:b w:val="0"/>
            <w:noProof/>
            <w:sz w:val="22"/>
          </w:rPr>
          <w:tab/>
        </w:r>
        <w:r w:rsidR="00850DA1" w:rsidRPr="00AF11F4">
          <w:rPr>
            <w:rStyle w:val="Hyperlink"/>
            <w:noProof/>
          </w:rPr>
          <w:t>RAN1 assumes Case 1 is supported using UE based DL-TDOA procedures as a foundation. It is up to RAN2 to decide whether a set of new procedure is to be defined for Case 1, or extension to DL-TDOA suffices. RAN1 confirms the understanding with RAN2.</w:t>
        </w:r>
      </w:hyperlink>
    </w:p>
    <w:p w14:paraId="22B82C74" w14:textId="5E2FDD5F" w:rsidR="00850DA1" w:rsidRDefault="00850DA1">
      <w:pPr>
        <w:pStyle w:val="TableofFigures"/>
        <w:tabs>
          <w:tab w:val="right" w:leader="dot" w:pos="9962"/>
        </w:tabs>
        <w:rPr>
          <w:rFonts w:asciiTheme="minorHAnsi" w:eastAsiaTheme="minorEastAsia" w:hAnsiTheme="minorHAnsi"/>
          <w:b w:val="0"/>
          <w:noProof/>
          <w:sz w:val="22"/>
        </w:rPr>
      </w:pPr>
      <w:hyperlink w:anchor="_Toc178961884" w:history="1">
        <w:r w:rsidRPr="00AF11F4">
          <w:rPr>
            <w:rStyle w:val="Hyperlink"/>
            <w:noProof/>
          </w:rPr>
          <w:t>Proposal 2</w:t>
        </w:r>
        <w:r>
          <w:rPr>
            <w:rFonts w:asciiTheme="minorHAnsi" w:eastAsiaTheme="minorEastAsia" w:hAnsiTheme="minorHAnsi"/>
            <w:b w:val="0"/>
            <w:noProof/>
            <w:sz w:val="22"/>
          </w:rPr>
          <w:tab/>
        </w:r>
        <w:r w:rsidRPr="00AF11F4">
          <w:rPr>
            <w:rStyle w:val="Hyperlink"/>
            <w:noProof/>
          </w:rPr>
          <w:t>RAN1 assumes Case 3a is supported using UL-TDOA or multi RTT  procedure as a foundation. It is up to RAN3 to decide whether a set of new procedure is to be defined for Case 3a, or extension to existing procedure suffices. RAN1 confirms the understanding with RAN2 and RAN3.</w:t>
        </w:r>
      </w:hyperlink>
    </w:p>
    <w:p w14:paraId="0E8E1225" w14:textId="2568D794" w:rsidR="00850DA1" w:rsidRDefault="00850DA1">
      <w:pPr>
        <w:pStyle w:val="TableofFigures"/>
        <w:tabs>
          <w:tab w:val="right" w:leader="dot" w:pos="9962"/>
        </w:tabs>
        <w:rPr>
          <w:rFonts w:asciiTheme="minorHAnsi" w:eastAsiaTheme="minorEastAsia" w:hAnsiTheme="minorHAnsi"/>
          <w:b w:val="0"/>
          <w:noProof/>
          <w:sz w:val="22"/>
        </w:rPr>
      </w:pPr>
      <w:hyperlink w:anchor="_Toc178961885" w:history="1">
        <w:r w:rsidRPr="00AF11F4">
          <w:rPr>
            <w:rStyle w:val="Hyperlink"/>
            <w:noProof/>
          </w:rPr>
          <w:t>Proposal 3</w:t>
        </w:r>
        <w:r>
          <w:rPr>
            <w:rFonts w:asciiTheme="minorHAnsi" w:eastAsiaTheme="minorEastAsia" w:hAnsiTheme="minorHAnsi"/>
            <w:b w:val="0"/>
            <w:noProof/>
            <w:sz w:val="22"/>
          </w:rPr>
          <w:tab/>
        </w:r>
        <w:r w:rsidRPr="00AF11F4">
          <w:rPr>
            <w:rStyle w:val="Hyperlink"/>
            <w:noProof/>
          </w:rPr>
          <w:t>RAN1 assumes Case 3b with sample-based reporting should be supported using a separate procedure from legacy UL RTOA and gNB RxTxTimeDiff reporting for measurement reporting for model input. RAN1 confirm the understanding with RAN2 and RAN3.</w:t>
        </w:r>
      </w:hyperlink>
    </w:p>
    <w:p w14:paraId="7B5ACB29" w14:textId="540E1E5E" w:rsidR="00850DA1" w:rsidRDefault="00850DA1">
      <w:pPr>
        <w:pStyle w:val="TableofFigures"/>
        <w:tabs>
          <w:tab w:val="right" w:leader="dot" w:pos="9962"/>
        </w:tabs>
        <w:rPr>
          <w:rFonts w:asciiTheme="minorHAnsi" w:eastAsiaTheme="minorEastAsia" w:hAnsiTheme="minorHAnsi"/>
          <w:b w:val="0"/>
          <w:noProof/>
          <w:sz w:val="22"/>
        </w:rPr>
      </w:pPr>
      <w:hyperlink w:anchor="_Toc178961886" w:history="1">
        <w:r w:rsidRPr="00AF11F4">
          <w:rPr>
            <w:rStyle w:val="Hyperlink"/>
            <w:noProof/>
          </w:rPr>
          <w:t>Proposal 4</w:t>
        </w:r>
        <w:r>
          <w:rPr>
            <w:rFonts w:asciiTheme="minorHAnsi" w:eastAsiaTheme="minorEastAsia" w:hAnsiTheme="minorHAnsi"/>
            <w:b w:val="0"/>
            <w:noProof/>
            <w:sz w:val="22"/>
          </w:rPr>
          <w:tab/>
        </w:r>
        <w:r w:rsidRPr="00AF11F4">
          <w:rPr>
            <w:rStyle w:val="Hyperlink"/>
            <w:noProof/>
          </w:rPr>
          <w:t>For Rel-19 AI/ML based positioning Case 3b/2b, the measurement report of (PDP, DP) support sample-based measurement.</w:t>
        </w:r>
      </w:hyperlink>
    </w:p>
    <w:p w14:paraId="6530ED29" w14:textId="3FAE6839" w:rsidR="00850DA1" w:rsidRDefault="00850DA1">
      <w:pPr>
        <w:pStyle w:val="TableofFigures"/>
        <w:tabs>
          <w:tab w:val="right" w:leader="dot" w:pos="9962"/>
        </w:tabs>
        <w:rPr>
          <w:rFonts w:asciiTheme="minorHAnsi" w:eastAsiaTheme="minorEastAsia" w:hAnsiTheme="minorHAnsi"/>
          <w:b w:val="0"/>
          <w:noProof/>
          <w:sz w:val="22"/>
        </w:rPr>
      </w:pPr>
      <w:hyperlink w:anchor="_Toc178961887" w:history="1">
        <w:r w:rsidRPr="00AF11F4">
          <w:rPr>
            <w:rStyle w:val="Hyperlink"/>
            <w:noProof/>
          </w:rPr>
          <w:t>Proposal 5</w:t>
        </w:r>
        <w:r>
          <w:rPr>
            <w:rFonts w:asciiTheme="minorHAnsi" w:eastAsiaTheme="minorEastAsia" w:hAnsiTheme="minorHAnsi"/>
            <w:b w:val="0"/>
            <w:noProof/>
            <w:sz w:val="22"/>
          </w:rPr>
          <w:tab/>
        </w:r>
        <w:r w:rsidRPr="00AF11F4">
          <w:rPr>
            <w:rStyle w:val="Hyperlink"/>
            <w:noProof/>
          </w:rPr>
          <w:t>For Rel-19 AI/ML based positioning Case 3b, LMF includes an indicator in the measurement request to gNB, where the indicator is on the LMF preferred measurement report: either (a) sample measurement, or (b) legacy path-based measurement.</w:t>
        </w:r>
      </w:hyperlink>
    </w:p>
    <w:p w14:paraId="2107351C" w14:textId="777CDF4A" w:rsidR="00850DA1" w:rsidRDefault="00850DA1">
      <w:pPr>
        <w:pStyle w:val="TableofFigures"/>
        <w:tabs>
          <w:tab w:val="right" w:leader="dot" w:pos="9962"/>
        </w:tabs>
        <w:rPr>
          <w:rFonts w:asciiTheme="minorHAnsi" w:eastAsiaTheme="minorEastAsia" w:hAnsiTheme="minorHAnsi"/>
          <w:b w:val="0"/>
          <w:noProof/>
          <w:sz w:val="22"/>
        </w:rPr>
      </w:pPr>
      <w:hyperlink w:anchor="_Toc178961888" w:history="1">
        <w:r w:rsidRPr="00AF11F4">
          <w:rPr>
            <w:rStyle w:val="Hyperlink"/>
            <w:noProof/>
          </w:rPr>
          <w:t>Proposal 6</w:t>
        </w:r>
        <w:r>
          <w:rPr>
            <w:rFonts w:asciiTheme="minorHAnsi" w:eastAsiaTheme="minorEastAsia" w:hAnsiTheme="minorHAnsi"/>
            <w:b w:val="0"/>
            <w:noProof/>
            <w:sz w:val="22"/>
          </w:rPr>
          <w:tab/>
        </w:r>
        <w:r w:rsidRPr="00AF11F4">
          <w:rPr>
            <w:rStyle w:val="Hyperlink"/>
            <w:noProof/>
          </w:rPr>
          <w:t>For the definition of sample-based measurement, the timing grid for the N</w:t>
        </w:r>
        <w:r w:rsidRPr="00AF11F4">
          <w:rPr>
            <w:rStyle w:val="Hyperlink"/>
            <w:noProof/>
            <w:vertAlign w:val="subscript"/>
          </w:rPr>
          <w:t>t</w:t>
        </w:r>
        <w:r w:rsidRPr="00AF11F4">
          <w:rPr>
            <w:rStyle w:val="Hyperlink"/>
            <w:noProof/>
          </w:rPr>
          <w:t xml:space="preserve"> consecutive samples is determined by the reference time T</w:t>
        </w:r>
        <w:r w:rsidRPr="00AF11F4">
          <w:rPr>
            <w:rStyle w:val="Hyperlink"/>
            <w:noProof/>
            <w:vertAlign w:val="subscript"/>
          </w:rPr>
          <w:t>ref</w:t>
        </w:r>
        <w:r w:rsidRPr="00AF11F4">
          <w:rPr>
            <w:rStyle w:val="Hyperlink"/>
            <w:noProof/>
          </w:rPr>
          <w:t xml:space="preserve"> (seconds), together with the timing granularity T.</w:t>
        </w:r>
      </w:hyperlink>
    </w:p>
    <w:p w14:paraId="2C8D2646" w14:textId="684D56B8" w:rsidR="00850DA1" w:rsidRDefault="00850DA1">
      <w:pPr>
        <w:pStyle w:val="TableofFigures"/>
        <w:tabs>
          <w:tab w:val="right" w:leader="dot" w:pos="9962"/>
        </w:tabs>
        <w:rPr>
          <w:rFonts w:asciiTheme="minorHAnsi" w:eastAsiaTheme="minorEastAsia" w:hAnsiTheme="minorHAnsi"/>
          <w:b w:val="0"/>
          <w:noProof/>
          <w:sz w:val="22"/>
        </w:rPr>
      </w:pPr>
      <w:hyperlink w:anchor="_Toc178961889" w:history="1">
        <w:r w:rsidRPr="00AF11F4">
          <w:rPr>
            <w:rStyle w:val="Hyperlink"/>
            <w:noProof/>
          </w:rPr>
          <w:t>Proposal 7</w:t>
        </w:r>
        <w:r>
          <w:rPr>
            <w:rFonts w:asciiTheme="minorHAnsi" w:eastAsiaTheme="minorEastAsia" w:hAnsiTheme="minorHAnsi"/>
            <w:b w:val="0"/>
            <w:noProof/>
            <w:sz w:val="22"/>
          </w:rPr>
          <w:tab/>
        </w:r>
        <w:r w:rsidRPr="00AF11F4">
          <w:rPr>
            <w:rStyle w:val="Hyperlink"/>
            <w:noProof/>
          </w:rPr>
          <w:t>The starting time of the N</w:t>
        </w:r>
        <w:r w:rsidRPr="00AF11F4">
          <w:rPr>
            <w:rStyle w:val="Hyperlink"/>
            <w:noProof/>
            <w:vertAlign w:val="subscript"/>
          </w:rPr>
          <w:t>t</w:t>
        </w:r>
        <w:r w:rsidRPr="00AF11F4">
          <w:rPr>
            <w:rStyle w:val="Hyperlink"/>
            <w:noProof/>
          </w:rPr>
          <w:t xml:space="preserve"> consecutive samples is the timing of the first detected path, quantized to the timing grid.</w:t>
        </w:r>
      </w:hyperlink>
    </w:p>
    <w:p w14:paraId="3E0220A0" w14:textId="25A96CF9" w:rsidR="00850DA1" w:rsidRDefault="00850DA1">
      <w:pPr>
        <w:pStyle w:val="TableofFigures"/>
        <w:tabs>
          <w:tab w:val="right" w:leader="dot" w:pos="9962"/>
        </w:tabs>
        <w:rPr>
          <w:rFonts w:asciiTheme="minorHAnsi" w:eastAsiaTheme="minorEastAsia" w:hAnsiTheme="minorHAnsi"/>
          <w:b w:val="0"/>
          <w:noProof/>
          <w:sz w:val="22"/>
        </w:rPr>
      </w:pPr>
      <w:hyperlink w:anchor="_Toc178961890" w:history="1">
        <w:r w:rsidRPr="00AF11F4">
          <w:rPr>
            <w:rStyle w:val="Hyperlink"/>
            <w:noProof/>
          </w:rPr>
          <w:t>Proposal 8</w:t>
        </w:r>
        <w:r>
          <w:rPr>
            <w:rFonts w:asciiTheme="minorHAnsi" w:eastAsiaTheme="minorEastAsia" w:hAnsiTheme="minorHAnsi"/>
            <w:b w:val="0"/>
            <w:noProof/>
            <w:sz w:val="22"/>
          </w:rPr>
          <w:tab/>
        </w:r>
        <w:r w:rsidRPr="00AF11F4">
          <w:rPr>
            <w:rStyle w:val="Hyperlink"/>
            <w:noProof/>
          </w:rPr>
          <w:t>For Case 3b (and 2a if needed), support {N</w:t>
        </w:r>
        <w:r w:rsidRPr="00AF11F4">
          <w:rPr>
            <w:rStyle w:val="Hyperlink"/>
            <w:noProof/>
            <w:vertAlign w:val="subscript"/>
          </w:rPr>
          <w:t>t</w:t>
        </w:r>
        <w:r w:rsidRPr="00AF11F4">
          <w:rPr>
            <w:rStyle w:val="Hyperlink"/>
            <w:noProof/>
          </w:rPr>
          <w:t>, N</w:t>
        </w:r>
        <w:r w:rsidRPr="00AF11F4">
          <w:rPr>
            <w:rStyle w:val="Hyperlink"/>
            <w:noProof/>
            <w:vertAlign w:val="subscript"/>
          </w:rPr>
          <w:t>t</w:t>
        </w:r>
        <w:r w:rsidRPr="00AF11F4">
          <w:rPr>
            <w:rStyle w:val="Hyperlink"/>
            <w:noProof/>
          </w:rPr>
          <w:t>'} parameter combinations: {9, 9}; {16, 16}, {16, 9}; {32, 16}, {32, 9}; {64, 32}, {64, 16}, {64, 9}.</w:t>
        </w:r>
      </w:hyperlink>
    </w:p>
    <w:p w14:paraId="72AA61C1" w14:textId="2704DDAA" w:rsidR="00850DA1" w:rsidRDefault="00850DA1">
      <w:pPr>
        <w:pStyle w:val="TableofFigures"/>
        <w:tabs>
          <w:tab w:val="right" w:leader="dot" w:pos="9962"/>
        </w:tabs>
        <w:rPr>
          <w:rFonts w:asciiTheme="minorHAnsi" w:eastAsiaTheme="minorEastAsia" w:hAnsiTheme="minorHAnsi"/>
          <w:b w:val="0"/>
          <w:noProof/>
          <w:sz w:val="22"/>
        </w:rPr>
      </w:pPr>
      <w:hyperlink w:anchor="_Toc178961891" w:history="1">
        <w:r w:rsidRPr="00AF11F4">
          <w:rPr>
            <w:rStyle w:val="Hyperlink"/>
            <w:noProof/>
          </w:rPr>
          <w:t>Proposal 9</w:t>
        </w:r>
        <w:r>
          <w:rPr>
            <w:rFonts w:asciiTheme="minorHAnsi" w:eastAsiaTheme="minorEastAsia" w:hAnsiTheme="minorHAnsi"/>
            <w:b w:val="0"/>
            <w:noProof/>
            <w:sz w:val="22"/>
          </w:rPr>
          <w:tab/>
        </w:r>
        <w:r w:rsidRPr="00AF11F4">
          <w:rPr>
            <w:rStyle w:val="Hyperlink"/>
            <w:noProof/>
          </w:rPr>
          <w:t xml:space="preserve">For Case 3b (and 2a if needed), a small number of </w:t>
        </w:r>
        <w:r w:rsidRPr="00AF11F4">
          <w:rPr>
            <w:rStyle w:val="Hyperlink"/>
            <w:noProof/>
            <w:snapToGrid w:val="0"/>
          </w:rPr>
          <w:t>k</w:t>
        </w:r>
        <w:r w:rsidRPr="00AF11F4">
          <w:rPr>
            <w:rStyle w:val="Hyperlink"/>
            <w:noProof/>
          </w:rPr>
          <w:t xml:space="preserve"> values, e.g., </w:t>
        </w:r>
        <w:r w:rsidRPr="00AF11F4">
          <w:rPr>
            <w:rStyle w:val="Hyperlink"/>
            <w:noProof/>
            <w:snapToGrid w:val="0"/>
          </w:rPr>
          <w:t>k={4}, k={3,4}, or k={2,3,4,5}, is supported for timing reporting granularity factor in Rel-19.</w:t>
        </w:r>
      </w:hyperlink>
    </w:p>
    <w:p w14:paraId="0D751BD5" w14:textId="44D27176" w:rsidR="00850DA1" w:rsidRDefault="00850DA1">
      <w:pPr>
        <w:pStyle w:val="TableofFigures"/>
        <w:tabs>
          <w:tab w:val="right" w:leader="dot" w:pos="9962"/>
        </w:tabs>
        <w:rPr>
          <w:rFonts w:asciiTheme="minorHAnsi" w:eastAsiaTheme="minorEastAsia" w:hAnsiTheme="minorHAnsi"/>
          <w:b w:val="0"/>
          <w:noProof/>
          <w:sz w:val="22"/>
        </w:rPr>
      </w:pPr>
      <w:hyperlink w:anchor="_Toc178961892" w:history="1">
        <w:r w:rsidRPr="00AF11F4">
          <w:rPr>
            <w:rStyle w:val="Hyperlink"/>
            <w:noProof/>
          </w:rPr>
          <w:t>Proposal 10</w:t>
        </w:r>
        <w:r>
          <w:rPr>
            <w:rFonts w:asciiTheme="minorHAnsi" w:eastAsiaTheme="minorEastAsia" w:hAnsiTheme="minorHAnsi"/>
            <w:b w:val="0"/>
            <w:noProof/>
            <w:sz w:val="22"/>
          </w:rPr>
          <w:tab/>
        </w:r>
        <w:r w:rsidRPr="00AF11F4">
          <w:rPr>
            <w:rStyle w:val="Hyperlink"/>
            <w:noProof/>
          </w:rPr>
          <w:t>For the model input types for Case 3b and 3a (if applicable), consider input based on DP or PDP samples containing sample powers summed over all receive antenna ports, i.e., total-power PDP.</w:t>
        </w:r>
      </w:hyperlink>
    </w:p>
    <w:p w14:paraId="60B97173" w14:textId="33EBD452" w:rsidR="00850DA1" w:rsidRDefault="00850DA1">
      <w:pPr>
        <w:pStyle w:val="TableofFigures"/>
        <w:tabs>
          <w:tab w:val="right" w:leader="dot" w:pos="9962"/>
        </w:tabs>
        <w:rPr>
          <w:rFonts w:asciiTheme="minorHAnsi" w:eastAsiaTheme="minorEastAsia" w:hAnsiTheme="minorHAnsi"/>
          <w:b w:val="0"/>
          <w:noProof/>
          <w:sz w:val="22"/>
        </w:rPr>
      </w:pPr>
      <w:hyperlink w:anchor="_Toc178961893" w:history="1">
        <w:r w:rsidRPr="00AF11F4">
          <w:rPr>
            <w:rStyle w:val="Hyperlink"/>
            <w:noProof/>
          </w:rPr>
          <w:t>Proposal 11</w:t>
        </w:r>
        <w:r>
          <w:rPr>
            <w:rFonts w:asciiTheme="minorHAnsi" w:eastAsiaTheme="minorEastAsia" w:hAnsiTheme="minorHAnsi"/>
            <w:b w:val="0"/>
            <w:noProof/>
            <w:sz w:val="22"/>
          </w:rPr>
          <w:tab/>
        </w:r>
        <w:r w:rsidRPr="00AF11F4">
          <w:rPr>
            <w:rStyle w:val="Hyperlink"/>
            <w:noProof/>
          </w:rPr>
          <w:t>When studying the feasibility of (off-grid) RSRPP reports as AI/ML model inputs, the investigation should be based on at least realistic modeling of UE’s channel estimation capabilities. The reported per-path delays should be from an actual path delay estimator operating at the correct SNR.</w:t>
        </w:r>
      </w:hyperlink>
    </w:p>
    <w:p w14:paraId="45423606" w14:textId="392C086A" w:rsidR="00850DA1" w:rsidRDefault="00850DA1">
      <w:pPr>
        <w:pStyle w:val="TableofFigures"/>
        <w:tabs>
          <w:tab w:val="right" w:leader="dot" w:pos="9962"/>
        </w:tabs>
        <w:rPr>
          <w:rFonts w:asciiTheme="minorHAnsi" w:eastAsiaTheme="minorEastAsia" w:hAnsiTheme="minorHAnsi"/>
          <w:b w:val="0"/>
          <w:noProof/>
          <w:sz w:val="22"/>
        </w:rPr>
      </w:pPr>
      <w:hyperlink w:anchor="_Toc178961894" w:history="1">
        <w:r w:rsidRPr="00AF11F4">
          <w:rPr>
            <w:rStyle w:val="Hyperlink"/>
            <w:noProof/>
          </w:rPr>
          <w:t>Proposal 12</w:t>
        </w:r>
        <w:r>
          <w:rPr>
            <w:rFonts w:asciiTheme="minorHAnsi" w:eastAsiaTheme="minorEastAsia" w:hAnsiTheme="minorHAnsi"/>
            <w:b w:val="0"/>
            <w:noProof/>
            <w:sz w:val="22"/>
          </w:rPr>
          <w:tab/>
        </w:r>
        <w:r w:rsidRPr="00AF11F4">
          <w:rPr>
            <w:rStyle w:val="Hyperlink"/>
            <w:noProof/>
          </w:rPr>
          <w:t>Do not support phase information for determining model input, including CIR and single phase value for first path/sample.</w:t>
        </w:r>
      </w:hyperlink>
    </w:p>
    <w:p w14:paraId="181F5794" w14:textId="121B67FA" w:rsidR="00850DA1" w:rsidRDefault="00850DA1">
      <w:pPr>
        <w:pStyle w:val="TableofFigures"/>
        <w:tabs>
          <w:tab w:val="right" w:leader="dot" w:pos="9962"/>
        </w:tabs>
        <w:rPr>
          <w:rFonts w:asciiTheme="minorHAnsi" w:eastAsiaTheme="minorEastAsia" w:hAnsiTheme="minorHAnsi"/>
          <w:b w:val="0"/>
          <w:noProof/>
          <w:sz w:val="22"/>
        </w:rPr>
      </w:pPr>
      <w:hyperlink w:anchor="_Toc178961895" w:history="1">
        <w:r w:rsidRPr="00AF11F4">
          <w:rPr>
            <w:rStyle w:val="Hyperlink"/>
            <w:noProof/>
          </w:rPr>
          <w:t>Proposal 13</w:t>
        </w:r>
        <w:r>
          <w:rPr>
            <w:rFonts w:asciiTheme="minorHAnsi" w:eastAsiaTheme="minorEastAsia" w:hAnsiTheme="minorHAnsi"/>
            <w:b w:val="0"/>
            <w:noProof/>
            <w:sz w:val="22"/>
          </w:rPr>
          <w:tab/>
        </w:r>
        <w:r w:rsidRPr="00AF11F4">
          <w:rPr>
            <w:rStyle w:val="Hyperlink"/>
            <w:noProof/>
          </w:rPr>
          <w:t>Before CIR can be adopted as model input, RAN1 need to investigate whether fingerprinting ML models can handle CIR phase measurements, which vary not only with the radio channel environment but also with the transmitter/receiver circuits.</w:t>
        </w:r>
      </w:hyperlink>
    </w:p>
    <w:p w14:paraId="056F829D" w14:textId="3D0D7466" w:rsidR="00850DA1" w:rsidRDefault="00850DA1">
      <w:pPr>
        <w:pStyle w:val="TableofFigures"/>
        <w:tabs>
          <w:tab w:val="right" w:leader="dot" w:pos="9962"/>
        </w:tabs>
        <w:rPr>
          <w:rFonts w:asciiTheme="minorHAnsi" w:eastAsiaTheme="minorEastAsia" w:hAnsiTheme="minorHAnsi"/>
          <w:b w:val="0"/>
          <w:noProof/>
          <w:sz w:val="22"/>
        </w:rPr>
      </w:pPr>
      <w:hyperlink w:anchor="_Toc178961896" w:history="1">
        <w:r w:rsidRPr="00AF11F4">
          <w:rPr>
            <w:rStyle w:val="Hyperlink"/>
            <w:noProof/>
          </w:rPr>
          <w:t>Proposal 14</w:t>
        </w:r>
        <w:r>
          <w:rPr>
            <w:rFonts w:asciiTheme="minorHAnsi" w:eastAsiaTheme="minorEastAsia" w:hAnsiTheme="minorHAnsi"/>
            <w:b w:val="0"/>
            <w:noProof/>
            <w:sz w:val="22"/>
          </w:rPr>
          <w:tab/>
        </w:r>
        <w:r w:rsidRPr="00AF11F4">
          <w:rPr>
            <w:rStyle w:val="Hyperlink"/>
            <w:noProof/>
          </w:rPr>
          <w:t>To decide whether to support phase information to enable CIR as model input, RAN1 should weigh the small positioning accuracy improvement against the standardization effort, the signaling overhead, and the difficulty to align phase information between training and inference.</w:t>
        </w:r>
      </w:hyperlink>
    </w:p>
    <w:p w14:paraId="21F27D34" w14:textId="0AC19B36" w:rsidR="00850DA1" w:rsidRDefault="00850DA1">
      <w:pPr>
        <w:pStyle w:val="TableofFigures"/>
        <w:tabs>
          <w:tab w:val="right" w:leader="dot" w:pos="9962"/>
        </w:tabs>
        <w:rPr>
          <w:rFonts w:asciiTheme="minorHAnsi" w:eastAsiaTheme="minorEastAsia" w:hAnsiTheme="minorHAnsi"/>
          <w:b w:val="0"/>
          <w:noProof/>
          <w:sz w:val="22"/>
        </w:rPr>
      </w:pPr>
      <w:hyperlink w:anchor="_Toc178961897" w:history="1">
        <w:r w:rsidRPr="00AF11F4">
          <w:rPr>
            <w:rStyle w:val="Hyperlink"/>
            <w:noProof/>
          </w:rPr>
          <w:t>Proposal 15</w:t>
        </w:r>
        <w:r>
          <w:rPr>
            <w:rFonts w:asciiTheme="minorHAnsi" w:eastAsiaTheme="minorEastAsia" w:hAnsiTheme="minorHAnsi"/>
            <w:b w:val="0"/>
            <w:noProof/>
            <w:sz w:val="22"/>
          </w:rPr>
          <w:tab/>
        </w:r>
        <w:r w:rsidRPr="00AF11F4">
          <w:rPr>
            <w:rStyle w:val="Hyperlink"/>
            <w:noProof/>
          </w:rPr>
          <w:t>If phase information is supported to enable CIR as model input, the phase values are reported in the format of relative phase.</w:t>
        </w:r>
      </w:hyperlink>
    </w:p>
    <w:p w14:paraId="6EBA0842" w14:textId="118A75DB" w:rsidR="00850DA1" w:rsidRDefault="00850DA1">
      <w:pPr>
        <w:pStyle w:val="TableofFigures"/>
        <w:tabs>
          <w:tab w:val="right" w:leader="dot" w:pos="9962"/>
        </w:tabs>
        <w:rPr>
          <w:rFonts w:asciiTheme="minorHAnsi" w:eastAsiaTheme="minorEastAsia" w:hAnsiTheme="minorHAnsi"/>
          <w:b w:val="0"/>
          <w:noProof/>
          <w:sz w:val="22"/>
        </w:rPr>
      </w:pPr>
      <w:hyperlink w:anchor="_Toc178961898" w:history="1">
        <w:r w:rsidRPr="00AF11F4">
          <w:rPr>
            <w:rStyle w:val="Hyperlink"/>
            <w:noProof/>
          </w:rPr>
          <w:t>Proposal 16</w:t>
        </w:r>
        <w:r>
          <w:rPr>
            <w:rFonts w:asciiTheme="minorHAnsi" w:eastAsiaTheme="minorEastAsia" w:hAnsiTheme="minorHAnsi"/>
            <w:b w:val="0"/>
            <w:noProof/>
            <w:sz w:val="22"/>
          </w:rPr>
          <w:tab/>
        </w:r>
        <w:r w:rsidRPr="00AF11F4">
          <w:rPr>
            <w:rStyle w:val="Hyperlink"/>
            <w:noProof/>
          </w:rPr>
          <w:t>RAN1 to down-prioritize the signaling approach(es) and/or measurement definitions to support CIR model input types for Case 3b (1</w:t>
        </w:r>
        <w:r w:rsidRPr="00AF11F4">
          <w:rPr>
            <w:rStyle w:val="Hyperlink"/>
            <w:noProof/>
            <w:vertAlign w:val="superscript"/>
          </w:rPr>
          <w:t>st</w:t>
        </w:r>
        <w:r w:rsidRPr="00AF11F4">
          <w:rPr>
            <w:rStyle w:val="Hyperlink"/>
            <w:noProof/>
          </w:rPr>
          <w:t xml:space="preserve"> priority) and Case 2b (2</w:t>
        </w:r>
        <w:r w:rsidRPr="00AF11F4">
          <w:rPr>
            <w:rStyle w:val="Hyperlink"/>
            <w:noProof/>
            <w:vertAlign w:val="superscript"/>
          </w:rPr>
          <w:t>nd</w:t>
        </w:r>
        <w:r w:rsidRPr="00AF11F4">
          <w:rPr>
            <w:rStyle w:val="Hyperlink"/>
            <w:noProof/>
          </w:rPr>
          <w:t xml:space="preserve"> priority).</w:t>
        </w:r>
      </w:hyperlink>
    </w:p>
    <w:p w14:paraId="71DBBA0B" w14:textId="0549DA7F" w:rsidR="00850DA1" w:rsidRDefault="00850DA1">
      <w:pPr>
        <w:pStyle w:val="TableofFigures"/>
        <w:tabs>
          <w:tab w:val="right" w:leader="dot" w:pos="9962"/>
        </w:tabs>
        <w:rPr>
          <w:rFonts w:asciiTheme="minorHAnsi" w:eastAsiaTheme="minorEastAsia" w:hAnsiTheme="minorHAnsi"/>
          <w:b w:val="0"/>
          <w:noProof/>
          <w:sz w:val="22"/>
        </w:rPr>
      </w:pPr>
      <w:hyperlink w:anchor="_Toc178961899" w:history="1">
        <w:r w:rsidRPr="00AF11F4">
          <w:rPr>
            <w:rStyle w:val="Hyperlink"/>
            <w:noProof/>
            <w:lang w:eastAsia="en-GB"/>
          </w:rPr>
          <w:t>Proposal 17</w:t>
        </w:r>
        <w:r>
          <w:rPr>
            <w:rFonts w:asciiTheme="minorHAnsi" w:eastAsiaTheme="minorEastAsia" w:hAnsiTheme="minorHAnsi"/>
            <w:b w:val="0"/>
            <w:noProof/>
            <w:sz w:val="22"/>
          </w:rPr>
          <w:tab/>
        </w:r>
        <w:r w:rsidRPr="00AF11F4">
          <w:rPr>
            <w:rStyle w:val="Hyperlink"/>
            <w:noProof/>
            <w:lang w:eastAsia="en-GB"/>
          </w:rPr>
          <w:t>Update the agreement for Case 3b channel measurement reference time by deleting the FFS.</w:t>
        </w:r>
      </w:hyperlink>
    </w:p>
    <w:p w14:paraId="157D31C2" w14:textId="7FF39F57" w:rsidR="00850DA1" w:rsidRDefault="00850DA1">
      <w:pPr>
        <w:pStyle w:val="TableofFigures"/>
        <w:tabs>
          <w:tab w:val="right" w:leader="dot" w:pos="9962"/>
        </w:tabs>
        <w:rPr>
          <w:rFonts w:asciiTheme="minorHAnsi" w:eastAsiaTheme="minorEastAsia" w:hAnsiTheme="minorHAnsi"/>
          <w:b w:val="0"/>
          <w:noProof/>
          <w:sz w:val="22"/>
        </w:rPr>
      </w:pPr>
      <w:hyperlink w:anchor="_Toc178961900" w:history="1">
        <w:r w:rsidRPr="00AF11F4">
          <w:rPr>
            <w:rStyle w:val="Hyperlink"/>
            <w:noProof/>
            <w:lang w:eastAsia="en-GB"/>
          </w:rPr>
          <w:t>Proposal 18</w:t>
        </w:r>
        <w:r>
          <w:rPr>
            <w:rFonts w:asciiTheme="minorHAnsi" w:eastAsiaTheme="minorEastAsia" w:hAnsiTheme="minorHAnsi"/>
            <w:b w:val="0"/>
            <w:noProof/>
            <w:sz w:val="22"/>
          </w:rPr>
          <w:tab/>
        </w:r>
        <w:r w:rsidRPr="00AF11F4">
          <w:rPr>
            <w:rStyle w:val="Hyperlink"/>
            <w:noProof/>
            <w:lang w:eastAsia="en-GB"/>
          </w:rPr>
          <w:t xml:space="preserve">For AI/ML based positioning Case 3a, the reference time for uplink channel measurements is the same as that of Case 3b, i.e., the timing information of DP and PDP is represented relative to the UL RTOA reference time </w:t>
        </w:r>
        <w:r w:rsidRPr="00AF11F4">
          <w:rPr>
            <w:rStyle w:val="Hyperlink"/>
            <w:noProof/>
            <w:lang w:val="en-GB" w:eastAsia="en-GB"/>
          </w:rPr>
          <w:t>T</w:t>
        </w:r>
        <w:r w:rsidRPr="00AF11F4">
          <w:rPr>
            <w:rStyle w:val="Hyperlink"/>
            <w:noProof/>
            <w:vertAlign w:val="subscript"/>
            <w:lang w:val="en-GB" w:eastAsia="en-GB"/>
          </w:rPr>
          <w:t>0</w:t>
        </w:r>
        <w:r w:rsidRPr="00AF11F4">
          <w:rPr>
            <w:rStyle w:val="Hyperlink"/>
            <w:noProof/>
            <w:lang w:val="en-GB" w:eastAsia="en-GB"/>
          </w:rPr>
          <w:t>+t</w:t>
        </w:r>
        <w:r w:rsidRPr="00AF11F4">
          <w:rPr>
            <w:rStyle w:val="Hyperlink"/>
            <w:noProof/>
            <w:vertAlign w:val="subscript"/>
            <w:lang w:val="en-GB" w:eastAsia="en-GB"/>
          </w:rPr>
          <w:t>SRS</w:t>
        </w:r>
        <w:r w:rsidRPr="00AF11F4">
          <w:rPr>
            <w:rStyle w:val="Hyperlink"/>
            <w:noProof/>
            <w:lang w:val="en-GB" w:eastAsia="en-GB"/>
          </w:rPr>
          <w:t xml:space="preserve"> as defined in TS 38.215</w:t>
        </w:r>
        <w:r w:rsidRPr="00AF11F4">
          <w:rPr>
            <w:rStyle w:val="Hyperlink"/>
            <w:noProof/>
            <w:lang w:eastAsia="en-GB"/>
          </w:rPr>
          <w:t>.</w:t>
        </w:r>
      </w:hyperlink>
    </w:p>
    <w:p w14:paraId="7EEA9965" w14:textId="431B0489" w:rsidR="00850DA1" w:rsidRDefault="00850DA1">
      <w:pPr>
        <w:pStyle w:val="TableofFigures"/>
        <w:tabs>
          <w:tab w:val="right" w:leader="dot" w:pos="9962"/>
        </w:tabs>
        <w:rPr>
          <w:rFonts w:asciiTheme="minorHAnsi" w:eastAsiaTheme="minorEastAsia" w:hAnsiTheme="minorHAnsi"/>
          <w:b w:val="0"/>
          <w:noProof/>
          <w:sz w:val="22"/>
        </w:rPr>
      </w:pPr>
      <w:hyperlink w:anchor="_Toc178961901" w:history="1">
        <w:r w:rsidRPr="00AF11F4">
          <w:rPr>
            <w:rStyle w:val="Hyperlink"/>
            <w:noProof/>
          </w:rPr>
          <w:t>Proposal 19</w:t>
        </w:r>
        <w:r>
          <w:rPr>
            <w:rFonts w:asciiTheme="minorHAnsi" w:eastAsiaTheme="minorEastAsia" w:hAnsiTheme="minorHAnsi"/>
            <w:b w:val="0"/>
            <w:noProof/>
            <w:sz w:val="22"/>
          </w:rPr>
          <w:tab/>
        </w:r>
        <w:r w:rsidRPr="00AF11F4">
          <w:rPr>
            <w:rStyle w:val="Hyperlink"/>
            <w:noProof/>
          </w:rPr>
          <w:t>For Case 2b/3b, the measurement reported for input to the AI/ML model inference should include at least the following side information:</w:t>
        </w:r>
      </w:hyperlink>
    </w:p>
    <w:p w14:paraId="090BA132" w14:textId="078FC1F6" w:rsidR="00850DA1" w:rsidRDefault="00850DA1">
      <w:pPr>
        <w:pStyle w:val="TableofFigures"/>
        <w:tabs>
          <w:tab w:val="right" w:leader="dot" w:pos="9962"/>
        </w:tabs>
        <w:rPr>
          <w:rFonts w:asciiTheme="minorHAnsi" w:eastAsiaTheme="minorEastAsia" w:hAnsiTheme="minorHAnsi"/>
          <w:b w:val="0"/>
          <w:noProof/>
          <w:sz w:val="22"/>
        </w:rPr>
      </w:pPr>
      <w:hyperlink w:anchor="_Toc178961902"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Source of the measurement (TRP ID, PRS resource and resource set ID, PFL ID in the downlink, UL SRS resource and resource set ID in the uplink)</w:t>
        </w:r>
      </w:hyperlink>
    </w:p>
    <w:p w14:paraId="1E33A50D" w14:textId="68A7C09A" w:rsidR="00850DA1" w:rsidRDefault="00850DA1">
      <w:pPr>
        <w:pStyle w:val="TableofFigures"/>
        <w:tabs>
          <w:tab w:val="right" w:leader="dot" w:pos="9962"/>
        </w:tabs>
        <w:rPr>
          <w:rFonts w:asciiTheme="minorHAnsi" w:eastAsiaTheme="minorEastAsia" w:hAnsiTheme="minorHAnsi"/>
          <w:b w:val="0"/>
          <w:noProof/>
          <w:sz w:val="22"/>
        </w:rPr>
      </w:pPr>
      <w:hyperlink w:anchor="_Toc178961903"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Time stamp of the measurement</w:t>
        </w:r>
      </w:hyperlink>
    </w:p>
    <w:p w14:paraId="3E4FABCE" w14:textId="16060E34" w:rsidR="00850DA1" w:rsidRDefault="00850DA1">
      <w:pPr>
        <w:pStyle w:val="TableofFigures"/>
        <w:tabs>
          <w:tab w:val="right" w:leader="dot" w:pos="9962"/>
        </w:tabs>
        <w:rPr>
          <w:rFonts w:asciiTheme="minorHAnsi" w:eastAsiaTheme="minorEastAsia" w:hAnsiTheme="minorHAnsi"/>
          <w:b w:val="0"/>
          <w:noProof/>
          <w:sz w:val="22"/>
        </w:rPr>
      </w:pPr>
      <w:hyperlink w:anchor="_Toc178961904"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Measurement quality indicator for the power information (for PDP) and timing information (for PDP, DP), for the reported path/samples.</w:t>
        </w:r>
      </w:hyperlink>
    </w:p>
    <w:p w14:paraId="117ECDA3" w14:textId="34A4C5CD" w:rsidR="00850DA1" w:rsidRDefault="00850DA1">
      <w:pPr>
        <w:pStyle w:val="TableofFigures"/>
        <w:tabs>
          <w:tab w:val="right" w:leader="dot" w:pos="9962"/>
        </w:tabs>
        <w:rPr>
          <w:rFonts w:asciiTheme="minorHAnsi" w:eastAsiaTheme="minorEastAsia" w:hAnsiTheme="minorHAnsi"/>
          <w:b w:val="0"/>
          <w:noProof/>
          <w:sz w:val="22"/>
        </w:rPr>
      </w:pPr>
      <w:hyperlink w:anchor="_Toc178961905" w:history="1">
        <w:r w:rsidRPr="00AF11F4">
          <w:rPr>
            <w:rStyle w:val="Hyperlink"/>
            <w:noProof/>
          </w:rPr>
          <w:t>Proposal 20</w:t>
        </w:r>
        <w:r>
          <w:rPr>
            <w:rFonts w:asciiTheme="minorHAnsi" w:eastAsiaTheme="minorEastAsia" w:hAnsiTheme="minorHAnsi"/>
            <w:b w:val="0"/>
            <w:noProof/>
            <w:sz w:val="22"/>
          </w:rPr>
          <w:tab/>
        </w:r>
        <w:r w:rsidRPr="00AF11F4">
          <w:rPr>
            <w:rStyle w:val="Hyperlink"/>
            <w:noProof/>
          </w:rPr>
          <w:t>For Case 2b/3b measurements reported for input to the LMF-side AI/ML model, do not include TEG information.</w:t>
        </w:r>
      </w:hyperlink>
    </w:p>
    <w:p w14:paraId="48A3AAD9" w14:textId="63FEB88D" w:rsidR="00850DA1" w:rsidRDefault="00850DA1">
      <w:pPr>
        <w:pStyle w:val="TableofFigures"/>
        <w:tabs>
          <w:tab w:val="right" w:leader="dot" w:pos="9962"/>
        </w:tabs>
        <w:rPr>
          <w:rFonts w:asciiTheme="minorHAnsi" w:eastAsiaTheme="minorEastAsia" w:hAnsiTheme="minorHAnsi"/>
          <w:b w:val="0"/>
          <w:noProof/>
          <w:sz w:val="22"/>
        </w:rPr>
      </w:pPr>
      <w:hyperlink w:anchor="_Toc178961906" w:history="1">
        <w:r w:rsidRPr="00AF11F4">
          <w:rPr>
            <w:rStyle w:val="Hyperlink"/>
            <w:noProof/>
          </w:rPr>
          <w:t>Proposal 21</w:t>
        </w:r>
        <w:r>
          <w:rPr>
            <w:rFonts w:asciiTheme="minorHAnsi" w:eastAsiaTheme="minorEastAsia" w:hAnsiTheme="minorHAnsi"/>
            <w:b w:val="0"/>
            <w:noProof/>
            <w:sz w:val="22"/>
          </w:rPr>
          <w:tab/>
        </w:r>
        <w:r w:rsidRPr="00AF11F4">
          <w:rPr>
            <w:rStyle w:val="Hyperlink"/>
            <w:noProof/>
          </w:rPr>
          <w:t>Send an LS to RAN3 to request feedback on whether the input to the AI/ML model for case 3a need to be specified.</w:t>
        </w:r>
      </w:hyperlink>
    </w:p>
    <w:p w14:paraId="49DE2F5B" w14:textId="5AA6ACC6" w:rsidR="00850DA1" w:rsidRDefault="00850DA1">
      <w:pPr>
        <w:pStyle w:val="TableofFigures"/>
        <w:tabs>
          <w:tab w:val="right" w:leader="dot" w:pos="9962"/>
        </w:tabs>
        <w:rPr>
          <w:rFonts w:asciiTheme="minorHAnsi" w:eastAsiaTheme="minorEastAsia" w:hAnsiTheme="minorHAnsi"/>
          <w:b w:val="0"/>
          <w:noProof/>
          <w:sz w:val="22"/>
        </w:rPr>
      </w:pPr>
      <w:hyperlink w:anchor="_Toc178961907" w:history="1">
        <w:r w:rsidRPr="00AF11F4">
          <w:rPr>
            <w:rStyle w:val="Hyperlink"/>
            <w:noProof/>
          </w:rPr>
          <w:t>Proposal 22</w:t>
        </w:r>
        <w:r>
          <w:rPr>
            <w:rFonts w:asciiTheme="minorHAnsi" w:eastAsiaTheme="minorEastAsia" w:hAnsiTheme="minorHAnsi"/>
            <w:b w:val="0"/>
            <w:noProof/>
            <w:sz w:val="22"/>
          </w:rPr>
          <w:tab/>
        </w:r>
        <w:r w:rsidRPr="00AF11F4">
          <w:rPr>
            <w:rStyle w:val="Hyperlink"/>
            <w:noProof/>
          </w:rPr>
          <w:t>For AI/ML assisted positioning Case 3a, when the LOS/NLOS indicator is reported, from RAN1 perspective, the LOS/NLOS indicator provides information on the likelihood of a physical Line-of-Sight propagation path from the source to the receiver with a value of 1 corresponding to LOS and a value of 0 corresponding to NLOS; the LOS/NLOS indicator reuse the same format as the existing IE "LOS/NLOS Information" in 38.455; one LOS/NLOS indicator is optionally reported per TRP as in the existing specification.</w:t>
        </w:r>
      </w:hyperlink>
    </w:p>
    <w:p w14:paraId="6BCB9ECE" w14:textId="5AD14A98" w:rsidR="00850DA1" w:rsidRDefault="00850DA1">
      <w:pPr>
        <w:pStyle w:val="TableofFigures"/>
        <w:tabs>
          <w:tab w:val="right" w:leader="dot" w:pos="9962"/>
        </w:tabs>
        <w:rPr>
          <w:rFonts w:asciiTheme="minorHAnsi" w:eastAsiaTheme="minorEastAsia" w:hAnsiTheme="minorHAnsi"/>
          <w:b w:val="0"/>
          <w:noProof/>
          <w:sz w:val="22"/>
        </w:rPr>
      </w:pPr>
      <w:hyperlink w:anchor="_Toc178961908" w:history="1">
        <w:r w:rsidRPr="00AF11F4">
          <w:rPr>
            <w:rStyle w:val="Hyperlink"/>
            <w:noProof/>
          </w:rPr>
          <w:t>Proposal 23</w:t>
        </w:r>
        <w:r>
          <w:rPr>
            <w:rFonts w:asciiTheme="minorHAnsi" w:eastAsiaTheme="minorEastAsia" w:hAnsiTheme="minorHAnsi"/>
            <w:b w:val="0"/>
            <w:noProof/>
            <w:sz w:val="22"/>
          </w:rPr>
          <w:tab/>
        </w:r>
        <w:r w:rsidRPr="00AF11F4">
          <w:rPr>
            <w:rStyle w:val="Hyperlink"/>
            <w:noProof/>
          </w:rPr>
          <w:t>For case 3a and 2a, the timing measurement for the first path is associated with a virtual line of sight path.</w:t>
        </w:r>
      </w:hyperlink>
    </w:p>
    <w:p w14:paraId="7D98427D" w14:textId="4B260DBD" w:rsidR="00850DA1" w:rsidRDefault="00850DA1">
      <w:pPr>
        <w:pStyle w:val="TableofFigures"/>
        <w:tabs>
          <w:tab w:val="right" w:leader="dot" w:pos="9962"/>
        </w:tabs>
        <w:rPr>
          <w:rFonts w:asciiTheme="minorHAnsi" w:eastAsiaTheme="minorEastAsia" w:hAnsiTheme="minorHAnsi"/>
          <w:b w:val="0"/>
          <w:noProof/>
          <w:sz w:val="22"/>
        </w:rPr>
      </w:pPr>
      <w:hyperlink w:anchor="_Toc178961909"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If a timing measurement is reported together with the LOS/NLOS indicator, the indicator status (for physical LOS/NLOS) is decoupled from the reported timing measurement (for virtual LOS)</w:t>
        </w:r>
      </w:hyperlink>
    </w:p>
    <w:p w14:paraId="553BA6C7" w14:textId="61836C41" w:rsidR="00850DA1" w:rsidRDefault="00850DA1">
      <w:pPr>
        <w:pStyle w:val="TableofFigures"/>
        <w:tabs>
          <w:tab w:val="right" w:leader="dot" w:pos="9962"/>
        </w:tabs>
        <w:rPr>
          <w:rFonts w:asciiTheme="minorHAnsi" w:eastAsiaTheme="minorEastAsia" w:hAnsiTheme="minorHAnsi"/>
          <w:b w:val="0"/>
          <w:noProof/>
          <w:sz w:val="22"/>
        </w:rPr>
      </w:pPr>
      <w:hyperlink w:anchor="_Toc178961910"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Note: when the TRP-UE link is LOS, the virtual LOS coincides with the physical LOS.</w:t>
        </w:r>
      </w:hyperlink>
    </w:p>
    <w:p w14:paraId="6C79F363" w14:textId="7CDE9ECD" w:rsidR="00850DA1" w:rsidRDefault="00850DA1">
      <w:pPr>
        <w:pStyle w:val="TableofFigures"/>
        <w:tabs>
          <w:tab w:val="right" w:leader="dot" w:pos="9962"/>
        </w:tabs>
        <w:rPr>
          <w:rFonts w:asciiTheme="minorHAnsi" w:eastAsiaTheme="minorEastAsia" w:hAnsiTheme="minorHAnsi"/>
          <w:b w:val="0"/>
          <w:noProof/>
          <w:sz w:val="22"/>
        </w:rPr>
      </w:pPr>
      <w:hyperlink w:anchor="_Toc178961911"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Details of the association with virtual LOS is up to RAN2/3, e.g. indication in measurement report, or configuration in measurement request.</w:t>
        </w:r>
      </w:hyperlink>
    </w:p>
    <w:p w14:paraId="1D7B07AA" w14:textId="3F9D5B06" w:rsidR="00850DA1" w:rsidRDefault="00850DA1">
      <w:pPr>
        <w:pStyle w:val="TableofFigures"/>
        <w:tabs>
          <w:tab w:val="right" w:leader="dot" w:pos="9962"/>
        </w:tabs>
        <w:rPr>
          <w:rFonts w:asciiTheme="minorHAnsi" w:eastAsiaTheme="minorEastAsia" w:hAnsiTheme="minorHAnsi"/>
          <w:b w:val="0"/>
          <w:noProof/>
          <w:sz w:val="22"/>
        </w:rPr>
      </w:pPr>
      <w:hyperlink w:anchor="_Toc178961912"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Send an LS to RAN2/RAN3 with the final agreement.</w:t>
        </w:r>
      </w:hyperlink>
    </w:p>
    <w:p w14:paraId="13E1D16A" w14:textId="7E8C95DF" w:rsidR="00850DA1" w:rsidRDefault="00850DA1">
      <w:pPr>
        <w:pStyle w:val="TableofFigures"/>
        <w:tabs>
          <w:tab w:val="right" w:leader="dot" w:pos="9962"/>
        </w:tabs>
        <w:rPr>
          <w:rFonts w:asciiTheme="minorHAnsi" w:eastAsiaTheme="minorEastAsia" w:hAnsiTheme="minorHAnsi"/>
          <w:b w:val="0"/>
          <w:noProof/>
          <w:sz w:val="22"/>
        </w:rPr>
      </w:pPr>
      <w:hyperlink w:anchor="_Toc178961913" w:history="1">
        <w:r w:rsidRPr="00AF11F4">
          <w:rPr>
            <w:rStyle w:val="Hyperlink"/>
            <w:noProof/>
          </w:rPr>
          <w:t>Proposal 24</w:t>
        </w:r>
        <w:r>
          <w:rPr>
            <w:rFonts w:asciiTheme="minorHAnsi" w:eastAsiaTheme="minorEastAsia" w:hAnsiTheme="minorHAnsi"/>
            <w:b w:val="0"/>
            <w:noProof/>
            <w:sz w:val="22"/>
          </w:rPr>
          <w:tab/>
        </w:r>
        <w:r w:rsidRPr="00AF11F4">
          <w:rPr>
            <w:rStyle w:val="Hyperlink"/>
            <w:noProof/>
          </w:rPr>
          <w:t>Reuse the existing measurement reporting in LPP and NRPPa to report timing information for the model output of AI/ML assisted positioning.</w:t>
        </w:r>
      </w:hyperlink>
    </w:p>
    <w:p w14:paraId="592B7C04" w14:textId="2F5895C3" w:rsidR="00850DA1" w:rsidRDefault="00850DA1">
      <w:pPr>
        <w:pStyle w:val="TableofFigures"/>
        <w:tabs>
          <w:tab w:val="right" w:leader="dot" w:pos="9962"/>
        </w:tabs>
        <w:rPr>
          <w:rFonts w:asciiTheme="minorHAnsi" w:eastAsiaTheme="minorEastAsia" w:hAnsiTheme="minorHAnsi"/>
          <w:b w:val="0"/>
          <w:noProof/>
          <w:sz w:val="22"/>
        </w:rPr>
      </w:pPr>
      <w:hyperlink w:anchor="_Toc178961914" w:history="1">
        <w:r w:rsidRPr="00AF11F4">
          <w:rPr>
            <w:rStyle w:val="Hyperlink"/>
            <w:noProof/>
          </w:rPr>
          <w:t>Proposal 25</w:t>
        </w:r>
        <w:r>
          <w:rPr>
            <w:rFonts w:asciiTheme="minorHAnsi" w:eastAsiaTheme="minorEastAsia" w:hAnsiTheme="minorHAnsi"/>
            <w:b w:val="0"/>
            <w:noProof/>
            <w:sz w:val="22"/>
          </w:rPr>
          <w:tab/>
        </w:r>
        <w:r w:rsidRPr="00AF11F4">
          <w:rPr>
            <w:rStyle w:val="Hyperlink"/>
            <w:noProof/>
          </w:rPr>
          <w:t>For AI/ML assisted positioning at gNB (Case 3a), the model output is uplink relative time of arrival (</w:t>
        </w:r>
        <w:r w:rsidRPr="00AF11F4">
          <w:rPr>
            <w:rStyle w:val="Hyperlink"/>
            <w:rFonts w:cs="Arial"/>
            <w:noProof/>
            <w:lang w:eastAsia="en-GB"/>
          </w:rPr>
          <w:t>T</w:t>
        </w:r>
        <w:r w:rsidRPr="00AF11F4">
          <w:rPr>
            <w:rStyle w:val="Hyperlink"/>
            <w:rFonts w:cs="Arial"/>
            <w:noProof/>
            <w:vertAlign w:val="subscript"/>
            <w:lang w:eastAsia="en-GB"/>
          </w:rPr>
          <w:t>UL-RTOA</w:t>
        </w:r>
        <w:r w:rsidRPr="00AF11F4">
          <w:rPr>
            <w:rStyle w:val="Hyperlink"/>
            <w:noProof/>
          </w:rPr>
          <w:t>).</w:t>
        </w:r>
      </w:hyperlink>
    </w:p>
    <w:p w14:paraId="74417B3E" w14:textId="738184B6" w:rsidR="00850DA1" w:rsidRDefault="00850DA1">
      <w:pPr>
        <w:pStyle w:val="TableofFigures"/>
        <w:tabs>
          <w:tab w:val="right" w:leader="dot" w:pos="9962"/>
        </w:tabs>
        <w:rPr>
          <w:rFonts w:asciiTheme="minorHAnsi" w:eastAsiaTheme="minorEastAsia" w:hAnsiTheme="minorHAnsi"/>
          <w:b w:val="0"/>
          <w:noProof/>
          <w:sz w:val="22"/>
        </w:rPr>
      </w:pPr>
      <w:hyperlink w:anchor="_Toc178961915" w:history="1">
        <w:r w:rsidRPr="00AF11F4">
          <w:rPr>
            <w:rStyle w:val="Hyperlink"/>
            <w:noProof/>
          </w:rPr>
          <w:t>Proposal 26</w:t>
        </w:r>
        <w:r>
          <w:rPr>
            <w:rFonts w:asciiTheme="minorHAnsi" w:eastAsiaTheme="minorEastAsia" w:hAnsiTheme="minorHAnsi"/>
            <w:b w:val="0"/>
            <w:noProof/>
            <w:sz w:val="22"/>
          </w:rPr>
          <w:tab/>
        </w:r>
        <w:r w:rsidRPr="00AF11F4">
          <w:rPr>
            <w:rStyle w:val="Hyperlink"/>
            <w:noProof/>
          </w:rPr>
          <w:t>For AI/ML assisted positioning at gNB (Case 3a), postprocessing is applied to generate gNB RxTxTimeDiff for measurement reporting of multi-RTT method.</w:t>
        </w:r>
      </w:hyperlink>
    </w:p>
    <w:p w14:paraId="0F21F8E8" w14:textId="3C0FC6E2" w:rsidR="00850DA1" w:rsidRDefault="00850DA1">
      <w:pPr>
        <w:pStyle w:val="TableofFigures"/>
        <w:tabs>
          <w:tab w:val="right" w:leader="dot" w:pos="9962"/>
        </w:tabs>
        <w:rPr>
          <w:rFonts w:asciiTheme="minorHAnsi" w:eastAsiaTheme="minorEastAsia" w:hAnsiTheme="minorHAnsi"/>
          <w:b w:val="0"/>
          <w:noProof/>
          <w:sz w:val="22"/>
        </w:rPr>
      </w:pPr>
      <w:hyperlink w:anchor="_Toc178961916" w:history="1">
        <w:r w:rsidRPr="00AF11F4">
          <w:rPr>
            <w:rStyle w:val="Hyperlink"/>
            <w:noProof/>
          </w:rPr>
          <w:t>Proposal 27</w:t>
        </w:r>
        <w:r>
          <w:rPr>
            <w:rFonts w:asciiTheme="minorHAnsi" w:eastAsiaTheme="minorEastAsia" w:hAnsiTheme="minorHAnsi"/>
            <w:b w:val="0"/>
            <w:noProof/>
            <w:sz w:val="22"/>
          </w:rPr>
          <w:tab/>
        </w:r>
        <w:r w:rsidRPr="00AF11F4">
          <w:rPr>
            <w:rStyle w:val="Hyperlink"/>
            <w:noProof/>
          </w:rPr>
          <w:t>(for conclusion) For AI/ML assisted positioning at gNB (Case 3a), the gNB is not expected to report additional paths for AI/ML based measurement report enhancements.  Note: the network can simply omit the optional field for additional paths. It is not necessary to make specification changes to the measurement report IE.</w:t>
        </w:r>
      </w:hyperlink>
    </w:p>
    <w:p w14:paraId="255687AB" w14:textId="732E7159" w:rsidR="00850DA1" w:rsidRDefault="00850DA1">
      <w:pPr>
        <w:pStyle w:val="TableofFigures"/>
        <w:tabs>
          <w:tab w:val="right" w:leader="dot" w:pos="9962"/>
        </w:tabs>
        <w:rPr>
          <w:rFonts w:asciiTheme="minorHAnsi" w:eastAsiaTheme="minorEastAsia" w:hAnsiTheme="minorHAnsi"/>
          <w:b w:val="0"/>
          <w:noProof/>
          <w:sz w:val="22"/>
        </w:rPr>
      </w:pPr>
      <w:hyperlink w:anchor="_Toc178961917" w:history="1">
        <w:r w:rsidRPr="00AF11F4">
          <w:rPr>
            <w:rStyle w:val="Hyperlink"/>
            <w:noProof/>
          </w:rPr>
          <w:t>Proposal 28</w:t>
        </w:r>
        <w:r>
          <w:rPr>
            <w:rFonts w:asciiTheme="minorHAnsi" w:eastAsiaTheme="minorEastAsia" w:hAnsiTheme="minorHAnsi"/>
            <w:b w:val="0"/>
            <w:noProof/>
            <w:sz w:val="22"/>
          </w:rPr>
          <w:tab/>
        </w:r>
        <w:r w:rsidRPr="00AF11F4">
          <w:rPr>
            <w:rStyle w:val="Hyperlink"/>
            <w:noProof/>
          </w:rPr>
          <w:t>For AI/ML assisted positioning at gNB (Case 3a), power is optionally reported using UL SRS RSRP (Case 3a). The gNB is not expected to report per-path power.</w:t>
        </w:r>
      </w:hyperlink>
    </w:p>
    <w:p w14:paraId="039F651F" w14:textId="6240C8A0" w:rsidR="00850DA1" w:rsidRDefault="00850DA1">
      <w:pPr>
        <w:pStyle w:val="TableofFigures"/>
        <w:tabs>
          <w:tab w:val="right" w:leader="dot" w:pos="9962"/>
        </w:tabs>
        <w:rPr>
          <w:rFonts w:asciiTheme="minorHAnsi" w:eastAsiaTheme="minorEastAsia" w:hAnsiTheme="minorHAnsi"/>
          <w:b w:val="0"/>
          <w:noProof/>
          <w:sz w:val="22"/>
        </w:rPr>
      </w:pPr>
      <w:hyperlink w:anchor="_Toc178961918" w:history="1">
        <w:r w:rsidRPr="00AF11F4">
          <w:rPr>
            <w:rStyle w:val="Hyperlink"/>
            <w:noProof/>
          </w:rPr>
          <w:t>Proposal 29</w:t>
        </w:r>
        <w:r>
          <w:rPr>
            <w:rFonts w:asciiTheme="minorHAnsi" w:eastAsiaTheme="minorEastAsia" w:hAnsiTheme="minorHAnsi"/>
            <w:b w:val="0"/>
            <w:noProof/>
            <w:sz w:val="22"/>
          </w:rPr>
          <w:tab/>
        </w:r>
        <w:r w:rsidRPr="00AF11F4">
          <w:rPr>
            <w:rStyle w:val="Hyperlink"/>
            <w:noProof/>
          </w:rPr>
          <w:t>For AI/ML assisted positioning at gNB (Case 3a) and UE (Case 2a), the measurement report contains an indicator that AI/ML is used to produce the measurements. The signaling details are up to RAN3/RAN2.</w:t>
        </w:r>
      </w:hyperlink>
    </w:p>
    <w:p w14:paraId="14F6FA01" w14:textId="1FD99F5C" w:rsidR="00850DA1" w:rsidRDefault="00850DA1">
      <w:pPr>
        <w:pStyle w:val="TableofFigures"/>
        <w:tabs>
          <w:tab w:val="right" w:leader="dot" w:pos="9962"/>
        </w:tabs>
        <w:rPr>
          <w:rFonts w:asciiTheme="minorHAnsi" w:eastAsiaTheme="minorEastAsia" w:hAnsiTheme="minorHAnsi"/>
          <w:b w:val="0"/>
          <w:noProof/>
          <w:sz w:val="22"/>
        </w:rPr>
      </w:pPr>
      <w:hyperlink w:anchor="_Toc178961919" w:history="1">
        <w:r w:rsidRPr="00AF11F4">
          <w:rPr>
            <w:rStyle w:val="Hyperlink"/>
            <w:noProof/>
          </w:rPr>
          <w:t>Proposal 30</w:t>
        </w:r>
        <w:r>
          <w:rPr>
            <w:rFonts w:asciiTheme="minorHAnsi" w:eastAsiaTheme="minorEastAsia" w:hAnsiTheme="minorHAnsi"/>
            <w:b w:val="0"/>
            <w:noProof/>
            <w:sz w:val="22"/>
          </w:rPr>
          <w:tab/>
        </w:r>
        <w:r w:rsidRPr="00AF11F4">
          <w:rPr>
            <w:rStyle w:val="Hyperlink"/>
            <w:noProof/>
          </w:rPr>
          <w:t>For Rel-19 AI/ML based positioning, support collecting labelled and optionally un-labelled training data samples.</w:t>
        </w:r>
      </w:hyperlink>
    </w:p>
    <w:p w14:paraId="61E1C47D" w14:textId="340ED755" w:rsidR="00850DA1" w:rsidRDefault="00850DA1">
      <w:pPr>
        <w:pStyle w:val="TableofFigures"/>
        <w:tabs>
          <w:tab w:val="right" w:leader="dot" w:pos="9962"/>
        </w:tabs>
        <w:rPr>
          <w:rFonts w:asciiTheme="minorHAnsi" w:eastAsiaTheme="minorEastAsia" w:hAnsiTheme="minorHAnsi"/>
          <w:b w:val="0"/>
          <w:noProof/>
          <w:sz w:val="22"/>
        </w:rPr>
      </w:pPr>
      <w:hyperlink w:anchor="_Toc178961920" w:history="1">
        <w:r w:rsidRPr="00AF11F4">
          <w:rPr>
            <w:rStyle w:val="Hyperlink"/>
            <w:noProof/>
          </w:rPr>
          <w:t>Proposal 31</w:t>
        </w:r>
        <w:r>
          <w:rPr>
            <w:rFonts w:asciiTheme="minorHAnsi" w:eastAsiaTheme="minorEastAsia" w:hAnsiTheme="minorHAnsi"/>
            <w:b w:val="0"/>
            <w:noProof/>
            <w:sz w:val="22"/>
          </w:rPr>
          <w:tab/>
        </w:r>
        <w:r w:rsidRPr="00AF11F4">
          <w:rPr>
            <w:rStyle w:val="Hyperlink"/>
            <w:noProof/>
          </w:rPr>
          <w:t>For training data collection of AI/ML based positioning, for both Part A and Part B, time stamp is mandatorily provided by the training data generation entity.</w:t>
        </w:r>
      </w:hyperlink>
    </w:p>
    <w:p w14:paraId="2D3BDE3B" w14:textId="7D6A2DE4" w:rsidR="00850DA1" w:rsidRDefault="00850DA1">
      <w:pPr>
        <w:pStyle w:val="TableofFigures"/>
        <w:tabs>
          <w:tab w:val="right" w:leader="dot" w:pos="9962"/>
        </w:tabs>
        <w:rPr>
          <w:rFonts w:asciiTheme="minorHAnsi" w:eastAsiaTheme="minorEastAsia" w:hAnsiTheme="minorHAnsi"/>
          <w:b w:val="0"/>
          <w:noProof/>
          <w:sz w:val="22"/>
        </w:rPr>
      </w:pPr>
      <w:hyperlink w:anchor="_Toc178961921" w:history="1">
        <w:r w:rsidRPr="00AF11F4">
          <w:rPr>
            <w:rStyle w:val="Hyperlink"/>
            <w:noProof/>
          </w:rPr>
          <w:t>Proposal 32</w:t>
        </w:r>
        <w:r>
          <w:rPr>
            <w:rFonts w:asciiTheme="minorHAnsi" w:eastAsiaTheme="minorEastAsia" w:hAnsiTheme="minorHAnsi"/>
            <w:b w:val="0"/>
            <w:noProof/>
            <w:sz w:val="22"/>
          </w:rPr>
          <w:tab/>
        </w:r>
        <w:r w:rsidRPr="00AF11F4">
          <w:rPr>
            <w:rStyle w:val="Hyperlink"/>
            <w:noProof/>
          </w:rPr>
          <w:t>For training data collection of AI/ML based positioning, the time stamp should allow unambiguous mapping between Part A and Part B.</w:t>
        </w:r>
      </w:hyperlink>
    </w:p>
    <w:p w14:paraId="6CC949B5" w14:textId="6A0C39F2" w:rsidR="00850DA1" w:rsidRDefault="00850DA1">
      <w:pPr>
        <w:pStyle w:val="TableofFigures"/>
        <w:tabs>
          <w:tab w:val="right" w:leader="dot" w:pos="9962"/>
        </w:tabs>
        <w:rPr>
          <w:rFonts w:asciiTheme="minorHAnsi" w:eastAsiaTheme="minorEastAsia" w:hAnsiTheme="minorHAnsi"/>
          <w:b w:val="0"/>
          <w:noProof/>
          <w:sz w:val="22"/>
        </w:rPr>
      </w:pPr>
      <w:hyperlink w:anchor="_Toc178961922"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For channel measurement generated by TRP/gNB, at least when measurement periodicity exceeds the SFN/slot wrap around time (10.24 sec), field “Measurement time” is included in the time stamp.</w:t>
        </w:r>
      </w:hyperlink>
    </w:p>
    <w:p w14:paraId="011DA184" w14:textId="1867377E" w:rsidR="00850DA1" w:rsidRDefault="00850DA1">
      <w:pPr>
        <w:pStyle w:val="TableofFigures"/>
        <w:tabs>
          <w:tab w:val="right" w:leader="dot" w:pos="9962"/>
        </w:tabs>
        <w:rPr>
          <w:rFonts w:asciiTheme="minorHAnsi" w:eastAsiaTheme="minorEastAsia" w:hAnsiTheme="minorHAnsi"/>
          <w:b w:val="0"/>
          <w:noProof/>
          <w:sz w:val="22"/>
        </w:rPr>
      </w:pPr>
      <w:hyperlink w:anchor="_Toc178961923" w:history="1">
        <w:r w:rsidRPr="00AF11F4">
          <w:rPr>
            <w:rStyle w:val="Hyperlink"/>
            <w:rFonts w:ascii="Symbol" w:hAnsi="Symbol"/>
            <w:noProof/>
            <w:lang w:eastAsia="zh-CN"/>
          </w:rPr>
          <w:t></w:t>
        </w:r>
        <w:r>
          <w:rPr>
            <w:rFonts w:asciiTheme="minorHAnsi" w:eastAsiaTheme="minorEastAsia" w:hAnsiTheme="minorHAnsi"/>
            <w:b w:val="0"/>
            <w:noProof/>
            <w:sz w:val="22"/>
          </w:rPr>
          <w:tab/>
        </w:r>
        <w:r w:rsidRPr="00AF11F4">
          <w:rPr>
            <w:rStyle w:val="Hyperlink"/>
            <w:noProof/>
            <w:lang w:eastAsia="zh-CN"/>
          </w:rPr>
          <w:t xml:space="preserve">For </w:t>
        </w:r>
        <w:r w:rsidRPr="00AF11F4">
          <w:rPr>
            <w:rStyle w:val="Hyperlink"/>
            <w:noProof/>
          </w:rPr>
          <w:t xml:space="preserve">channel measurement and </w:t>
        </w:r>
        <w:r w:rsidRPr="00AF11F4">
          <w:rPr>
            <w:rStyle w:val="Hyperlink"/>
            <w:noProof/>
            <w:lang w:eastAsia="zh-CN"/>
          </w:rPr>
          <w:t>label generated by PRU or non-PRU UE, UTC Time (e.g., for utc-time-r16) is included in the time stamp.</w:t>
        </w:r>
      </w:hyperlink>
    </w:p>
    <w:p w14:paraId="68C9E2B3" w14:textId="0DED9AEC" w:rsidR="00850DA1" w:rsidRDefault="00850DA1">
      <w:pPr>
        <w:pStyle w:val="TableofFigures"/>
        <w:tabs>
          <w:tab w:val="right" w:leader="dot" w:pos="9962"/>
        </w:tabs>
        <w:rPr>
          <w:rFonts w:asciiTheme="minorHAnsi" w:eastAsiaTheme="minorEastAsia" w:hAnsiTheme="minorHAnsi"/>
          <w:b w:val="0"/>
          <w:noProof/>
          <w:sz w:val="22"/>
        </w:rPr>
      </w:pPr>
      <w:hyperlink w:anchor="_Toc178961924"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Exactly how to specify time stamp for Part A and Part B is up to RAN2/RAN3.</w:t>
        </w:r>
      </w:hyperlink>
    </w:p>
    <w:p w14:paraId="240ACB24" w14:textId="5EB2BBE4" w:rsidR="00850DA1" w:rsidRDefault="00850DA1">
      <w:pPr>
        <w:pStyle w:val="TableofFigures"/>
        <w:tabs>
          <w:tab w:val="right" w:leader="dot" w:pos="9962"/>
        </w:tabs>
        <w:rPr>
          <w:rFonts w:asciiTheme="minorHAnsi" w:eastAsiaTheme="minorEastAsia" w:hAnsiTheme="minorHAnsi"/>
          <w:b w:val="0"/>
          <w:noProof/>
          <w:sz w:val="22"/>
        </w:rPr>
      </w:pPr>
      <w:hyperlink w:anchor="_Toc178961925" w:history="1">
        <w:r w:rsidRPr="00AF11F4">
          <w:rPr>
            <w:rStyle w:val="Hyperlink"/>
            <w:noProof/>
          </w:rPr>
          <w:t>Proposal 33</w:t>
        </w:r>
        <w:r>
          <w:rPr>
            <w:rFonts w:asciiTheme="minorHAnsi" w:eastAsiaTheme="minorEastAsia" w:hAnsiTheme="minorHAnsi"/>
            <w:b w:val="0"/>
            <w:noProof/>
            <w:sz w:val="22"/>
          </w:rPr>
          <w:tab/>
        </w:r>
        <w:r w:rsidRPr="00AF11F4">
          <w:rPr>
            <w:rStyle w:val="Hyperlink"/>
            <w:noProof/>
          </w:rPr>
          <w:t>From RAN1 perspective, the existing IEs and their associated granularities can be reused for time stamp of Part A and Part B. It is acceptable to have different time stamp granularity for Part A and Part B. There is no need for RAN1 to discuss how to perform the pairing using the time stamps.</w:t>
        </w:r>
      </w:hyperlink>
    </w:p>
    <w:p w14:paraId="4D1FE86A" w14:textId="4B25228C" w:rsidR="00850DA1" w:rsidRDefault="00850DA1">
      <w:pPr>
        <w:pStyle w:val="TableofFigures"/>
        <w:tabs>
          <w:tab w:val="right" w:leader="dot" w:pos="9962"/>
        </w:tabs>
        <w:rPr>
          <w:rFonts w:asciiTheme="minorHAnsi" w:eastAsiaTheme="minorEastAsia" w:hAnsiTheme="minorHAnsi"/>
          <w:b w:val="0"/>
          <w:noProof/>
          <w:sz w:val="22"/>
        </w:rPr>
      </w:pPr>
      <w:hyperlink w:anchor="_Toc178961926" w:history="1">
        <w:r w:rsidRPr="00AF11F4">
          <w:rPr>
            <w:rStyle w:val="Hyperlink"/>
            <w:noProof/>
            <w:lang w:val="en-GB"/>
          </w:rPr>
          <w:t>Proposal 34</w:t>
        </w:r>
        <w:r>
          <w:rPr>
            <w:rFonts w:asciiTheme="minorHAnsi" w:eastAsiaTheme="minorEastAsia" w:hAnsiTheme="minorHAnsi"/>
            <w:b w:val="0"/>
            <w:noProof/>
            <w:sz w:val="22"/>
          </w:rPr>
          <w:tab/>
        </w:r>
        <w:r w:rsidRPr="00AF11F4">
          <w:rPr>
            <w:rStyle w:val="Hyperlink"/>
            <w:noProof/>
          </w:rPr>
          <w:t>RAN1 does not need to discuss further signalling to enable Part A data collection.  Measurement reporting is jointly discussed for training data collection and inference.</w:t>
        </w:r>
      </w:hyperlink>
    </w:p>
    <w:p w14:paraId="5C23F728" w14:textId="471C78D1" w:rsidR="00850DA1" w:rsidRDefault="00850DA1">
      <w:pPr>
        <w:pStyle w:val="TableofFigures"/>
        <w:tabs>
          <w:tab w:val="right" w:leader="dot" w:pos="9962"/>
        </w:tabs>
        <w:rPr>
          <w:rFonts w:asciiTheme="minorHAnsi" w:eastAsiaTheme="minorEastAsia" w:hAnsiTheme="minorHAnsi"/>
          <w:b w:val="0"/>
          <w:noProof/>
          <w:sz w:val="22"/>
        </w:rPr>
      </w:pPr>
      <w:hyperlink w:anchor="_Toc178961927" w:history="1">
        <w:r w:rsidRPr="00AF11F4">
          <w:rPr>
            <w:rStyle w:val="Hyperlink"/>
            <w:noProof/>
            <w:lang w:val="en-GB"/>
          </w:rPr>
          <w:t>Proposal 35</w:t>
        </w:r>
        <w:r>
          <w:rPr>
            <w:rFonts w:asciiTheme="minorHAnsi" w:eastAsiaTheme="minorEastAsia" w:hAnsiTheme="minorHAnsi"/>
            <w:b w:val="0"/>
            <w:noProof/>
            <w:sz w:val="22"/>
          </w:rPr>
          <w:tab/>
        </w:r>
        <w:r w:rsidRPr="00AF11F4">
          <w:rPr>
            <w:rStyle w:val="Hyperlink"/>
            <w:noProof/>
            <w:lang w:val="en-GB"/>
          </w:rPr>
          <w:t xml:space="preserve">For training data collection in all cases, the quality of timing measurements in Part A (PDP, DP) can reuse existing IE </w:t>
        </w:r>
        <w:r w:rsidRPr="00AF11F4">
          <w:rPr>
            <w:rStyle w:val="Hyperlink"/>
            <w:i/>
            <w:iCs/>
            <w:noProof/>
            <w:lang w:val="en-GB"/>
          </w:rPr>
          <w:t>NR-</w:t>
        </w:r>
        <w:r w:rsidRPr="00AF11F4">
          <w:rPr>
            <w:rStyle w:val="Hyperlink"/>
            <w:i/>
            <w:iCs/>
            <w:noProof/>
          </w:rPr>
          <w:t>TimingQuality</w:t>
        </w:r>
        <w:r w:rsidRPr="00AF11F4">
          <w:rPr>
            <w:rStyle w:val="Hyperlink"/>
            <w:noProof/>
            <w:lang w:val="en-GB"/>
          </w:rPr>
          <w:t>, which has resolution down to 0.1m.</w:t>
        </w:r>
      </w:hyperlink>
    </w:p>
    <w:p w14:paraId="6ACDB2C3" w14:textId="69A41238" w:rsidR="00850DA1" w:rsidRDefault="00850DA1">
      <w:pPr>
        <w:pStyle w:val="TableofFigures"/>
        <w:tabs>
          <w:tab w:val="right" w:leader="dot" w:pos="9962"/>
        </w:tabs>
        <w:rPr>
          <w:rFonts w:asciiTheme="minorHAnsi" w:eastAsiaTheme="minorEastAsia" w:hAnsiTheme="minorHAnsi"/>
          <w:b w:val="0"/>
          <w:noProof/>
          <w:sz w:val="22"/>
        </w:rPr>
      </w:pPr>
      <w:hyperlink w:anchor="_Toc178961928" w:history="1">
        <w:r w:rsidRPr="00AF11F4">
          <w:rPr>
            <w:rStyle w:val="Hyperlink"/>
            <w:noProof/>
            <w:lang w:val="en-GB"/>
          </w:rPr>
          <w:t>Proposal 36</w:t>
        </w:r>
        <w:r>
          <w:rPr>
            <w:rFonts w:asciiTheme="minorHAnsi" w:eastAsiaTheme="minorEastAsia" w:hAnsiTheme="minorHAnsi"/>
            <w:b w:val="0"/>
            <w:noProof/>
            <w:sz w:val="22"/>
          </w:rPr>
          <w:tab/>
        </w:r>
        <w:r w:rsidRPr="00AF11F4">
          <w:rPr>
            <w:rStyle w:val="Hyperlink"/>
            <w:noProof/>
            <w:lang w:val="en-GB"/>
          </w:rPr>
          <w:t>For training data collection in all cases, the quality of power measurements is provided for PDP in Part A in units of dB. The candidate resolution includes 0.1 dB and 1 dB.</w:t>
        </w:r>
      </w:hyperlink>
    </w:p>
    <w:p w14:paraId="704FDEFE" w14:textId="1D741E36" w:rsidR="00850DA1" w:rsidRDefault="00850DA1">
      <w:pPr>
        <w:pStyle w:val="TableofFigures"/>
        <w:tabs>
          <w:tab w:val="right" w:leader="dot" w:pos="9962"/>
        </w:tabs>
        <w:rPr>
          <w:rFonts w:asciiTheme="minorHAnsi" w:eastAsiaTheme="minorEastAsia" w:hAnsiTheme="minorHAnsi"/>
          <w:b w:val="0"/>
          <w:noProof/>
          <w:sz w:val="22"/>
        </w:rPr>
      </w:pPr>
      <w:hyperlink w:anchor="_Toc178961929" w:history="1">
        <w:r w:rsidRPr="00AF11F4">
          <w:rPr>
            <w:rStyle w:val="Hyperlink"/>
            <w:noProof/>
          </w:rPr>
          <w:t>Proposal 37</w:t>
        </w:r>
        <w:r>
          <w:rPr>
            <w:rFonts w:asciiTheme="minorHAnsi" w:eastAsiaTheme="minorEastAsia" w:hAnsiTheme="minorHAnsi"/>
            <w:b w:val="0"/>
            <w:noProof/>
            <w:sz w:val="22"/>
          </w:rPr>
          <w:tab/>
        </w:r>
        <w:r w:rsidRPr="00AF11F4">
          <w:rPr>
            <w:rStyle w:val="Hyperlink"/>
            <w:noProof/>
          </w:rPr>
          <w:t>Confirm the existing WAs on label generation for all cases and send the agreements to RAN2.</w:t>
        </w:r>
      </w:hyperlink>
    </w:p>
    <w:p w14:paraId="432AB5BA" w14:textId="43EF38F1" w:rsidR="00850DA1" w:rsidRDefault="00850DA1">
      <w:pPr>
        <w:pStyle w:val="TableofFigures"/>
        <w:tabs>
          <w:tab w:val="right" w:leader="dot" w:pos="9962"/>
        </w:tabs>
        <w:rPr>
          <w:rFonts w:asciiTheme="minorHAnsi" w:eastAsiaTheme="minorEastAsia" w:hAnsiTheme="minorHAnsi"/>
          <w:b w:val="0"/>
          <w:noProof/>
          <w:sz w:val="22"/>
        </w:rPr>
      </w:pPr>
      <w:hyperlink w:anchor="_Toc178961930" w:history="1">
        <w:r w:rsidRPr="00AF11F4">
          <w:rPr>
            <w:rStyle w:val="Hyperlink"/>
            <w:noProof/>
          </w:rPr>
          <w:t>Proposal 38</w:t>
        </w:r>
        <w:r>
          <w:rPr>
            <w:rFonts w:asciiTheme="minorHAnsi" w:eastAsiaTheme="minorEastAsia" w:hAnsiTheme="minorHAnsi"/>
            <w:b w:val="0"/>
            <w:noProof/>
            <w:sz w:val="22"/>
          </w:rPr>
          <w:tab/>
        </w:r>
        <w:r w:rsidRPr="00AF11F4">
          <w:rPr>
            <w:rStyle w:val="Hyperlink"/>
            <w:noProof/>
          </w:rPr>
          <w:t>From RAN1 perspective, the same label (UE location) and label quality (UE location uncertainty) are collected, irrespective of the type of model architecture (e.g., assisted or direct positioning) that may be selected by the model training entity.</w:t>
        </w:r>
      </w:hyperlink>
    </w:p>
    <w:p w14:paraId="588A795C" w14:textId="7D52AEA2" w:rsidR="00850DA1" w:rsidRDefault="00850DA1">
      <w:pPr>
        <w:pStyle w:val="TableofFigures"/>
        <w:tabs>
          <w:tab w:val="right" w:leader="dot" w:pos="9962"/>
        </w:tabs>
        <w:rPr>
          <w:rFonts w:asciiTheme="minorHAnsi" w:eastAsiaTheme="minorEastAsia" w:hAnsiTheme="minorHAnsi"/>
          <w:b w:val="0"/>
          <w:noProof/>
          <w:sz w:val="22"/>
        </w:rPr>
      </w:pPr>
      <w:hyperlink w:anchor="_Toc178961931" w:history="1">
        <w:r w:rsidRPr="00AF11F4">
          <w:rPr>
            <w:rStyle w:val="Hyperlink"/>
            <w:noProof/>
          </w:rPr>
          <w:t>Proposal 39</w:t>
        </w:r>
        <w:r>
          <w:rPr>
            <w:rFonts w:asciiTheme="minorHAnsi" w:eastAsiaTheme="minorEastAsia" w:hAnsiTheme="minorHAnsi"/>
            <w:b w:val="0"/>
            <w:noProof/>
            <w:sz w:val="22"/>
          </w:rPr>
          <w:tab/>
        </w:r>
        <w:r w:rsidRPr="00AF11F4">
          <w:rPr>
            <w:rStyle w:val="Hyperlink"/>
            <w:noProof/>
          </w:rPr>
          <w:t>For training data collection, the label quality for Part B reuse the existing uncertainty IEs for indicating UE location error, e.g., horizontalUncertainty-r16 and verticalUncertainty-r16.</w:t>
        </w:r>
      </w:hyperlink>
    </w:p>
    <w:p w14:paraId="535EA1A0" w14:textId="40FD656C" w:rsidR="00850DA1" w:rsidRDefault="00850DA1">
      <w:pPr>
        <w:pStyle w:val="TableofFigures"/>
        <w:tabs>
          <w:tab w:val="right" w:leader="dot" w:pos="9962"/>
        </w:tabs>
        <w:rPr>
          <w:rFonts w:asciiTheme="minorHAnsi" w:eastAsiaTheme="minorEastAsia" w:hAnsiTheme="minorHAnsi"/>
          <w:b w:val="0"/>
          <w:noProof/>
          <w:sz w:val="22"/>
        </w:rPr>
      </w:pPr>
      <w:hyperlink w:anchor="_Toc178961932" w:history="1">
        <w:r w:rsidRPr="00AF11F4">
          <w:rPr>
            <w:rStyle w:val="Hyperlink"/>
            <w:noProof/>
            <w:lang w:val="en-GB"/>
          </w:rPr>
          <w:t>Proposal 40</w:t>
        </w:r>
        <w:r>
          <w:rPr>
            <w:rFonts w:asciiTheme="minorHAnsi" w:eastAsiaTheme="minorEastAsia" w:hAnsiTheme="minorHAnsi"/>
            <w:b w:val="0"/>
            <w:noProof/>
            <w:sz w:val="22"/>
          </w:rPr>
          <w:tab/>
        </w:r>
        <w:r w:rsidRPr="00AF11F4">
          <w:rPr>
            <w:rStyle w:val="Hyperlink"/>
            <w:noProof/>
            <w:lang w:val="en-GB"/>
          </w:rPr>
          <w:t>A label provided by a LMF, PRU, or non-PRU UE can be attached with one or more timestamp, or a span of time stamps, for which the label is valid.</w:t>
        </w:r>
      </w:hyperlink>
    </w:p>
    <w:p w14:paraId="706B63D8" w14:textId="38326B30" w:rsidR="00850DA1" w:rsidRDefault="00850DA1">
      <w:pPr>
        <w:pStyle w:val="TableofFigures"/>
        <w:tabs>
          <w:tab w:val="right" w:leader="dot" w:pos="9962"/>
        </w:tabs>
        <w:rPr>
          <w:rFonts w:asciiTheme="minorHAnsi" w:eastAsiaTheme="minorEastAsia" w:hAnsiTheme="minorHAnsi"/>
          <w:b w:val="0"/>
          <w:noProof/>
          <w:sz w:val="22"/>
        </w:rPr>
      </w:pPr>
      <w:hyperlink w:anchor="_Toc178961933" w:history="1">
        <w:r w:rsidRPr="00AF11F4">
          <w:rPr>
            <w:rStyle w:val="Hyperlink"/>
            <w:noProof/>
          </w:rPr>
          <w:t>Proposal 41</w:t>
        </w:r>
        <w:r>
          <w:rPr>
            <w:rFonts w:asciiTheme="minorHAnsi" w:eastAsiaTheme="minorEastAsia" w:hAnsiTheme="minorHAnsi"/>
            <w:b w:val="0"/>
            <w:noProof/>
            <w:sz w:val="22"/>
          </w:rPr>
          <w:tab/>
        </w:r>
        <w:r w:rsidRPr="00AF11F4">
          <w:rPr>
            <w:rStyle w:val="Hyperlink"/>
            <w:noProof/>
          </w:rPr>
          <w:t>For training data collection of Case 1, in terms of DL PRS configuration for collecting training data, RAN1 concludes that the following options on assistance data, using legacy mechanisms, can be supported:</w:t>
        </w:r>
      </w:hyperlink>
    </w:p>
    <w:p w14:paraId="62E244CF" w14:textId="19514F10" w:rsidR="00850DA1" w:rsidRDefault="00850DA1">
      <w:pPr>
        <w:pStyle w:val="TableofFigures"/>
        <w:tabs>
          <w:tab w:val="right" w:leader="dot" w:pos="9962"/>
        </w:tabs>
        <w:rPr>
          <w:rFonts w:asciiTheme="minorHAnsi" w:eastAsiaTheme="minorEastAsia" w:hAnsiTheme="minorHAnsi"/>
          <w:b w:val="0"/>
          <w:noProof/>
          <w:sz w:val="22"/>
        </w:rPr>
      </w:pPr>
      <w:hyperlink w:anchor="_Toc178961934" w:history="1">
        <w:r w:rsidRPr="00AF11F4">
          <w:rPr>
            <w:rStyle w:val="Hyperlink"/>
            <w:rFonts w:ascii="Symbol" w:hAnsi="Symbol" w:cs="Arial"/>
            <w:noProof/>
          </w:rPr>
          <w:t></w:t>
        </w:r>
        <w:r>
          <w:rPr>
            <w:rFonts w:asciiTheme="minorHAnsi" w:eastAsiaTheme="minorEastAsia" w:hAnsiTheme="minorHAnsi"/>
            <w:b w:val="0"/>
            <w:noProof/>
            <w:sz w:val="22"/>
          </w:rPr>
          <w:tab/>
        </w:r>
        <w:r w:rsidRPr="00AF11F4">
          <w:rPr>
            <w:rStyle w:val="Hyperlink"/>
            <w:rFonts w:cs="Arial"/>
            <w:noProof/>
          </w:rPr>
          <w:t>Option A.  (UE initiated) UE makes a request to LMF on the preferred DL PRS configuration for training data collection, e.g., on-demand PRS. LMF makes the decision on determining the DL PRS configuration for training data collection and provides the assitance data to the UE.</w:t>
        </w:r>
      </w:hyperlink>
    </w:p>
    <w:p w14:paraId="1D76B668" w14:textId="067CAFAC" w:rsidR="00850DA1" w:rsidRDefault="00850DA1">
      <w:pPr>
        <w:pStyle w:val="TableofFigures"/>
        <w:tabs>
          <w:tab w:val="right" w:leader="dot" w:pos="9962"/>
        </w:tabs>
        <w:rPr>
          <w:rFonts w:asciiTheme="minorHAnsi" w:eastAsiaTheme="minorEastAsia" w:hAnsiTheme="minorHAnsi"/>
          <w:b w:val="0"/>
          <w:noProof/>
          <w:sz w:val="22"/>
        </w:rPr>
      </w:pPr>
      <w:hyperlink w:anchor="_Toc178961935" w:history="1">
        <w:r w:rsidRPr="00AF11F4">
          <w:rPr>
            <w:rStyle w:val="Hyperlink"/>
            <w:rFonts w:ascii="Symbol" w:hAnsi="Symbol" w:cs="Arial"/>
            <w:noProof/>
          </w:rPr>
          <w:t></w:t>
        </w:r>
        <w:r>
          <w:rPr>
            <w:rFonts w:asciiTheme="minorHAnsi" w:eastAsiaTheme="minorEastAsia" w:hAnsiTheme="minorHAnsi"/>
            <w:b w:val="0"/>
            <w:noProof/>
            <w:sz w:val="22"/>
          </w:rPr>
          <w:tab/>
        </w:r>
        <w:r w:rsidRPr="00AF11F4">
          <w:rPr>
            <w:rStyle w:val="Hyperlink"/>
            <w:rFonts w:cs="Arial"/>
            <w:noProof/>
          </w:rPr>
          <w:t>Option B.  (LMF initiated) LMF determines the DL PRS configuration for training data collection and provides the assistance data to the UE.</w:t>
        </w:r>
      </w:hyperlink>
    </w:p>
    <w:p w14:paraId="6E407B43" w14:textId="6481E7CE" w:rsidR="00850DA1" w:rsidRDefault="00850DA1">
      <w:pPr>
        <w:pStyle w:val="TableofFigures"/>
        <w:tabs>
          <w:tab w:val="right" w:leader="dot" w:pos="9962"/>
        </w:tabs>
        <w:rPr>
          <w:rFonts w:asciiTheme="minorHAnsi" w:eastAsiaTheme="minorEastAsia" w:hAnsiTheme="minorHAnsi"/>
          <w:b w:val="0"/>
          <w:noProof/>
          <w:sz w:val="22"/>
        </w:rPr>
      </w:pPr>
      <w:hyperlink w:anchor="_Toc178961936" w:history="1">
        <w:r w:rsidRPr="00AF11F4">
          <w:rPr>
            <w:rStyle w:val="Hyperlink"/>
            <w:noProof/>
          </w:rPr>
          <w:t>Proposal 42</w:t>
        </w:r>
        <w:r>
          <w:rPr>
            <w:rFonts w:asciiTheme="minorHAnsi" w:eastAsiaTheme="minorEastAsia" w:hAnsiTheme="minorHAnsi"/>
            <w:b w:val="0"/>
            <w:noProof/>
            <w:sz w:val="22"/>
          </w:rPr>
          <w:tab/>
        </w:r>
        <w:r w:rsidRPr="00AF11F4">
          <w:rPr>
            <w:rStyle w:val="Hyperlink"/>
            <w:noProof/>
          </w:rPr>
          <w:t>The training dataset is attached with metadata which describes the context information on the set of collected training data samples.</w:t>
        </w:r>
      </w:hyperlink>
    </w:p>
    <w:p w14:paraId="3AC59E1E" w14:textId="23A26159" w:rsidR="00850DA1" w:rsidRDefault="00850DA1">
      <w:pPr>
        <w:pStyle w:val="TableofFigures"/>
        <w:tabs>
          <w:tab w:val="right" w:leader="dot" w:pos="9962"/>
        </w:tabs>
        <w:rPr>
          <w:rFonts w:asciiTheme="minorHAnsi" w:eastAsiaTheme="minorEastAsia" w:hAnsiTheme="minorHAnsi"/>
          <w:b w:val="0"/>
          <w:noProof/>
          <w:sz w:val="22"/>
        </w:rPr>
      </w:pPr>
      <w:hyperlink w:anchor="_Toc178961937" w:history="1">
        <w:r w:rsidRPr="00AF11F4">
          <w:rPr>
            <w:rStyle w:val="Hyperlink"/>
            <w:noProof/>
          </w:rPr>
          <w:t>Proposal 43</w:t>
        </w:r>
        <w:r>
          <w:rPr>
            <w:rFonts w:asciiTheme="minorHAnsi" w:eastAsiaTheme="minorEastAsia" w:hAnsiTheme="minorHAnsi"/>
            <w:b w:val="0"/>
            <w:noProof/>
            <w:sz w:val="22"/>
          </w:rPr>
          <w:tab/>
        </w:r>
        <w:r w:rsidRPr="00AF11F4">
          <w:rPr>
            <w:rStyle w:val="Hyperlink"/>
            <w:noProof/>
          </w:rPr>
          <w:t>For training data collection of Part A, the metadata includes: Group 1 for assistance data, Group 2 for signal measurement configuration, and Group 3 for measurement environment condition and quality.</w:t>
        </w:r>
      </w:hyperlink>
    </w:p>
    <w:p w14:paraId="4A4FCA93" w14:textId="0D65759D" w:rsidR="00850DA1" w:rsidRDefault="00850DA1">
      <w:pPr>
        <w:pStyle w:val="TableofFigures"/>
        <w:tabs>
          <w:tab w:val="right" w:leader="dot" w:pos="9962"/>
        </w:tabs>
        <w:rPr>
          <w:rFonts w:asciiTheme="minorHAnsi" w:eastAsiaTheme="minorEastAsia" w:hAnsiTheme="minorHAnsi"/>
          <w:b w:val="0"/>
          <w:noProof/>
          <w:sz w:val="22"/>
        </w:rPr>
      </w:pPr>
      <w:hyperlink w:anchor="_Toc178961938" w:history="1">
        <w:r w:rsidRPr="00AF11F4">
          <w:rPr>
            <w:rStyle w:val="Hyperlink"/>
            <w:noProof/>
          </w:rPr>
          <w:t>Proposal 44</w:t>
        </w:r>
        <w:r>
          <w:rPr>
            <w:rFonts w:asciiTheme="minorHAnsi" w:eastAsiaTheme="minorEastAsia" w:hAnsiTheme="minorHAnsi"/>
            <w:b w:val="0"/>
            <w:noProof/>
            <w:sz w:val="22"/>
          </w:rPr>
          <w:tab/>
        </w:r>
        <w:r w:rsidRPr="00AF11F4">
          <w:rPr>
            <w:rStyle w:val="Hyperlink"/>
            <w:noProof/>
          </w:rPr>
          <w:t>RAN1 to study the details of Group 3 metadata to attach to training dataset, including:</w:t>
        </w:r>
      </w:hyperlink>
    </w:p>
    <w:p w14:paraId="721B55E5" w14:textId="10BB4D93" w:rsidR="00850DA1" w:rsidRDefault="00850DA1">
      <w:pPr>
        <w:pStyle w:val="TableofFigures"/>
        <w:tabs>
          <w:tab w:val="right" w:leader="dot" w:pos="9962"/>
        </w:tabs>
        <w:rPr>
          <w:rFonts w:asciiTheme="minorHAnsi" w:eastAsiaTheme="minorEastAsia" w:hAnsiTheme="minorHAnsi"/>
          <w:b w:val="0"/>
          <w:noProof/>
          <w:sz w:val="22"/>
        </w:rPr>
      </w:pPr>
      <w:hyperlink w:anchor="_Toc178961939"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Range of SNR/SINR</w:t>
        </w:r>
      </w:hyperlink>
    </w:p>
    <w:p w14:paraId="1DBB32FF" w14:textId="7B2B5D99" w:rsidR="00850DA1" w:rsidRDefault="00850DA1">
      <w:pPr>
        <w:pStyle w:val="TableofFigures"/>
        <w:tabs>
          <w:tab w:val="right" w:leader="dot" w:pos="9962"/>
        </w:tabs>
        <w:rPr>
          <w:rFonts w:asciiTheme="minorHAnsi" w:eastAsiaTheme="minorEastAsia" w:hAnsiTheme="minorHAnsi"/>
          <w:b w:val="0"/>
          <w:noProof/>
          <w:sz w:val="22"/>
        </w:rPr>
      </w:pPr>
      <w:hyperlink w:anchor="_Toc178961940"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Range of Channel estimation error</w:t>
        </w:r>
      </w:hyperlink>
    </w:p>
    <w:p w14:paraId="31A01D68" w14:textId="67CA9263" w:rsidR="00850DA1" w:rsidRDefault="00850DA1">
      <w:pPr>
        <w:pStyle w:val="TableofFigures"/>
        <w:tabs>
          <w:tab w:val="right" w:leader="dot" w:pos="9962"/>
        </w:tabs>
        <w:rPr>
          <w:rFonts w:asciiTheme="minorHAnsi" w:eastAsiaTheme="minorEastAsia" w:hAnsiTheme="minorHAnsi"/>
          <w:b w:val="0"/>
          <w:noProof/>
          <w:sz w:val="22"/>
        </w:rPr>
      </w:pPr>
      <w:hyperlink w:anchor="_Toc178961941"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Range of NW synchronization error</w:t>
        </w:r>
      </w:hyperlink>
    </w:p>
    <w:p w14:paraId="6694DE2B" w14:textId="0B1079BE" w:rsidR="00850DA1" w:rsidRDefault="00850DA1">
      <w:pPr>
        <w:pStyle w:val="TableofFigures"/>
        <w:tabs>
          <w:tab w:val="right" w:leader="dot" w:pos="9962"/>
        </w:tabs>
        <w:rPr>
          <w:rFonts w:asciiTheme="minorHAnsi" w:eastAsiaTheme="minorEastAsia" w:hAnsiTheme="minorHAnsi"/>
          <w:b w:val="0"/>
          <w:noProof/>
          <w:sz w:val="22"/>
        </w:rPr>
      </w:pPr>
      <w:hyperlink w:anchor="_Toc178961942" w:history="1">
        <w:r w:rsidRPr="00AF11F4">
          <w:rPr>
            <w:rStyle w:val="Hyperlink"/>
            <w:rFonts w:ascii="Symbol" w:hAnsi="Symbol"/>
            <w:noProof/>
          </w:rPr>
          <w:t></w:t>
        </w:r>
        <w:r>
          <w:rPr>
            <w:rFonts w:asciiTheme="minorHAnsi" w:eastAsiaTheme="minorEastAsia" w:hAnsiTheme="minorHAnsi"/>
            <w:b w:val="0"/>
            <w:noProof/>
            <w:sz w:val="22"/>
          </w:rPr>
          <w:tab/>
        </w:r>
        <w:r w:rsidRPr="00AF11F4">
          <w:rPr>
            <w:rStyle w:val="Hyperlink"/>
            <w:noProof/>
          </w:rPr>
          <w:t>Range of UE/gNB RX and TX timing error</w:t>
        </w:r>
      </w:hyperlink>
    </w:p>
    <w:p w14:paraId="781C0B15" w14:textId="371A4F14" w:rsidR="00850DA1" w:rsidRDefault="00850DA1">
      <w:pPr>
        <w:pStyle w:val="TableofFigures"/>
        <w:tabs>
          <w:tab w:val="right" w:leader="dot" w:pos="9962"/>
        </w:tabs>
        <w:rPr>
          <w:rFonts w:asciiTheme="minorHAnsi" w:eastAsiaTheme="minorEastAsia" w:hAnsiTheme="minorHAnsi"/>
          <w:b w:val="0"/>
          <w:noProof/>
          <w:sz w:val="22"/>
        </w:rPr>
      </w:pPr>
      <w:hyperlink w:anchor="_Toc178961943" w:history="1">
        <w:r w:rsidRPr="00AF11F4">
          <w:rPr>
            <w:rStyle w:val="Hyperlink"/>
            <w:noProof/>
          </w:rPr>
          <w:t>Proposal 45</w:t>
        </w:r>
        <w:r>
          <w:rPr>
            <w:rFonts w:asciiTheme="minorHAnsi" w:eastAsiaTheme="minorEastAsia" w:hAnsiTheme="minorHAnsi"/>
            <w:b w:val="0"/>
            <w:noProof/>
            <w:sz w:val="22"/>
          </w:rPr>
          <w:tab/>
        </w:r>
        <w:r w:rsidRPr="00AF11F4">
          <w:rPr>
            <w:rStyle w:val="Hyperlink"/>
            <w:noProof/>
          </w:rPr>
          <w:t>The training dataset validity area is recorded as a part of metadata of the training dataset. The validity area can be defined as a list of TRPs where data is collected.</w:t>
        </w:r>
      </w:hyperlink>
    </w:p>
    <w:p w14:paraId="66E2214F" w14:textId="66DF0933" w:rsidR="00850DA1" w:rsidRDefault="00850DA1">
      <w:pPr>
        <w:pStyle w:val="TableofFigures"/>
        <w:tabs>
          <w:tab w:val="right" w:leader="dot" w:pos="9962"/>
        </w:tabs>
        <w:rPr>
          <w:rFonts w:asciiTheme="minorHAnsi" w:eastAsiaTheme="minorEastAsia" w:hAnsiTheme="minorHAnsi"/>
          <w:b w:val="0"/>
          <w:noProof/>
          <w:sz w:val="22"/>
        </w:rPr>
      </w:pPr>
      <w:hyperlink w:anchor="_Toc178961944" w:history="1">
        <w:r w:rsidRPr="00AF11F4">
          <w:rPr>
            <w:rStyle w:val="Hyperlink"/>
            <w:noProof/>
          </w:rPr>
          <w:t>Proposal 46</w:t>
        </w:r>
        <w:r>
          <w:rPr>
            <w:rFonts w:asciiTheme="minorHAnsi" w:eastAsiaTheme="minorEastAsia" w:hAnsiTheme="minorHAnsi"/>
            <w:b w:val="0"/>
            <w:noProof/>
            <w:sz w:val="22"/>
          </w:rPr>
          <w:tab/>
        </w:r>
        <w:r w:rsidRPr="00AF11F4">
          <w:rPr>
            <w:rStyle w:val="Hyperlink"/>
            <w:noProof/>
          </w:rPr>
          <w:t>Training data provided to UE/gNB is organized with the same hierarchy as for legacy assistance data, i.e. per TRP/frequency layers for the UE, and per TRP for the gNB assistance data.</w:t>
        </w:r>
      </w:hyperlink>
    </w:p>
    <w:p w14:paraId="0C24B722" w14:textId="259E754F" w:rsidR="00850DA1" w:rsidRDefault="00850DA1">
      <w:pPr>
        <w:pStyle w:val="TableofFigures"/>
        <w:tabs>
          <w:tab w:val="right" w:leader="dot" w:pos="9962"/>
        </w:tabs>
        <w:rPr>
          <w:rFonts w:asciiTheme="minorHAnsi" w:eastAsiaTheme="minorEastAsia" w:hAnsiTheme="minorHAnsi"/>
          <w:b w:val="0"/>
          <w:noProof/>
          <w:sz w:val="22"/>
        </w:rPr>
      </w:pPr>
      <w:hyperlink w:anchor="_Toc178961945" w:history="1">
        <w:r w:rsidRPr="00AF11F4">
          <w:rPr>
            <w:rStyle w:val="Hyperlink"/>
            <w:noProof/>
          </w:rPr>
          <w:t>Proposal 47</w:t>
        </w:r>
        <w:r>
          <w:rPr>
            <w:rFonts w:asciiTheme="minorHAnsi" w:eastAsiaTheme="minorEastAsia" w:hAnsiTheme="minorHAnsi"/>
            <w:b w:val="0"/>
            <w:noProof/>
            <w:sz w:val="22"/>
          </w:rPr>
          <w:tab/>
        </w:r>
        <w:r w:rsidRPr="00AF11F4">
          <w:rPr>
            <w:rStyle w:val="Hyperlink"/>
            <w:noProof/>
          </w:rPr>
          <w:t>Support the LMF to provide a PRS assistance data, including PRS configuration and validity area, for metadata of UE-side training data collection.</w:t>
        </w:r>
      </w:hyperlink>
    </w:p>
    <w:p w14:paraId="7792483F" w14:textId="6B2D0D86" w:rsidR="00850DA1" w:rsidRDefault="00850DA1">
      <w:pPr>
        <w:pStyle w:val="TableofFigures"/>
        <w:tabs>
          <w:tab w:val="right" w:leader="dot" w:pos="9962"/>
        </w:tabs>
        <w:rPr>
          <w:rFonts w:asciiTheme="minorHAnsi" w:eastAsiaTheme="minorEastAsia" w:hAnsiTheme="minorHAnsi"/>
          <w:b w:val="0"/>
          <w:noProof/>
          <w:sz w:val="22"/>
        </w:rPr>
      </w:pPr>
      <w:hyperlink w:anchor="_Toc178961946" w:history="1">
        <w:r w:rsidRPr="00AF11F4">
          <w:rPr>
            <w:rStyle w:val="Hyperlink"/>
            <w:noProof/>
          </w:rPr>
          <w:t>Proposal 48</w:t>
        </w:r>
        <w:r>
          <w:rPr>
            <w:rFonts w:asciiTheme="minorHAnsi" w:eastAsiaTheme="minorEastAsia" w:hAnsiTheme="minorHAnsi"/>
            <w:b w:val="0"/>
            <w:noProof/>
            <w:sz w:val="22"/>
          </w:rPr>
          <w:tab/>
        </w:r>
        <w:r w:rsidRPr="00AF11F4">
          <w:rPr>
            <w:rStyle w:val="Hyperlink"/>
            <w:noProof/>
          </w:rPr>
          <w:t xml:space="preserve">For Part A training data collection of Case 1/2a, the assistance data include: PRS assistance data validity area, PRS assistance data (as in the existing IE </w:t>
        </w:r>
        <w:r w:rsidRPr="00AF11F4">
          <w:rPr>
            <w:rStyle w:val="Hyperlink"/>
            <w:i/>
            <w:noProof/>
          </w:rPr>
          <w:t>NR-DL-PRS-AssistanceData</w:t>
        </w:r>
        <w:r w:rsidRPr="00AF11F4">
          <w:rPr>
            <w:rStyle w:val="Hyperlink"/>
            <w:noProof/>
          </w:rPr>
          <w:t>), and associated ID for additional network conditions. Corresponding assistance data is sent during model inference as well.</w:t>
        </w:r>
      </w:hyperlink>
    </w:p>
    <w:p w14:paraId="41EAA23B" w14:textId="7657BFFE" w:rsidR="00850DA1" w:rsidRDefault="00850DA1">
      <w:pPr>
        <w:pStyle w:val="TableofFigures"/>
        <w:tabs>
          <w:tab w:val="right" w:leader="dot" w:pos="9962"/>
        </w:tabs>
        <w:rPr>
          <w:rFonts w:asciiTheme="minorHAnsi" w:eastAsiaTheme="minorEastAsia" w:hAnsiTheme="minorHAnsi"/>
          <w:b w:val="0"/>
          <w:noProof/>
          <w:sz w:val="22"/>
        </w:rPr>
      </w:pPr>
      <w:hyperlink w:anchor="_Toc178961947" w:history="1">
        <w:r w:rsidRPr="00AF11F4">
          <w:rPr>
            <w:rStyle w:val="Hyperlink"/>
            <w:noProof/>
          </w:rPr>
          <w:t>Proposal 49</w:t>
        </w:r>
        <w:r>
          <w:rPr>
            <w:rFonts w:asciiTheme="minorHAnsi" w:eastAsiaTheme="minorEastAsia" w:hAnsiTheme="minorHAnsi"/>
            <w:b w:val="0"/>
            <w:noProof/>
            <w:sz w:val="22"/>
          </w:rPr>
          <w:tab/>
        </w:r>
        <w:r w:rsidRPr="00AF11F4">
          <w:rPr>
            <w:rStyle w:val="Hyperlink"/>
            <w:noProof/>
          </w:rPr>
          <w:t>The assistance data required for PRS/SRS reception is the same across all use cases for both direct and AI/ML assisted positioning.</w:t>
        </w:r>
      </w:hyperlink>
    </w:p>
    <w:p w14:paraId="615E8953" w14:textId="44220A95" w:rsidR="00850DA1" w:rsidRDefault="00850DA1">
      <w:pPr>
        <w:pStyle w:val="TableofFigures"/>
        <w:tabs>
          <w:tab w:val="right" w:leader="dot" w:pos="9962"/>
        </w:tabs>
        <w:rPr>
          <w:rFonts w:asciiTheme="minorHAnsi" w:eastAsiaTheme="minorEastAsia" w:hAnsiTheme="minorHAnsi"/>
          <w:b w:val="0"/>
          <w:noProof/>
          <w:sz w:val="22"/>
        </w:rPr>
      </w:pPr>
      <w:hyperlink w:anchor="_Toc178961948" w:history="1">
        <w:r w:rsidRPr="00AF11F4">
          <w:rPr>
            <w:rStyle w:val="Hyperlink"/>
            <w:noProof/>
          </w:rPr>
          <w:t>Proposal 50</w:t>
        </w:r>
        <w:r>
          <w:rPr>
            <w:rFonts w:asciiTheme="minorHAnsi" w:eastAsiaTheme="minorEastAsia" w:hAnsiTheme="minorHAnsi"/>
            <w:b w:val="0"/>
            <w:noProof/>
            <w:sz w:val="22"/>
          </w:rPr>
          <w:tab/>
        </w:r>
        <w:r w:rsidRPr="00AF11F4">
          <w:rPr>
            <w:rStyle w:val="Hyperlink"/>
            <w:noProof/>
          </w:rPr>
          <w:t>For AI/ML based positioning, support self-monitoring by model inference entity as a baseline. Furthermore, self-contained monitoring is preferred, where no estimated label needs to be signaled from external entities. Only when necessary, introduce signaling to provide information on ground truth label to the model inference entity.</w:t>
        </w:r>
      </w:hyperlink>
    </w:p>
    <w:p w14:paraId="02C71178" w14:textId="46DFC1F6" w:rsidR="00850DA1" w:rsidRDefault="00850DA1">
      <w:pPr>
        <w:pStyle w:val="TableofFigures"/>
        <w:tabs>
          <w:tab w:val="right" w:leader="dot" w:pos="9962"/>
        </w:tabs>
        <w:rPr>
          <w:rFonts w:asciiTheme="minorHAnsi" w:eastAsiaTheme="minorEastAsia" w:hAnsiTheme="minorHAnsi"/>
          <w:b w:val="0"/>
          <w:noProof/>
          <w:sz w:val="22"/>
        </w:rPr>
      </w:pPr>
      <w:hyperlink w:anchor="_Toc178961949" w:history="1">
        <w:r w:rsidRPr="00AF11F4">
          <w:rPr>
            <w:rStyle w:val="Hyperlink"/>
            <w:noProof/>
          </w:rPr>
          <w:t>Proposal 51</w:t>
        </w:r>
        <w:r>
          <w:rPr>
            <w:rFonts w:asciiTheme="minorHAnsi" w:eastAsiaTheme="minorEastAsia" w:hAnsiTheme="minorHAnsi"/>
            <w:b w:val="0"/>
            <w:noProof/>
            <w:sz w:val="22"/>
          </w:rPr>
          <w:tab/>
        </w:r>
        <w:r w:rsidRPr="00AF11F4">
          <w:rPr>
            <w:rStyle w:val="Hyperlink"/>
            <w:noProof/>
          </w:rPr>
          <w:t>The model inference entity is responsible for model-level performance monitoring and management, including calculation of model monitoring metrics. The detailed algorithm and procedure are up to implementation.</w:t>
        </w:r>
      </w:hyperlink>
    </w:p>
    <w:p w14:paraId="29F5D3AE" w14:textId="35820F85" w:rsidR="00850DA1" w:rsidRDefault="00850DA1">
      <w:pPr>
        <w:pStyle w:val="TableofFigures"/>
        <w:tabs>
          <w:tab w:val="right" w:leader="dot" w:pos="9962"/>
        </w:tabs>
        <w:rPr>
          <w:rFonts w:asciiTheme="minorHAnsi" w:eastAsiaTheme="minorEastAsia" w:hAnsiTheme="minorHAnsi"/>
          <w:b w:val="0"/>
          <w:noProof/>
          <w:sz w:val="22"/>
        </w:rPr>
      </w:pPr>
      <w:hyperlink w:anchor="_Toc178961950" w:history="1">
        <w:r w:rsidRPr="00AF11F4">
          <w:rPr>
            <w:rStyle w:val="Hyperlink"/>
            <w:noProof/>
          </w:rPr>
          <w:t>Proposal 52</w:t>
        </w:r>
        <w:r>
          <w:rPr>
            <w:rFonts w:asciiTheme="minorHAnsi" w:eastAsiaTheme="minorEastAsia" w:hAnsiTheme="minorHAnsi"/>
            <w:b w:val="0"/>
            <w:noProof/>
            <w:sz w:val="22"/>
          </w:rPr>
          <w:tab/>
        </w:r>
        <w:r w:rsidRPr="00AF11F4">
          <w:rPr>
            <w:rStyle w:val="Hyperlink"/>
            <w:noProof/>
          </w:rPr>
          <w:t>For model inference at UE (Case 1, 2a) or gNB (Case 3a), the LMF can provide assistance information to support the calculation of model monitoring metrics.</w:t>
        </w:r>
      </w:hyperlink>
    </w:p>
    <w:p w14:paraId="56C67EB2" w14:textId="0A3E7D57" w:rsidR="00850DA1" w:rsidRDefault="00850DA1">
      <w:pPr>
        <w:pStyle w:val="TableofFigures"/>
        <w:tabs>
          <w:tab w:val="right" w:leader="dot" w:pos="9962"/>
        </w:tabs>
        <w:rPr>
          <w:rFonts w:asciiTheme="minorHAnsi" w:eastAsiaTheme="minorEastAsia" w:hAnsiTheme="minorHAnsi"/>
          <w:b w:val="0"/>
          <w:noProof/>
          <w:sz w:val="22"/>
        </w:rPr>
      </w:pPr>
      <w:hyperlink w:anchor="_Toc178961951" w:history="1">
        <w:r w:rsidRPr="00AF11F4">
          <w:rPr>
            <w:rStyle w:val="Hyperlink"/>
            <w:noProof/>
          </w:rPr>
          <w:t>Proposal 53</w:t>
        </w:r>
        <w:r>
          <w:rPr>
            <w:rFonts w:asciiTheme="minorHAnsi" w:eastAsiaTheme="minorEastAsia" w:hAnsiTheme="minorHAnsi"/>
            <w:b w:val="0"/>
            <w:noProof/>
            <w:sz w:val="22"/>
          </w:rPr>
          <w:tab/>
        </w:r>
        <w:r w:rsidRPr="00AF11F4">
          <w:rPr>
            <w:rStyle w:val="Hyperlink"/>
            <w:noProof/>
          </w:rPr>
          <w:t>For AI/ML based positioning, LMF is responsible for functionality-level performance monitoring and management.</w:t>
        </w:r>
      </w:hyperlink>
    </w:p>
    <w:p w14:paraId="17F76442" w14:textId="35EAA423" w:rsidR="00850DA1" w:rsidRDefault="00850DA1">
      <w:pPr>
        <w:pStyle w:val="TableofFigures"/>
        <w:tabs>
          <w:tab w:val="right" w:leader="dot" w:pos="9962"/>
        </w:tabs>
        <w:rPr>
          <w:rFonts w:asciiTheme="minorHAnsi" w:eastAsiaTheme="minorEastAsia" w:hAnsiTheme="minorHAnsi"/>
          <w:b w:val="0"/>
          <w:noProof/>
          <w:sz w:val="22"/>
        </w:rPr>
      </w:pPr>
      <w:hyperlink w:anchor="_Toc178961952" w:history="1">
        <w:r w:rsidRPr="00AF11F4">
          <w:rPr>
            <w:rStyle w:val="Hyperlink"/>
            <w:noProof/>
            <w:lang w:eastAsia="ja-JP"/>
          </w:rPr>
          <w:t>Proposal 54</w:t>
        </w:r>
        <w:r>
          <w:rPr>
            <w:rFonts w:asciiTheme="minorHAnsi" w:eastAsiaTheme="minorEastAsia" w:hAnsiTheme="minorHAnsi"/>
            <w:b w:val="0"/>
            <w:noProof/>
            <w:sz w:val="22"/>
          </w:rPr>
          <w:tab/>
        </w:r>
        <w:r w:rsidRPr="00AF11F4">
          <w:rPr>
            <w:rStyle w:val="Hyperlink"/>
            <w:noProof/>
          </w:rPr>
          <w:t>For model performance monitoring of AI/ML positioning Case 1, support Option A-1 and A-2 for model performance monitoring metric calculation, if estimated label is considered necessary to be provided by an external entity (which is LMF for Case 1).</w:t>
        </w:r>
      </w:hyperlink>
    </w:p>
    <w:p w14:paraId="08CDF98B" w14:textId="0CB333D7" w:rsidR="00850DA1" w:rsidRDefault="00850DA1">
      <w:pPr>
        <w:pStyle w:val="TableofFigures"/>
        <w:tabs>
          <w:tab w:val="right" w:leader="dot" w:pos="9962"/>
        </w:tabs>
        <w:rPr>
          <w:rFonts w:asciiTheme="minorHAnsi" w:eastAsiaTheme="minorEastAsia" w:hAnsiTheme="minorHAnsi"/>
          <w:b w:val="0"/>
          <w:noProof/>
          <w:sz w:val="22"/>
        </w:rPr>
      </w:pPr>
      <w:hyperlink w:anchor="_Toc178961953" w:history="1">
        <w:r w:rsidRPr="00AF11F4">
          <w:rPr>
            <w:rStyle w:val="Hyperlink"/>
            <w:noProof/>
          </w:rPr>
          <w:t>Proposal 55</w:t>
        </w:r>
        <w:r>
          <w:rPr>
            <w:rFonts w:asciiTheme="minorHAnsi" w:eastAsiaTheme="minorEastAsia" w:hAnsiTheme="minorHAnsi"/>
            <w:b w:val="0"/>
            <w:noProof/>
            <w:sz w:val="22"/>
          </w:rPr>
          <w:tab/>
        </w:r>
        <w:r w:rsidRPr="00AF11F4">
          <w:rPr>
            <w:rStyle w:val="Hyperlink"/>
            <w:noProof/>
          </w:rPr>
          <w:t>For both direct and assisted AI/ML positioning, the model inference entity is the core entity that performs continuous model monitoring itself, including calculation of model monitoring metrics.</w:t>
        </w:r>
      </w:hyperlink>
    </w:p>
    <w:p w14:paraId="60EAFA7F" w14:textId="7693FC9A" w:rsidR="00850DA1" w:rsidRDefault="00850DA1">
      <w:pPr>
        <w:pStyle w:val="TableofFigures"/>
        <w:tabs>
          <w:tab w:val="right" w:leader="dot" w:pos="9962"/>
        </w:tabs>
        <w:rPr>
          <w:rFonts w:asciiTheme="minorHAnsi" w:eastAsiaTheme="minorEastAsia" w:hAnsiTheme="minorHAnsi"/>
          <w:b w:val="0"/>
          <w:noProof/>
          <w:sz w:val="22"/>
        </w:rPr>
      </w:pPr>
      <w:hyperlink w:anchor="_Toc178961954" w:history="1">
        <w:r w:rsidRPr="00AF11F4">
          <w:rPr>
            <w:rStyle w:val="Hyperlink"/>
            <w:noProof/>
          </w:rPr>
          <w:t>Proposal 56</w:t>
        </w:r>
        <w:r>
          <w:rPr>
            <w:rFonts w:asciiTheme="minorHAnsi" w:eastAsiaTheme="minorEastAsia" w:hAnsiTheme="minorHAnsi"/>
            <w:b w:val="0"/>
            <w:noProof/>
            <w:sz w:val="22"/>
          </w:rPr>
          <w:tab/>
        </w:r>
        <w:r w:rsidRPr="00AF11F4">
          <w:rPr>
            <w:rStyle w:val="Hyperlink"/>
            <w:noProof/>
          </w:rPr>
          <w:t>For Case 1/3a, the target UE (Case 1) and gNB (Case 3a) makes the model management decision and recommendation as a result of model performance monitoring. The target UE and gNB sends its model management decision and recommendation to LMF, e.g., failure cause values as in the positioning framework.</w:t>
        </w:r>
      </w:hyperlink>
    </w:p>
    <w:p w14:paraId="3198D266" w14:textId="2F37DC96" w:rsidR="00850DA1" w:rsidRDefault="00850DA1">
      <w:pPr>
        <w:pStyle w:val="TableofFigures"/>
        <w:tabs>
          <w:tab w:val="right" w:leader="dot" w:pos="9962"/>
        </w:tabs>
        <w:rPr>
          <w:rFonts w:asciiTheme="minorHAnsi" w:eastAsiaTheme="minorEastAsia" w:hAnsiTheme="minorHAnsi"/>
          <w:b w:val="0"/>
          <w:noProof/>
          <w:sz w:val="22"/>
        </w:rPr>
      </w:pPr>
      <w:hyperlink w:anchor="_Toc178961955" w:history="1">
        <w:r w:rsidRPr="00AF11F4">
          <w:rPr>
            <w:rStyle w:val="Hyperlink"/>
            <w:noProof/>
          </w:rPr>
          <w:t>Proposal 57</w:t>
        </w:r>
        <w:r>
          <w:rPr>
            <w:rFonts w:asciiTheme="minorHAnsi" w:eastAsiaTheme="minorEastAsia" w:hAnsiTheme="minorHAnsi"/>
            <w:b w:val="0"/>
            <w:noProof/>
            <w:sz w:val="22"/>
          </w:rPr>
          <w:tab/>
        </w:r>
        <w:r w:rsidRPr="00AF11F4">
          <w:rPr>
            <w:rStyle w:val="Hyperlink"/>
            <w:noProof/>
          </w:rPr>
          <w:t>For Case 1/3a, LMF make functionality-level decisions, including whether to activate or deactivate AI/ML positioning, and which AI/ML positioning method to use.</w:t>
        </w:r>
      </w:hyperlink>
    </w:p>
    <w:p w14:paraId="4ECC5AFC" w14:textId="2A2A68FE" w:rsidR="00850DA1" w:rsidRDefault="00850DA1">
      <w:pPr>
        <w:pStyle w:val="TableofFigures"/>
        <w:tabs>
          <w:tab w:val="right" w:leader="dot" w:pos="9962"/>
        </w:tabs>
        <w:rPr>
          <w:rFonts w:asciiTheme="minorHAnsi" w:eastAsiaTheme="minorEastAsia" w:hAnsiTheme="minorHAnsi"/>
          <w:b w:val="0"/>
          <w:noProof/>
          <w:sz w:val="22"/>
        </w:rPr>
      </w:pPr>
      <w:hyperlink w:anchor="_Toc178961956" w:history="1">
        <w:r w:rsidRPr="00AF11F4">
          <w:rPr>
            <w:rStyle w:val="Hyperlink"/>
            <w:noProof/>
          </w:rPr>
          <w:t>Proposal 58</w:t>
        </w:r>
        <w:r>
          <w:rPr>
            <w:rFonts w:asciiTheme="minorHAnsi" w:eastAsiaTheme="minorEastAsia" w:hAnsiTheme="minorHAnsi"/>
            <w:b w:val="0"/>
            <w:noProof/>
            <w:sz w:val="22"/>
          </w:rPr>
          <w:tab/>
        </w:r>
        <w:r w:rsidRPr="00AF11F4">
          <w:rPr>
            <w:rStyle w:val="Hyperlink"/>
            <w:noProof/>
          </w:rPr>
          <w:t>The model training entity records the model inference validity area as a part of metadata for the trained model.</w:t>
        </w:r>
      </w:hyperlink>
    </w:p>
    <w:p w14:paraId="10CB5DC6" w14:textId="09BF5DFC" w:rsidR="00850DA1" w:rsidRDefault="00850DA1">
      <w:pPr>
        <w:pStyle w:val="TableofFigures"/>
        <w:tabs>
          <w:tab w:val="right" w:leader="dot" w:pos="9962"/>
        </w:tabs>
        <w:rPr>
          <w:rFonts w:asciiTheme="minorHAnsi" w:eastAsiaTheme="minorEastAsia" w:hAnsiTheme="minorHAnsi"/>
          <w:b w:val="0"/>
          <w:noProof/>
          <w:sz w:val="22"/>
        </w:rPr>
      </w:pPr>
      <w:hyperlink w:anchor="_Toc178961957" w:history="1">
        <w:r w:rsidRPr="00AF11F4">
          <w:rPr>
            <w:rStyle w:val="Hyperlink"/>
            <w:noProof/>
          </w:rPr>
          <w:t>Proposal 59</w:t>
        </w:r>
        <w:r>
          <w:rPr>
            <w:rFonts w:asciiTheme="minorHAnsi" w:eastAsiaTheme="minorEastAsia" w:hAnsiTheme="minorHAnsi"/>
            <w:b w:val="0"/>
            <w:noProof/>
            <w:sz w:val="22"/>
          </w:rPr>
          <w:tab/>
        </w:r>
        <w:r w:rsidRPr="00AF11F4">
          <w:rPr>
            <w:rStyle w:val="Hyperlink"/>
            <w:noProof/>
          </w:rPr>
          <w:t>When preparing for model inference, the model inference validity area is checked for compatibility with the deployment area.</w:t>
        </w:r>
      </w:hyperlink>
    </w:p>
    <w:p w14:paraId="64D941CE" w14:textId="4A272CAC" w:rsidR="00850DA1" w:rsidRDefault="00850DA1">
      <w:pPr>
        <w:pStyle w:val="TableofFigures"/>
        <w:tabs>
          <w:tab w:val="right" w:leader="dot" w:pos="9962"/>
        </w:tabs>
        <w:rPr>
          <w:rFonts w:asciiTheme="minorHAnsi" w:eastAsiaTheme="minorEastAsia" w:hAnsiTheme="minorHAnsi"/>
          <w:b w:val="0"/>
          <w:noProof/>
          <w:sz w:val="22"/>
        </w:rPr>
      </w:pPr>
      <w:hyperlink w:anchor="_Toc178961958" w:history="1">
        <w:r w:rsidRPr="00AF11F4">
          <w:rPr>
            <w:rStyle w:val="Hyperlink"/>
            <w:noProof/>
          </w:rPr>
          <w:t>Proposal 60</w:t>
        </w:r>
        <w:r>
          <w:rPr>
            <w:rFonts w:asciiTheme="minorHAnsi" w:eastAsiaTheme="minorEastAsia" w:hAnsiTheme="minorHAnsi"/>
            <w:b w:val="0"/>
            <w:noProof/>
            <w:sz w:val="22"/>
          </w:rPr>
          <w:tab/>
        </w:r>
        <w:r w:rsidRPr="00AF11F4">
          <w:rPr>
            <w:rStyle w:val="Hyperlink"/>
            <w:noProof/>
          </w:rPr>
          <w:t>When preparing for model inference, configurations of reference signal transmission and measurement are checked for compatibility between the trained model and the deployment environment.</w:t>
        </w:r>
      </w:hyperlink>
    </w:p>
    <w:p w14:paraId="7DBE639C" w14:textId="2DBFBB13" w:rsidR="00850DA1" w:rsidRDefault="00850DA1">
      <w:pPr>
        <w:pStyle w:val="TableofFigures"/>
        <w:tabs>
          <w:tab w:val="right" w:leader="dot" w:pos="9962"/>
        </w:tabs>
        <w:rPr>
          <w:rFonts w:asciiTheme="minorHAnsi" w:eastAsiaTheme="minorEastAsia" w:hAnsiTheme="minorHAnsi"/>
          <w:b w:val="0"/>
          <w:noProof/>
          <w:sz w:val="22"/>
        </w:rPr>
      </w:pPr>
      <w:hyperlink w:anchor="_Toc178961959" w:history="1">
        <w:r w:rsidRPr="00AF11F4">
          <w:rPr>
            <w:rStyle w:val="Hyperlink"/>
            <w:noProof/>
          </w:rPr>
          <w:t>Proposal 61</w:t>
        </w:r>
        <w:r>
          <w:rPr>
            <w:rFonts w:asciiTheme="minorHAnsi" w:eastAsiaTheme="minorEastAsia" w:hAnsiTheme="minorHAnsi"/>
            <w:b w:val="0"/>
            <w:noProof/>
            <w:sz w:val="22"/>
          </w:rPr>
          <w:tab/>
        </w:r>
        <w:r w:rsidRPr="00AF11F4">
          <w:rPr>
            <w:rStyle w:val="Hyperlink"/>
            <w:noProof/>
          </w:rPr>
          <w:t>For Case 2a/3a, support UE/gNB to send an indication to the LMF when the AI/ML model is ready for reporting measurements based on model inference. It is up to RAN2/3 to decide which procedure to use to convey the information.</w:t>
        </w:r>
      </w:hyperlink>
    </w:p>
    <w:p w14:paraId="0C004778" w14:textId="3E808E9F" w:rsidR="00850DA1" w:rsidRDefault="00850DA1">
      <w:pPr>
        <w:pStyle w:val="TableofFigures"/>
        <w:tabs>
          <w:tab w:val="right" w:leader="dot" w:pos="9962"/>
        </w:tabs>
        <w:rPr>
          <w:rFonts w:asciiTheme="minorHAnsi" w:eastAsiaTheme="minorEastAsia" w:hAnsiTheme="minorHAnsi"/>
          <w:b w:val="0"/>
          <w:noProof/>
          <w:sz w:val="22"/>
        </w:rPr>
      </w:pPr>
      <w:hyperlink w:anchor="_Toc178961960" w:history="1">
        <w:r w:rsidRPr="00AF11F4">
          <w:rPr>
            <w:rStyle w:val="Hyperlink"/>
            <w:noProof/>
          </w:rPr>
          <w:t>Proposal 62</w:t>
        </w:r>
        <w:r>
          <w:rPr>
            <w:rFonts w:asciiTheme="minorHAnsi" w:eastAsiaTheme="minorEastAsia" w:hAnsiTheme="minorHAnsi"/>
            <w:b w:val="0"/>
            <w:noProof/>
            <w:sz w:val="22"/>
          </w:rPr>
          <w:tab/>
        </w:r>
        <w:r w:rsidRPr="00AF11F4">
          <w:rPr>
            <w:rStyle w:val="Hyperlink"/>
            <w:noProof/>
          </w:rPr>
          <w:t xml:space="preserve">For Case 1, the explicit assistance data provided by LMF to UE include: validity area info and </w:t>
        </w:r>
        <w:r w:rsidRPr="00AF11F4">
          <w:rPr>
            <w:rStyle w:val="Hyperlink"/>
            <w:noProof/>
            <w:snapToGrid w:val="0"/>
          </w:rPr>
          <w:t>NR-DL-PRS-AssistanceData-r16.</w:t>
        </w:r>
      </w:hyperlink>
    </w:p>
    <w:p w14:paraId="01C27A60" w14:textId="58C48747" w:rsidR="00850DA1" w:rsidRDefault="00850DA1">
      <w:pPr>
        <w:pStyle w:val="TableofFigures"/>
        <w:tabs>
          <w:tab w:val="right" w:leader="dot" w:pos="9962"/>
        </w:tabs>
        <w:rPr>
          <w:rFonts w:asciiTheme="minorHAnsi" w:eastAsiaTheme="minorEastAsia" w:hAnsiTheme="minorHAnsi"/>
          <w:b w:val="0"/>
          <w:noProof/>
          <w:sz w:val="22"/>
        </w:rPr>
      </w:pPr>
      <w:hyperlink w:anchor="_Toc178961961" w:history="1">
        <w:r w:rsidRPr="00AF11F4">
          <w:rPr>
            <w:rStyle w:val="Hyperlink"/>
            <w:noProof/>
          </w:rPr>
          <w:t>Proposal 63</w:t>
        </w:r>
        <w:r>
          <w:rPr>
            <w:rFonts w:asciiTheme="minorHAnsi" w:eastAsiaTheme="minorEastAsia" w:hAnsiTheme="minorHAnsi"/>
            <w:b w:val="0"/>
            <w:noProof/>
            <w:sz w:val="22"/>
          </w:rPr>
          <w:tab/>
        </w:r>
        <w:r w:rsidRPr="00AF11F4">
          <w:rPr>
            <w:rStyle w:val="Hyperlink"/>
            <w:noProof/>
          </w:rPr>
          <w:t>For Case 1, to ensure the consistency of NW-side additional condition (e.g., beam configuration of DL PRS) across training and inference, support associated ID for indicating NW conditions/configurations.</w:t>
        </w:r>
      </w:hyperlink>
    </w:p>
    <w:p w14:paraId="1CDD55B2" w14:textId="73B88F10" w:rsidR="00850DA1" w:rsidRDefault="00850DA1">
      <w:pPr>
        <w:pStyle w:val="TableofFigures"/>
        <w:tabs>
          <w:tab w:val="right" w:leader="dot" w:pos="9962"/>
        </w:tabs>
        <w:rPr>
          <w:rFonts w:asciiTheme="minorHAnsi" w:eastAsiaTheme="minorEastAsia" w:hAnsiTheme="minorHAnsi"/>
          <w:b w:val="0"/>
          <w:noProof/>
          <w:sz w:val="22"/>
        </w:rPr>
      </w:pPr>
      <w:hyperlink w:anchor="_Toc178961962" w:history="1">
        <w:r w:rsidRPr="00AF11F4">
          <w:rPr>
            <w:rStyle w:val="Hyperlink"/>
            <w:noProof/>
          </w:rPr>
          <w:t>Proposal 64</w:t>
        </w:r>
        <w:r>
          <w:rPr>
            <w:rFonts w:asciiTheme="minorHAnsi" w:eastAsiaTheme="minorEastAsia" w:hAnsiTheme="minorHAnsi"/>
            <w:b w:val="0"/>
            <w:noProof/>
            <w:sz w:val="22"/>
          </w:rPr>
          <w:tab/>
        </w:r>
        <w:r w:rsidRPr="00AF11F4">
          <w:rPr>
            <w:rStyle w:val="Hyperlink"/>
            <w:noProof/>
          </w:rPr>
          <w:t>For AI/ML based positioning, the consistency between training and inference is checked for each TRP separately.</w:t>
        </w:r>
      </w:hyperlink>
    </w:p>
    <w:p w14:paraId="722D5692" w14:textId="0450C224" w:rsidR="00850DA1" w:rsidRDefault="00850DA1">
      <w:pPr>
        <w:pStyle w:val="TableofFigures"/>
        <w:tabs>
          <w:tab w:val="right" w:leader="dot" w:pos="9962"/>
        </w:tabs>
        <w:rPr>
          <w:rFonts w:asciiTheme="minorHAnsi" w:eastAsiaTheme="minorEastAsia" w:hAnsiTheme="minorHAnsi"/>
          <w:b w:val="0"/>
          <w:noProof/>
          <w:sz w:val="22"/>
        </w:rPr>
      </w:pPr>
      <w:hyperlink w:anchor="_Toc178961963" w:history="1">
        <w:r w:rsidRPr="00AF11F4">
          <w:rPr>
            <w:rStyle w:val="Hyperlink"/>
            <w:noProof/>
          </w:rPr>
          <w:t>Proposal 65</w:t>
        </w:r>
        <w:r>
          <w:rPr>
            <w:rFonts w:asciiTheme="minorHAnsi" w:eastAsiaTheme="minorEastAsia" w:hAnsiTheme="minorHAnsi"/>
            <w:b w:val="0"/>
            <w:noProof/>
            <w:sz w:val="22"/>
          </w:rPr>
          <w:tab/>
        </w:r>
        <w:r w:rsidRPr="00AF11F4">
          <w:rPr>
            <w:rStyle w:val="Hyperlink"/>
            <w:noProof/>
          </w:rPr>
          <w:t>For a given TRP j, the UE assumes that the NW-side additional conditions with the same associated ID are consistent within the TRP j.</w:t>
        </w:r>
      </w:hyperlink>
    </w:p>
    <w:p w14:paraId="505F05C4" w14:textId="6248B359" w:rsidR="00850DA1" w:rsidRDefault="00850DA1">
      <w:pPr>
        <w:pStyle w:val="TableofFigures"/>
        <w:tabs>
          <w:tab w:val="right" w:leader="dot" w:pos="9962"/>
        </w:tabs>
        <w:rPr>
          <w:rFonts w:asciiTheme="minorHAnsi" w:eastAsiaTheme="minorEastAsia" w:hAnsiTheme="minorHAnsi"/>
          <w:b w:val="0"/>
          <w:noProof/>
          <w:sz w:val="22"/>
        </w:rPr>
      </w:pPr>
      <w:hyperlink w:anchor="_Toc178961964" w:history="1">
        <w:r w:rsidRPr="00AF11F4">
          <w:rPr>
            <w:rStyle w:val="Hyperlink"/>
            <w:noProof/>
          </w:rPr>
          <w:t>Proposal 66</w:t>
        </w:r>
        <w:r>
          <w:rPr>
            <w:rFonts w:asciiTheme="minorHAnsi" w:eastAsiaTheme="minorEastAsia" w:hAnsiTheme="minorHAnsi"/>
            <w:b w:val="0"/>
            <w:noProof/>
            <w:sz w:val="22"/>
          </w:rPr>
          <w:tab/>
        </w:r>
        <w:r w:rsidRPr="00AF11F4">
          <w:rPr>
            <w:rStyle w:val="Hyperlink"/>
            <w:noProof/>
          </w:rPr>
          <w:t>For measurements reported to the LMF in case 2b/3b, support the LMF to indicate the PRS/SRS measurement bandwidth.</w:t>
        </w:r>
      </w:hyperlink>
    </w:p>
    <w:p w14:paraId="3AE5AD10" w14:textId="686D0B3D" w:rsidR="008E065E" w:rsidRPr="00CE0424" w:rsidRDefault="006E1C82" w:rsidP="00836728">
      <w:pPr>
        <w:pStyle w:val="BodyText"/>
      </w:pPr>
      <w:r>
        <w:fldChar w:fldCharType="end"/>
      </w:r>
      <w:r w:rsidRPr="00CE0424">
        <w:t xml:space="preserve"> </w:t>
      </w:r>
    </w:p>
    <w:p w14:paraId="4C5504C0" w14:textId="77777777" w:rsidR="00F507D1" w:rsidRPr="00E215F0" w:rsidRDefault="00F507D1" w:rsidP="00CE0424">
      <w:pPr>
        <w:pStyle w:val="Heading1"/>
        <w:rPr>
          <w:lang w:val="en-US"/>
        </w:rPr>
      </w:pPr>
      <w:bookmarkStart w:id="1835" w:name="_In-sequence_SDU_delivery"/>
      <w:bookmarkStart w:id="1836" w:name="_Toc165991024"/>
      <w:bookmarkStart w:id="1837" w:name="_Toc178961691"/>
      <w:bookmarkEnd w:id="1835"/>
      <w:r w:rsidRPr="00E215F0">
        <w:rPr>
          <w:lang w:val="en-US"/>
        </w:rPr>
        <w:t>References</w:t>
      </w:r>
      <w:bookmarkEnd w:id="1836"/>
      <w:bookmarkEnd w:id="1837"/>
    </w:p>
    <w:p w14:paraId="07A92C03" w14:textId="77777777" w:rsidR="00E24EB1" w:rsidRPr="00796F6C" w:rsidRDefault="00E24EB1" w:rsidP="00E24EB1">
      <w:pPr>
        <w:pStyle w:val="Reference"/>
      </w:pPr>
      <w:bookmarkStart w:id="1838" w:name="_Ref155373154"/>
      <w:bookmarkStart w:id="1839" w:name="_Ref174151459"/>
      <w:bookmarkStart w:id="1840" w:name="_Ref189809556"/>
      <w:r>
        <w:t>3GPP TS 38.305</w:t>
      </w:r>
      <w:r>
        <w:rPr>
          <w:rFonts w:hint="eastAsia"/>
        </w:rPr>
        <w:t xml:space="preserve">, </w:t>
      </w:r>
      <w:r>
        <w:t>Stage 2 functional specification of</w:t>
      </w:r>
      <w:r>
        <w:rPr>
          <w:rFonts w:hint="eastAsia"/>
        </w:rPr>
        <w:t xml:space="preserve"> </w:t>
      </w:r>
      <w:r>
        <w:t>User Equipment (UE) positioning in NG-RAN</w:t>
      </w:r>
      <w:r w:rsidRPr="00796F6C">
        <w:rPr>
          <w:rFonts w:hint="eastAsia"/>
        </w:rPr>
        <w:t>.</w:t>
      </w:r>
    </w:p>
    <w:p w14:paraId="000A298A" w14:textId="77777777" w:rsidR="00E24EB1" w:rsidRPr="00796F6C" w:rsidRDefault="00E24EB1" w:rsidP="00E24EB1">
      <w:pPr>
        <w:pStyle w:val="Reference"/>
      </w:pPr>
      <w:r>
        <w:t>3GPP TS 37.355</w:t>
      </w:r>
      <w:r>
        <w:rPr>
          <w:rFonts w:hint="eastAsia"/>
        </w:rPr>
        <w:t xml:space="preserve">, </w:t>
      </w:r>
      <w:r>
        <w:t>LTE Positioning Protocol (LPP)</w:t>
      </w:r>
      <w:r w:rsidRPr="00796F6C">
        <w:rPr>
          <w:rFonts w:hint="eastAsia"/>
        </w:rPr>
        <w:t>.</w:t>
      </w:r>
    </w:p>
    <w:p w14:paraId="20E83A53" w14:textId="77777777" w:rsidR="00E24EB1" w:rsidRDefault="00E24EB1" w:rsidP="00E24EB1">
      <w:pPr>
        <w:pStyle w:val="Reference"/>
      </w:pPr>
      <w:r>
        <w:t>3GPP TS 38.455</w:t>
      </w:r>
      <w:r>
        <w:rPr>
          <w:rFonts w:hint="eastAsia"/>
        </w:rPr>
        <w:t>, NR Positioning Protocol A (NRPPa)</w:t>
      </w:r>
      <w:r w:rsidRPr="00796F6C">
        <w:rPr>
          <w:rFonts w:hint="eastAsia"/>
        </w:rPr>
        <w:t>.</w:t>
      </w:r>
    </w:p>
    <w:p w14:paraId="6770E5DC" w14:textId="6445335E" w:rsidR="00E24EB1" w:rsidRDefault="00F26AC7" w:rsidP="00F26AC7">
      <w:pPr>
        <w:pStyle w:val="Reference"/>
      </w:pPr>
      <w:bookmarkStart w:id="1841" w:name="_Ref156223556"/>
      <w:r>
        <w:t>3GPP TR 38.843 V2.0.1 (2023-12), Study on Artificial Intelligence (AI)/Machine Learning (ML) for NR air interface (Release 18).</w:t>
      </w:r>
      <w:bookmarkEnd w:id="1841"/>
    </w:p>
    <w:p w14:paraId="1EF269F2" w14:textId="3E1BB305" w:rsidR="005D0D1E" w:rsidRDefault="005D0D1E" w:rsidP="005D0D1E">
      <w:pPr>
        <w:pStyle w:val="Reference"/>
      </w:pPr>
      <w:bookmarkStart w:id="1842" w:name="_Ref155559231"/>
      <w:r w:rsidRPr="00F45E17">
        <w:t>RP-</w:t>
      </w:r>
      <w:r w:rsidR="001A4E4B" w:rsidRPr="001A4E4B">
        <w:t>242399</w:t>
      </w:r>
      <w:r>
        <w:t>, "</w:t>
      </w:r>
      <w:r w:rsidR="001A4E4B" w:rsidRPr="001A4E4B">
        <w:t>Revised WID on Artificial Intelligence (AI)/Machine Learning (ML) for NR Air Interface</w:t>
      </w:r>
      <w:r>
        <w:t>,"</w:t>
      </w:r>
      <w:r w:rsidRPr="00F45E17">
        <w:t xml:space="preserve"> Qualcomm</w:t>
      </w:r>
      <w:r>
        <w:t xml:space="preserve">, </w:t>
      </w:r>
      <w:r w:rsidRPr="00F45E17">
        <w:t>3GPP TSG RAN Meeting #10</w:t>
      </w:r>
      <w:r w:rsidR="001A4E4B">
        <w:t>5</w:t>
      </w:r>
      <w:r>
        <w:t xml:space="preserve">, </w:t>
      </w:r>
      <w:r w:rsidR="001A4E4B" w:rsidRPr="001A4E4B">
        <w:t>Melbourne, Australia, September 9-12, 2024</w:t>
      </w:r>
      <w:r>
        <w:t>.</w:t>
      </w:r>
      <w:bookmarkEnd w:id="1838"/>
      <w:bookmarkEnd w:id="1842"/>
    </w:p>
    <w:p w14:paraId="0EC86090" w14:textId="373381FB" w:rsidR="003A2D9E" w:rsidRDefault="00F52E9D" w:rsidP="00024894">
      <w:pPr>
        <w:pStyle w:val="Reference"/>
      </w:pPr>
      <w:bookmarkStart w:id="1843" w:name="_Ref158730650"/>
      <w:bookmarkStart w:id="1844" w:name="_Ref172113551"/>
      <w:bookmarkEnd w:id="1839"/>
      <w:bookmarkEnd w:id="1840"/>
      <w:r w:rsidRPr="00E215F0">
        <w:t>R1-2306454</w:t>
      </w:r>
      <w:r w:rsidR="00AA37E8">
        <w:t>,</w:t>
      </w:r>
      <w:r w:rsidRPr="00E215F0">
        <w:t xml:space="preserve"> “</w:t>
      </w:r>
      <w:r w:rsidR="000B179B" w:rsidRPr="00E215F0">
        <w:t>Evaluation of AI/ML for Positioning Accuracy Enhancement,” Ericsson</w:t>
      </w:r>
      <w:bookmarkEnd w:id="1843"/>
      <w:r w:rsidR="0097278E">
        <w:t>.</w:t>
      </w:r>
      <w:bookmarkEnd w:id="1844"/>
    </w:p>
    <w:p w14:paraId="3C72812D" w14:textId="4B5DA06C" w:rsidR="003A2D9E" w:rsidRPr="00E215F0" w:rsidRDefault="003A2D9E" w:rsidP="003A2D9E">
      <w:pPr>
        <w:pStyle w:val="Heading1"/>
        <w:rPr>
          <w:lang w:val="en-US"/>
        </w:rPr>
      </w:pPr>
      <w:r>
        <w:rPr>
          <w:lang w:val="en-US"/>
        </w:rPr>
        <w:lastRenderedPageBreak/>
        <w:t xml:space="preserve"> </w:t>
      </w:r>
      <w:bookmarkStart w:id="1845" w:name="_Toc178961692"/>
      <w:r>
        <w:rPr>
          <w:lang w:val="en-US"/>
        </w:rPr>
        <w:t>Appendix A. H</w:t>
      </w:r>
      <w:r w:rsidRPr="003A2D9E">
        <w:rPr>
          <w:lang w:val="en-US"/>
        </w:rPr>
        <w:t xml:space="preserve">igh accuracy uncertainty </w:t>
      </w:r>
      <w:r>
        <w:rPr>
          <w:lang w:val="en-US"/>
        </w:rPr>
        <w:t xml:space="preserve">and confidence </w:t>
      </w:r>
      <w:r w:rsidRPr="003A2D9E">
        <w:rPr>
          <w:lang w:val="en-US"/>
        </w:rPr>
        <w:t>as defined in TS 23.032</w:t>
      </w:r>
      <w:bookmarkEnd w:id="1845"/>
    </w:p>
    <w:p w14:paraId="114312D3" w14:textId="77777777" w:rsidR="003A2D9E" w:rsidRDefault="003A2D9E" w:rsidP="00024894">
      <w:pPr>
        <w:pStyle w:val="BodyText"/>
      </w:pPr>
    </w:p>
    <w:p w14:paraId="0020AA36" w14:textId="77777777" w:rsidR="003A2D9E" w:rsidRPr="003A2D9E" w:rsidRDefault="003A2D9E" w:rsidP="003A2D9E">
      <w:bookmarkStart w:id="1846" w:name="_Toc524940649"/>
      <w:bookmarkStart w:id="1847" w:name="_Toc67980271"/>
      <w:bookmarkStart w:id="1848" w:name="_Toc91133090"/>
      <w:r w:rsidRPr="003A2D9E">
        <w:t>6.2a</w:t>
      </w:r>
      <w:r w:rsidRPr="003A2D9E">
        <w:tab/>
        <w:t>High Accuracy Uncertainty</w:t>
      </w:r>
      <w:bookmarkEnd w:id="1846"/>
      <w:bookmarkEnd w:id="1847"/>
      <w:bookmarkEnd w:id="1848"/>
    </w:p>
    <w:p w14:paraId="002E80CF" w14:textId="77777777" w:rsidR="003A2D9E" w:rsidRDefault="003A2D9E" w:rsidP="003A2D9E">
      <w:r>
        <w:t xml:space="preserve">The high accuracy uncertainty r, expressed in metres, is mapped to a number </w:t>
      </w:r>
      <w:r>
        <w:rPr>
          <w:i/>
        </w:rPr>
        <w:t>K</w:t>
      </w:r>
      <w:r>
        <w:t>, with the following formula:</w:t>
      </w:r>
    </w:p>
    <w:p w14:paraId="1310389B" w14:textId="77777777" w:rsidR="003A2D9E" w:rsidRDefault="003A2D9E" w:rsidP="003A2D9E">
      <w:pPr>
        <w:pStyle w:val="EQ"/>
      </w:pPr>
      <w:r>
        <w:tab/>
      </w:r>
      <w:r w:rsidR="00B86EA6" w:rsidRPr="0076618E">
        <w:rPr>
          <w:rFonts w:ascii="Times New Roman" w:eastAsia="Times New Roman" w:hAnsi="Times New Roman" w:cs="Times New Roman"/>
          <w:position w:val="-10"/>
          <w:szCs w:val="20"/>
          <w:lang w:val="en-GB"/>
          <w14:ligatures w14:val="none"/>
        </w:rPr>
        <w:object w:dxaOrig="1730" w:dyaOrig="380" w14:anchorId="6572CC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pt;height:19.65pt" o:ole="">
            <v:imagedata r:id="rId39" o:title=""/>
          </v:shape>
          <o:OLEObject Type="Embed" ProgID="Equation" ShapeID="_x0000_i1025" DrawAspect="Content" ObjectID="_1789574513" r:id="rId40"/>
        </w:object>
      </w:r>
    </w:p>
    <w:p w14:paraId="70584505" w14:textId="77777777" w:rsidR="003A2D9E" w:rsidRDefault="003A2D9E" w:rsidP="003A2D9E">
      <w:r>
        <w:t xml:space="preserve">with </w:t>
      </w:r>
      <w:r>
        <w:rPr>
          <w:i/>
        </w:rPr>
        <w:t>C</w:t>
      </w:r>
      <w:r>
        <w:t xml:space="preserve"> = 0.3 and </w:t>
      </w:r>
      <w:r>
        <w:rPr>
          <w:i/>
        </w:rPr>
        <w:t>x</w:t>
      </w:r>
      <w:r>
        <w:t xml:space="preserve"> = 0.02. With 0 </w:t>
      </w:r>
      <w:r>
        <w:fldChar w:fldCharType="begin"/>
      </w:r>
      <w:r>
        <w:instrText>SYMBOL 163 \f "Symbol"</w:instrText>
      </w:r>
      <w:r>
        <w:fldChar w:fldCharType="end"/>
      </w:r>
      <w:r>
        <w:t xml:space="preserve"> </w:t>
      </w:r>
      <w:r>
        <w:rPr>
          <w:i/>
        </w:rPr>
        <w:t>K</w:t>
      </w:r>
      <w:r>
        <w:t xml:space="preserve"> </w:t>
      </w:r>
      <w:r>
        <w:fldChar w:fldCharType="begin"/>
      </w:r>
      <w:r>
        <w:instrText>SYMBOL 163 \f "Symbol"</w:instrText>
      </w:r>
      <w:r>
        <w:fldChar w:fldCharType="end"/>
      </w:r>
      <w:r>
        <w:t xml:space="preserve"> 255, a suitably useful range between 0 and 46.49129 metres is achieved for the high accuracy uncertainty, while still being able to code down to values as small as 6 millimetre. The uncertainty can then be coded on 8 bits, as the binary encoding of </w:t>
      </w:r>
      <w:r>
        <w:rPr>
          <w:i/>
        </w:rPr>
        <w:t>K</w:t>
      </w:r>
      <w:r>
        <w:t>.</w:t>
      </w:r>
    </w:p>
    <w:p w14:paraId="055CCA43" w14:textId="77777777" w:rsidR="003A2D9E" w:rsidRDefault="003A2D9E" w:rsidP="003A2D9E">
      <w:pPr>
        <w:pStyle w:val="TH"/>
      </w:pPr>
      <w:r>
        <w:t>Table 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77"/>
        <w:gridCol w:w="2977"/>
      </w:tblGrid>
      <w:tr w:rsidR="003A2D9E" w14:paraId="49528CDF"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53C8122E" w14:textId="77777777" w:rsidR="003A2D9E" w:rsidRDefault="003A2D9E">
            <w:pPr>
              <w:pStyle w:val="TAH"/>
              <w:rPr>
                <w:lang w:eastAsia="en-GB"/>
              </w:rPr>
            </w:pPr>
            <w:r>
              <w:rPr>
                <w:lang w:eastAsia="en-GB"/>
              </w:rPr>
              <w:t xml:space="preserve">Value of </w:t>
            </w:r>
            <w:r>
              <w:rPr>
                <w:i/>
                <w:lang w:eastAsia="en-GB"/>
              </w:rPr>
              <w:t>K</w:t>
            </w:r>
          </w:p>
        </w:tc>
        <w:tc>
          <w:tcPr>
            <w:tcW w:w="2977" w:type="dxa"/>
            <w:tcBorders>
              <w:top w:val="single" w:sz="6" w:space="0" w:color="auto"/>
              <w:left w:val="single" w:sz="6" w:space="0" w:color="auto"/>
              <w:bottom w:val="single" w:sz="6" w:space="0" w:color="auto"/>
              <w:right w:val="single" w:sz="6" w:space="0" w:color="auto"/>
            </w:tcBorders>
            <w:hideMark/>
          </w:tcPr>
          <w:p w14:paraId="3D6E3E23" w14:textId="77777777" w:rsidR="003A2D9E" w:rsidRDefault="003A2D9E">
            <w:pPr>
              <w:pStyle w:val="TAH"/>
              <w:rPr>
                <w:lang w:eastAsia="en-GB"/>
              </w:rPr>
            </w:pPr>
            <w:r>
              <w:rPr>
                <w:lang w:eastAsia="en-GB"/>
              </w:rPr>
              <w:t>Value of uncertainty</w:t>
            </w:r>
          </w:p>
        </w:tc>
      </w:tr>
      <w:tr w:rsidR="003A2D9E" w14:paraId="1D595499"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7EF31DC6" w14:textId="77777777" w:rsidR="003A2D9E" w:rsidRDefault="003A2D9E">
            <w:pPr>
              <w:pStyle w:val="TAC"/>
              <w:rPr>
                <w:lang w:eastAsia="en-GB"/>
              </w:rPr>
            </w:pPr>
            <w:r>
              <w:rPr>
                <w:lang w:eastAsia="en-GB"/>
              </w:rPr>
              <w:t>0</w:t>
            </w:r>
          </w:p>
        </w:tc>
        <w:tc>
          <w:tcPr>
            <w:tcW w:w="2977" w:type="dxa"/>
            <w:tcBorders>
              <w:top w:val="single" w:sz="6" w:space="0" w:color="auto"/>
              <w:left w:val="single" w:sz="6" w:space="0" w:color="auto"/>
              <w:bottom w:val="single" w:sz="6" w:space="0" w:color="auto"/>
              <w:right w:val="single" w:sz="6" w:space="0" w:color="auto"/>
            </w:tcBorders>
            <w:hideMark/>
          </w:tcPr>
          <w:p w14:paraId="4FCA422B" w14:textId="77777777" w:rsidR="003A2D9E" w:rsidRDefault="003A2D9E">
            <w:pPr>
              <w:pStyle w:val="TAC"/>
              <w:rPr>
                <w:lang w:eastAsia="en-GB"/>
              </w:rPr>
            </w:pPr>
            <w:r>
              <w:rPr>
                <w:lang w:eastAsia="en-GB"/>
              </w:rPr>
              <w:t>0 m</w:t>
            </w:r>
          </w:p>
        </w:tc>
      </w:tr>
      <w:tr w:rsidR="003A2D9E" w14:paraId="09A90FDE"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070F376B" w14:textId="77777777" w:rsidR="003A2D9E" w:rsidRDefault="003A2D9E">
            <w:pPr>
              <w:pStyle w:val="TAC"/>
              <w:rPr>
                <w:lang w:eastAsia="en-GB"/>
              </w:rPr>
            </w:pPr>
            <w:r>
              <w:rPr>
                <w:lang w:eastAsia="en-GB"/>
              </w:rPr>
              <w:t>1</w:t>
            </w:r>
          </w:p>
        </w:tc>
        <w:tc>
          <w:tcPr>
            <w:tcW w:w="2977" w:type="dxa"/>
            <w:tcBorders>
              <w:top w:val="single" w:sz="6" w:space="0" w:color="auto"/>
              <w:left w:val="single" w:sz="6" w:space="0" w:color="auto"/>
              <w:bottom w:val="single" w:sz="6" w:space="0" w:color="auto"/>
              <w:right w:val="single" w:sz="6" w:space="0" w:color="auto"/>
            </w:tcBorders>
            <w:hideMark/>
          </w:tcPr>
          <w:p w14:paraId="6DCDC26F" w14:textId="77777777" w:rsidR="003A2D9E" w:rsidRDefault="003A2D9E">
            <w:pPr>
              <w:pStyle w:val="TAC"/>
              <w:rPr>
                <w:lang w:eastAsia="en-GB"/>
              </w:rPr>
            </w:pPr>
            <w:r>
              <w:rPr>
                <w:lang w:eastAsia="en-GB"/>
              </w:rPr>
              <w:t>0.006 m</w:t>
            </w:r>
          </w:p>
        </w:tc>
      </w:tr>
      <w:tr w:rsidR="003A2D9E" w14:paraId="2B3523C1"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35D26EB9" w14:textId="77777777" w:rsidR="003A2D9E" w:rsidRDefault="003A2D9E">
            <w:pPr>
              <w:pStyle w:val="TAC"/>
              <w:rPr>
                <w:lang w:eastAsia="en-GB"/>
              </w:rPr>
            </w:pPr>
            <w:r>
              <w:rPr>
                <w:lang w:eastAsia="en-GB"/>
              </w:rPr>
              <w:t>2</w:t>
            </w:r>
          </w:p>
        </w:tc>
        <w:tc>
          <w:tcPr>
            <w:tcW w:w="2977" w:type="dxa"/>
            <w:tcBorders>
              <w:top w:val="single" w:sz="6" w:space="0" w:color="auto"/>
              <w:left w:val="single" w:sz="6" w:space="0" w:color="auto"/>
              <w:bottom w:val="single" w:sz="6" w:space="0" w:color="auto"/>
              <w:right w:val="single" w:sz="6" w:space="0" w:color="auto"/>
            </w:tcBorders>
            <w:hideMark/>
          </w:tcPr>
          <w:p w14:paraId="64EE7616" w14:textId="77777777" w:rsidR="003A2D9E" w:rsidRDefault="003A2D9E">
            <w:pPr>
              <w:pStyle w:val="TAC"/>
              <w:rPr>
                <w:lang w:eastAsia="en-GB"/>
              </w:rPr>
            </w:pPr>
            <w:r>
              <w:rPr>
                <w:lang w:eastAsia="en-GB"/>
              </w:rPr>
              <w:t>0.01212 m</w:t>
            </w:r>
          </w:p>
        </w:tc>
      </w:tr>
      <w:tr w:rsidR="003A2D9E" w14:paraId="3AC12D24"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30A95CF6"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6C600588" w14:textId="77777777" w:rsidR="003A2D9E" w:rsidRDefault="003A2D9E">
            <w:pPr>
              <w:pStyle w:val="TAC"/>
              <w:rPr>
                <w:lang w:eastAsia="en-GB"/>
              </w:rPr>
            </w:pPr>
            <w:r>
              <w:rPr>
                <w:lang w:eastAsia="en-GB"/>
              </w:rPr>
              <w:t>-</w:t>
            </w:r>
          </w:p>
        </w:tc>
      </w:tr>
      <w:tr w:rsidR="003A2D9E" w14:paraId="5DDB0DA0"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1FED85F0" w14:textId="77777777" w:rsidR="003A2D9E" w:rsidRDefault="003A2D9E">
            <w:pPr>
              <w:pStyle w:val="TAC"/>
              <w:rPr>
                <w:lang w:eastAsia="en-GB"/>
              </w:rPr>
            </w:pPr>
            <w:r>
              <w:rPr>
                <w:lang w:eastAsia="en-GB"/>
              </w:rPr>
              <w:t>20</w:t>
            </w:r>
          </w:p>
        </w:tc>
        <w:tc>
          <w:tcPr>
            <w:tcW w:w="2977" w:type="dxa"/>
            <w:tcBorders>
              <w:top w:val="single" w:sz="6" w:space="0" w:color="auto"/>
              <w:left w:val="single" w:sz="6" w:space="0" w:color="auto"/>
              <w:bottom w:val="single" w:sz="6" w:space="0" w:color="auto"/>
              <w:right w:val="single" w:sz="6" w:space="0" w:color="auto"/>
            </w:tcBorders>
            <w:hideMark/>
          </w:tcPr>
          <w:p w14:paraId="76380314" w14:textId="77777777" w:rsidR="003A2D9E" w:rsidRDefault="003A2D9E">
            <w:pPr>
              <w:pStyle w:val="TAC"/>
              <w:rPr>
                <w:lang w:eastAsia="en-GB"/>
              </w:rPr>
            </w:pPr>
            <w:r>
              <w:rPr>
                <w:lang w:eastAsia="en-GB"/>
              </w:rPr>
              <w:t>0.14578 m</w:t>
            </w:r>
          </w:p>
        </w:tc>
      </w:tr>
      <w:tr w:rsidR="003A2D9E" w14:paraId="6303DDE8"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37A69A9A"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0D85D9DE" w14:textId="77777777" w:rsidR="003A2D9E" w:rsidRDefault="003A2D9E">
            <w:pPr>
              <w:pStyle w:val="TAC"/>
              <w:rPr>
                <w:lang w:eastAsia="en-GB"/>
              </w:rPr>
            </w:pPr>
            <w:r>
              <w:rPr>
                <w:lang w:eastAsia="en-GB"/>
              </w:rPr>
              <w:t>-</w:t>
            </w:r>
          </w:p>
        </w:tc>
      </w:tr>
      <w:tr w:rsidR="003A2D9E" w14:paraId="31A76AA5"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2664F954" w14:textId="77777777" w:rsidR="003A2D9E" w:rsidRDefault="003A2D9E">
            <w:pPr>
              <w:pStyle w:val="TAC"/>
              <w:rPr>
                <w:lang w:eastAsia="en-GB"/>
              </w:rPr>
            </w:pPr>
            <w:r>
              <w:rPr>
                <w:lang w:eastAsia="en-GB"/>
              </w:rPr>
              <w:t>40</w:t>
            </w:r>
          </w:p>
        </w:tc>
        <w:tc>
          <w:tcPr>
            <w:tcW w:w="2977" w:type="dxa"/>
            <w:tcBorders>
              <w:top w:val="single" w:sz="6" w:space="0" w:color="auto"/>
              <w:left w:val="single" w:sz="6" w:space="0" w:color="auto"/>
              <w:bottom w:val="single" w:sz="6" w:space="0" w:color="auto"/>
              <w:right w:val="single" w:sz="6" w:space="0" w:color="auto"/>
            </w:tcBorders>
            <w:hideMark/>
          </w:tcPr>
          <w:p w14:paraId="0ABDE283" w14:textId="77777777" w:rsidR="003A2D9E" w:rsidRDefault="003A2D9E">
            <w:pPr>
              <w:pStyle w:val="TAC"/>
              <w:rPr>
                <w:lang w:eastAsia="en-GB"/>
              </w:rPr>
            </w:pPr>
            <w:r>
              <w:rPr>
                <w:lang w:eastAsia="en-GB"/>
              </w:rPr>
              <w:t>0.36241 m</w:t>
            </w:r>
          </w:p>
        </w:tc>
      </w:tr>
      <w:tr w:rsidR="003A2D9E" w14:paraId="31A4331F"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7EB31879"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37BEE6AC" w14:textId="77777777" w:rsidR="003A2D9E" w:rsidRDefault="003A2D9E">
            <w:pPr>
              <w:pStyle w:val="TAC"/>
              <w:rPr>
                <w:lang w:eastAsia="en-GB"/>
              </w:rPr>
            </w:pPr>
            <w:r>
              <w:rPr>
                <w:lang w:eastAsia="en-GB"/>
              </w:rPr>
              <w:t>-</w:t>
            </w:r>
          </w:p>
        </w:tc>
      </w:tr>
      <w:tr w:rsidR="003A2D9E" w14:paraId="78100833"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0349EF8D" w14:textId="77777777" w:rsidR="003A2D9E" w:rsidRDefault="003A2D9E">
            <w:pPr>
              <w:pStyle w:val="TAC"/>
              <w:rPr>
                <w:lang w:eastAsia="en-GB"/>
              </w:rPr>
            </w:pPr>
            <w:r>
              <w:rPr>
                <w:lang w:eastAsia="en-GB"/>
              </w:rPr>
              <w:t>60</w:t>
            </w:r>
          </w:p>
        </w:tc>
        <w:tc>
          <w:tcPr>
            <w:tcW w:w="2977" w:type="dxa"/>
            <w:tcBorders>
              <w:top w:val="single" w:sz="6" w:space="0" w:color="auto"/>
              <w:left w:val="single" w:sz="6" w:space="0" w:color="auto"/>
              <w:bottom w:val="single" w:sz="6" w:space="0" w:color="auto"/>
              <w:right w:val="single" w:sz="6" w:space="0" w:color="auto"/>
            </w:tcBorders>
            <w:hideMark/>
          </w:tcPr>
          <w:p w14:paraId="4677AC0B" w14:textId="77777777" w:rsidR="003A2D9E" w:rsidRDefault="003A2D9E">
            <w:pPr>
              <w:pStyle w:val="TAC"/>
              <w:rPr>
                <w:lang w:eastAsia="en-GB"/>
              </w:rPr>
            </w:pPr>
            <w:r>
              <w:rPr>
                <w:lang w:eastAsia="en-GB"/>
              </w:rPr>
              <w:t>0.68430 m</w:t>
            </w:r>
          </w:p>
        </w:tc>
      </w:tr>
      <w:tr w:rsidR="003A2D9E" w14:paraId="2344C46A"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1A177415"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10CCFE4F" w14:textId="77777777" w:rsidR="003A2D9E" w:rsidRDefault="003A2D9E">
            <w:pPr>
              <w:pStyle w:val="TAC"/>
              <w:rPr>
                <w:lang w:eastAsia="en-GB"/>
              </w:rPr>
            </w:pPr>
            <w:r>
              <w:rPr>
                <w:lang w:eastAsia="en-GB"/>
              </w:rPr>
              <w:t>-</w:t>
            </w:r>
          </w:p>
        </w:tc>
      </w:tr>
      <w:tr w:rsidR="003A2D9E" w14:paraId="747244A4"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202FD453" w14:textId="77777777" w:rsidR="003A2D9E" w:rsidRDefault="003A2D9E">
            <w:pPr>
              <w:pStyle w:val="TAC"/>
              <w:rPr>
                <w:lang w:eastAsia="en-GB"/>
              </w:rPr>
            </w:pPr>
            <w:r>
              <w:rPr>
                <w:lang w:eastAsia="en-GB"/>
              </w:rPr>
              <w:t>80</w:t>
            </w:r>
          </w:p>
        </w:tc>
        <w:tc>
          <w:tcPr>
            <w:tcW w:w="2977" w:type="dxa"/>
            <w:tcBorders>
              <w:top w:val="single" w:sz="6" w:space="0" w:color="auto"/>
              <w:left w:val="single" w:sz="6" w:space="0" w:color="auto"/>
              <w:bottom w:val="single" w:sz="6" w:space="0" w:color="auto"/>
              <w:right w:val="single" w:sz="6" w:space="0" w:color="auto"/>
            </w:tcBorders>
            <w:hideMark/>
          </w:tcPr>
          <w:p w14:paraId="65F1485F" w14:textId="77777777" w:rsidR="003A2D9E" w:rsidRDefault="003A2D9E">
            <w:pPr>
              <w:pStyle w:val="TAC"/>
              <w:rPr>
                <w:lang w:eastAsia="en-GB"/>
              </w:rPr>
            </w:pPr>
            <w:r>
              <w:rPr>
                <w:lang w:eastAsia="en-GB"/>
              </w:rPr>
              <w:t>1.16263 m</w:t>
            </w:r>
          </w:p>
        </w:tc>
      </w:tr>
      <w:tr w:rsidR="003A2D9E" w14:paraId="0E5CD423"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5EC04981"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11D0B282" w14:textId="77777777" w:rsidR="003A2D9E" w:rsidRDefault="003A2D9E">
            <w:pPr>
              <w:pStyle w:val="TAC"/>
              <w:rPr>
                <w:lang w:eastAsia="en-GB"/>
              </w:rPr>
            </w:pPr>
            <w:r>
              <w:rPr>
                <w:lang w:eastAsia="en-GB"/>
              </w:rPr>
              <w:t>-</w:t>
            </w:r>
          </w:p>
        </w:tc>
      </w:tr>
      <w:tr w:rsidR="003A2D9E" w14:paraId="6A76FABF"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1A42EAF4" w14:textId="77777777" w:rsidR="003A2D9E" w:rsidRDefault="003A2D9E">
            <w:pPr>
              <w:pStyle w:val="TAC"/>
              <w:rPr>
                <w:lang w:eastAsia="en-GB"/>
              </w:rPr>
            </w:pPr>
            <w:r>
              <w:rPr>
                <w:lang w:eastAsia="en-GB"/>
              </w:rPr>
              <w:t>100</w:t>
            </w:r>
          </w:p>
        </w:tc>
        <w:tc>
          <w:tcPr>
            <w:tcW w:w="2977" w:type="dxa"/>
            <w:tcBorders>
              <w:top w:val="single" w:sz="6" w:space="0" w:color="auto"/>
              <w:left w:val="single" w:sz="6" w:space="0" w:color="auto"/>
              <w:bottom w:val="single" w:sz="6" w:space="0" w:color="auto"/>
              <w:right w:val="single" w:sz="6" w:space="0" w:color="auto"/>
            </w:tcBorders>
            <w:hideMark/>
          </w:tcPr>
          <w:p w14:paraId="143C5AE0" w14:textId="77777777" w:rsidR="003A2D9E" w:rsidRDefault="003A2D9E">
            <w:pPr>
              <w:pStyle w:val="TAC"/>
              <w:rPr>
                <w:lang w:eastAsia="en-GB"/>
              </w:rPr>
            </w:pPr>
            <w:r>
              <w:rPr>
                <w:lang w:eastAsia="en-GB"/>
              </w:rPr>
              <w:t>1.87339 m</w:t>
            </w:r>
          </w:p>
        </w:tc>
      </w:tr>
      <w:tr w:rsidR="003A2D9E" w14:paraId="3488A87A"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717E5424"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166ED25B" w14:textId="77777777" w:rsidR="003A2D9E" w:rsidRDefault="003A2D9E">
            <w:pPr>
              <w:pStyle w:val="TAC"/>
              <w:rPr>
                <w:lang w:eastAsia="en-GB"/>
              </w:rPr>
            </w:pPr>
            <w:r>
              <w:rPr>
                <w:lang w:eastAsia="en-GB"/>
              </w:rPr>
              <w:t>-</w:t>
            </w:r>
          </w:p>
        </w:tc>
      </w:tr>
      <w:tr w:rsidR="003A2D9E" w14:paraId="34C79BD8"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79B42BBB" w14:textId="77777777" w:rsidR="003A2D9E" w:rsidRDefault="003A2D9E">
            <w:pPr>
              <w:pStyle w:val="TAC"/>
              <w:rPr>
                <w:lang w:eastAsia="en-GB"/>
              </w:rPr>
            </w:pPr>
            <w:r>
              <w:rPr>
                <w:lang w:eastAsia="en-GB"/>
              </w:rPr>
              <w:t>120</w:t>
            </w:r>
          </w:p>
        </w:tc>
        <w:tc>
          <w:tcPr>
            <w:tcW w:w="2977" w:type="dxa"/>
            <w:tcBorders>
              <w:top w:val="single" w:sz="6" w:space="0" w:color="auto"/>
              <w:left w:val="single" w:sz="6" w:space="0" w:color="auto"/>
              <w:bottom w:val="single" w:sz="6" w:space="0" w:color="auto"/>
              <w:right w:val="single" w:sz="6" w:space="0" w:color="auto"/>
            </w:tcBorders>
            <w:hideMark/>
          </w:tcPr>
          <w:p w14:paraId="0FFE95DB" w14:textId="77777777" w:rsidR="003A2D9E" w:rsidRDefault="003A2D9E">
            <w:pPr>
              <w:pStyle w:val="TAC"/>
              <w:rPr>
                <w:lang w:eastAsia="en-GB"/>
              </w:rPr>
            </w:pPr>
            <w:r>
              <w:rPr>
                <w:lang w:eastAsia="en-GB"/>
              </w:rPr>
              <w:t>2.92954 m</w:t>
            </w:r>
          </w:p>
        </w:tc>
      </w:tr>
      <w:tr w:rsidR="003A2D9E" w14:paraId="5CAAE633"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68B28A87"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24794DD0" w14:textId="77777777" w:rsidR="003A2D9E" w:rsidRDefault="003A2D9E">
            <w:pPr>
              <w:pStyle w:val="TAC"/>
              <w:rPr>
                <w:lang w:eastAsia="en-GB"/>
              </w:rPr>
            </w:pPr>
            <w:r>
              <w:rPr>
                <w:lang w:eastAsia="en-GB"/>
              </w:rPr>
              <w:t>-</w:t>
            </w:r>
          </w:p>
        </w:tc>
      </w:tr>
      <w:tr w:rsidR="003A2D9E" w14:paraId="15E07A1F"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234E10DD" w14:textId="77777777" w:rsidR="003A2D9E" w:rsidRDefault="003A2D9E">
            <w:pPr>
              <w:pStyle w:val="TAC"/>
              <w:rPr>
                <w:lang w:eastAsia="en-GB"/>
              </w:rPr>
            </w:pPr>
            <w:r>
              <w:rPr>
                <w:lang w:eastAsia="en-GB"/>
              </w:rPr>
              <w:t>127</w:t>
            </w:r>
          </w:p>
        </w:tc>
        <w:tc>
          <w:tcPr>
            <w:tcW w:w="2977" w:type="dxa"/>
            <w:tcBorders>
              <w:top w:val="single" w:sz="6" w:space="0" w:color="auto"/>
              <w:left w:val="single" w:sz="6" w:space="0" w:color="auto"/>
              <w:bottom w:val="single" w:sz="6" w:space="0" w:color="auto"/>
              <w:right w:val="single" w:sz="6" w:space="0" w:color="auto"/>
            </w:tcBorders>
            <w:hideMark/>
          </w:tcPr>
          <w:p w14:paraId="04E9BC11" w14:textId="77777777" w:rsidR="003A2D9E" w:rsidRDefault="003A2D9E">
            <w:pPr>
              <w:pStyle w:val="TAC"/>
              <w:rPr>
                <w:lang w:eastAsia="en-GB"/>
              </w:rPr>
            </w:pPr>
            <w:r>
              <w:rPr>
                <w:lang w:eastAsia="en-GB"/>
              </w:rPr>
              <w:t>3.40973 m</w:t>
            </w:r>
          </w:p>
        </w:tc>
      </w:tr>
      <w:tr w:rsidR="003A2D9E" w14:paraId="1B8E1E6B"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5FB9B59A"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7278B394" w14:textId="77777777" w:rsidR="003A2D9E" w:rsidRDefault="003A2D9E">
            <w:pPr>
              <w:pStyle w:val="TAC"/>
              <w:rPr>
                <w:lang w:eastAsia="en-GB"/>
              </w:rPr>
            </w:pPr>
            <w:r>
              <w:rPr>
                <w:lang w:eastAsia="en-GB"/>
              </w:rPr>
              <w:t>-</w:t>
            </w:r>
          </w:p>
        </w:tc>
      </w:tr>
      <w:tr w:rsidR="003A2D9E" w14:paraId="3D908B31"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3631A6D8" w14:textId="77777777" w:rsidR="003A2D9E" w:rsidRDefault="003A2D9E">
            <w:pPr>
              <w:pStyle w:val="TAC"/>
              <w:rPr>
                <w:lang w:eastAsia="en-GB"/>
              </w:rPr>
            </w:pPr>
            <w:r>
              <w:rPr>
                <w:lang w:eastAsia="en-GB"/>
              </w:rPr>
              <w:t>255</w:t>
            </w:r>
          </w:p>
        </w:tc>
        <w:tc>
          <w:tcPr>
            <w:tcW w:w="2977" w:type="dxa"/>
            <w:tcBorders>
              <w:top w:val="single" w:sz="6" w:space="0" w:color="auto"/>
              <w:left w:val="single" w:sz="6" w:space="0" w:color="auto"/>
              <w:bottom w:val="single" w:sz="6" w:space="0" w:color="auto"/>
              <w:right w:val="single" w:sz="6" w:space="0" w:color="auto"/>
            </w:tcBorders>
            <w:hideMark/>
          </w:tcPr>
          <w:p w14:paraId="29DA7A3F" w14:textId="77777777" w:rsidR="003A2D9E" w:rsidRDefault="003A2D9E">
            <w:pPr>
              <w:pStyle w:val="TAC"/>
              <w:rPr>
                <w:lang w:eastAsia="en-GB"/>
              </w:rPr>
            </w:pPr>
            <w:r>
              <w:rPr>
                <w:lang w:eastAsia="en-GB"/>
              </w:rPr>
              <w:t>46.49129 m</w:t>
            </w:r>
          </w:p>
        </w:tc>
      </w:tr>
    </w:tbl>
    <w:p w14:paraId="6D38BB81" w14:textId="77777777" w:rsidR="003A2D9E" w:rsidRDefault="003A2D9E" w:rsidP="003A2D9E"/>
    <w:p w14:paraId="21B9EE4B" w14:textId="77777777" w:rsidR="003A2D9E" w:rsidRPr="003A2D9E" w:rsidRDefault="003A2D9E" w:rsidP="003A2D9E">
      <w:bookmarkStart w:id="1849" w:name="_Toc524940653"/>
      <w:bookmarkStart w:id="1850" w:name="_Toc67980275"/>
      <w:bookmarkStart w:id="1851" w:name="_Toc91133095"/>
      <w:r w:rsidRPr="003A2D9E">
        <w:t>6.5</w:t>
      </w:r>
      <w:r w:rsidRPr="003A2D9E">
        <w:tab/>
        <w:t>Confidence</w:t>
      </w:r>
      <w:bookmarkEnd w:id="1849"/>
      <w:bookmarkEnd w:id="1850"/>
      <w:bookmarkEnd w:id="1851"/>
    </w:p>
    <w:p w14:paraId="74F768BE" w14:textId="77777777" w:rsidR="003A2D9E" w:rsidRPr="003A2D9E" w:rsidRDefault="003A2D9E" w:rsidP="003A2D9E">
      <w:r w:rsidRPr="003A2D9E">
        <w:t xml:space="preserve">The confidence by which the position of a target entity is known to be within the shape description, (expressed as a percentage) is directly mapped from the 7 bit binary number </w:t>
      </w:r>
      <w:r w:rsidRPr="003A2D9E">
        <w:rPr>
          <w:i/>
        </w:rPr>
        <w:t>K</w:t>
      </w:r>
      <w:r w:rsidRPr="003A2D9E">
        <w:t xml:space="preserve">, except for </w:t>
      </w:r>
      <w:r w:rsidRPr="003A2D9E">
        <w:rPr>
          <w:i/>
        </w:rPr>
        <w:t>K</w:t>
      </w:r>
      <w:r w:rsidRPr="003A2D9E">
        <w:t xml:space="preserve">=0 which is used to indicate 'no information', and 100 &lt; </w:t>
      </w:r>
      <w:r w:rsidRPr="003A2D9E">
        <w:rPr>
          <w:i/>
        </w:rPr>
        <w:t>K</w:t>
      </w:r>
      <w:r w:rsidRPr="003A2D9E">
        <w:t xml:space="preserve"> ≤128 which should not be used but may be interpreted as "no information" if received.</w:t>
      </w:r>
    </w:p>
    <w:p w14:paraId="5EDDC471" w14:textId="77777777" w:rsidR="00FD258E" w:rsidRDefault="00FD258E" w:rsidP="00024894">
      <w:pPr>
        <w:pStyle w:val="BodyText"/>
      </w:pPr>
    </w:p>
    <w:p w14:paraId="7F7B9E56" w14:textId="15F678DB" w:rsidR="00D35F36" w:rsidRPr="00D35F36" w:rsidRDefault="00D35F36" w:rsidP="00D35F36">
      <w:pPr>
        <w:pStyle w:val="Heading1"/>
      </w:pPr>
      <w:r>
        <w:lastRenderedPageBreak/>
        <w:t xml:space="preserve"> </w:t>
      </w:r>
      <w:bookmarkStart w:id="1852" w:name="_Toc178961693"/>
      <w:r w:rsidRPr="00D35F36">
        <w:t xml:space="preserve">Appendix </w:t>
      </w:r>
      <w:r>
        <w:t xml:space="preserve">B. </w:t>
      </w:r>
      <w:r>
        <w:rPr>
          <w:lang w:val="en-US"/>
        </w:rPr>
        <w:t>Model performance monitoring approaches</w:t>
      </w:r>
      <w:bookmarkEnd w:id="1852"/>
    </w:p>
    <w:p w14:paraId="55F051B6" w14:textId="2F0AA17D" w:rsidR="00D35F36" w:rsidRDefault="00D35F36" w:rsidP="00024894">
      <w:pPr>
        <w:pStyle w:val="BodyText"/>
      </w:pPr>
    </w:p>
    <w:p w14:paraId="5708F473" w14:textId="77777777" w:rsidR="00D35F36" w:rsidRDefault="00D35F36" w:rsidP="00D35F36">
      <w:r>
        <w:t>In the following, we review three highly effective performance monitoring solutions, which are applicable to Case 1 and Case 3a.</w:t>
      </w:r>
    </w:p>
    <w:p w14:paraId="0D96C456" w14:textId="7AD02315" w:rsidR="00D35F36" w:rsidRDefault="00D35F36" w:rsidP="00D35F36">
      <w:r>
        <w:t xml:space="preserve">Case 1 is </w:t>
      </w:r>
      <w:r w:rsidRPr="00CB5E00">
        <w:t>UE-based positioning with UE-side model</w:t>
      </w:r>
      <w:r w:rsidRPr="00343346">
        <w:t>, direct AI/ML positioning</w:t>
      </w:r>
      <w:r>
        <w:t xml:space="preserve">, where an AI/ML model taking multiple measurement inputs to produce an estimate of the UE position, as illustrated in </w:t>
      </w:r>
      <w:r>
        <w:fldChar w:fldCharType="begin"/>
      </w:r>
      <w:r>
        <w:instrText xml:space="preserve"> REF _Ref164865995 </w:instrText>
      </w:r>
      <w:r>
        <w:fldChar w:fldCharType="separate"/>
      </w:r>
      <w:r w:rsidR="00850DA1" w:rsidRPr="00E215F0">
        <w:t xml:space="preserve">Figure </w:t>
      </w:r>
      <w:r w:rsidR="00850DA1">
        <w:rPr>
          <w:noProof/>
        </w:rPr>
        <w:t>23</w:t>
      </w:r>
      <w:r>
        <w:rPr>
          <w:noProof/>
        </w:rPr>
        <w:fldChar w:fldCharType="end"/>
      </w:r>
      <w:r>
        <w:t>(a).</w:t>
      </w:r>
    </w:p>
    <w:p w14:paraId="6BF6C193" w14:textId="5E7684B7" w:rsidR="00D35F36" w:rsidRPr="008A50F0" w:rsidRDefault="00D35F36" w:rsidP="00D35F36">
      <w:r>
        <w:t xml:space="preserve">Case 3a </w:t>
      </w:r>
      <w:r w:rsidRPr="00343346">
        <w:t>NG-RAN node assisted positioning with gNB-side model, AI/ML assisted positioning</w:t>
      </w:r>
      <w:r>
        <w:t xml:space="preserve">. An AI/ML model taking multiple measurement inputs to produce multiple model outputs such as the ToAs to multiple TRPs. The ToAs can then further processed to produce an estimate of the UE position using, for example, conventional triangulation optimization. This is illustrated in </w:t>
      </w:r>
      <w:r>
        <w:fldChar w:fldCharType="begin"/>
      </w:r>
      <w:r>
        <w:instrText xml:space="preserve"> REF _Ref164865995 </w:instrText>
      </w:r>
      <w:r>
        <w:fldChar w:fldCharType="separate"/>
      </w:r>
      <w:r w:rsidR="00850DA1" w:rsidRPr="00E215F0">
        <w:t xml:space="preserve">Figure </w:t>
      </w:r>
      <w:r w:rsidR="00850DA1">
        <w:rPr>
          <w:noProof/>
        </w:rPr>
        <w:t>23</w:t>
      </w:r>
      <w:r>
        <w:rPr>
          <w:noProof/>
        </w:rPr>
        <w:fldChar w:fldCharType="end"/>
      </w:r>
      <w:r>
        <w:t>(b).</w:t>
      </w:r>
    </w:p>
    <w:p w14:paraId="746D164A" w14:textId="77777777" w:rsidR="00D35F36" w:rsidRDefault="00D35F36" w:rsidP="00D35F36"/>
    <w:p w14:paraId="17FD18AF" w14:textId="77777777" w:rsidR="00D35F36" w:rsidRDefault="00D35F36" w:rsidP="00D35F36">
      <w:pPr>
        <w:ind w:firstLine="567"/>
        <w:jc w:val="center"/>
      </w:pPr>
      <w:r>
        <w:rPr>
          <w:noProof/>
        </w:rPr>
        <w:drawing>
          <wp:inline distT="0" distB="0" distL="0" distR="0" wp14:anchorId="0910EB32" wp14:editId="691B839A">
            <wp:extent cx="1901952" cy="182880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01952" cy="1828800"/>
                    </a:xfrm>
                    <a:prstGeom prst="rect">
                      <a:avLst/>
                    </a:prstGeom>
                    <a:noFill/>
                  </pic:spPr>
                </pic:pic>
              </a:graphicData>
            </a:graphic>
          </wp:inline>
        </w:drawing>
      </w:r>
      <w:r>
        <w:tab/>
        <w:t xml:space="preserve">  </w:t>
      </w:r>
      <w:r>
        <w:tab/>
      </w:r>
      <w:r>
        <w:tab/>
      </w:r>
      <w:r>
        <w:rPr>
          <w:noProof/>
        </w:rPr>
        <w:drawing>
          <wp:inline distT="0" distB="0" distL="0" distR="0" wp14:anchorId="5F948BC0" wp14:editId="60C238AA">
            <wp:extent cx="3081528" cy="1828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81528" cy="1828800"/>
                    </a:xfrm>
                    <a:prstGeom prst="rect">
                      <a:avLst/>
                    </a:prstGeom>
                    <a:noFill/>
                  </pic:spPr>
                </pic:pic>
              </a:graphicData>
            </a:graphic>
          </wp:inline>
        </w:drawing>
      </w:r>
    </w:p>
    <w:p w14:paraId="63A8B888" w14:textId="77777777" w:rsidR="00D35F36" w:rsidRDefault="00D35F36" w:rsidP="00D35F36">
      <w:pPr>
        <w:jc w:val="center"/>
      </w:pPr>
      <w:r>
        <w:t>(a) direct AI/ML positioning</w:t>
      </w:r>
      <w:r>
        <w:tab/>
      </w:r>
      <w:r>
        <w:tab/>
      </w:r>
      <w:r>
        <w:tab/>
      </w:r>
      <w:r>
        <w:tab/>
        <w:t xml:space="preserve">(b) </w:t>
      </w:r>
      <w:r w:rsidRPr="00F767BE">
        <w:t>AI/ML assisted positioning</w:t>
      </w:r>
      <w:r w:rsidRPr="00F767BE" w:rsidDel="00F767BE">
        <w:t xml:space="preserve"> </w:t>
      </w:r>
    </w:p>
    <w:p w14:paraId="5ABC13C5" w14:textId="124E0FF6" w:rsidR="00D35F36" w:rsidRPr="00E215F0" w:rsidRDefault="00D35F36" w:rsidP="00D35F36">
      <w:pPr>
        <w:pStyle w:val="Caption"/>
        <w:jc w:val="center"/>
      </w:pPr>
      <w:bookmarkStart w:id="1853" w:name="_Ref164865995"/>
      <w:r w:rsidRPr="00E215F0">
        <w:t xml:space="preserve">Figure </w:t>
      </w:r>
      <w:r>
        <w:fldChar w:fldCharType="begin"/>
      </w:r>
      <w:r>
        <w:instrText xml:space="preserve"> SEQ Figure \* ARABIC </w:instrText>
      </w:r>
      <w:r>
        <w:fldChar w:fldCharType="separate"/>
      </w:r>
      <w:r w:rsidR="00850DA1">
        <w:rPr>
          <w:noProof/>
        </w:rPr>
        <w:t>23</w:t>
      </w:r>
      <w:r>
        <w:rPr>
          <w:noProof/>
        </w:rPr>
        <w:fldChar w:fldCharType="end"/>
      </w:r>
      <w:bookmarkEnd w:id="1853"/>
      <w:r w:rsidRPr="00E215F0">
        <w:t>.</w:t>
      </w:r>
      <w:r>
        <w:t xml:space="preserve"> Two possible implementations of Case 1 </w:t>
      </w:r>
      <w:r w:rsidRPr="000607CA">
        <w:rPr>
          <w:lang w:eastAsia="ja-JP"/>
        </w:rPr>
        <w:t>UE-based positioning with UE-side model</w:t>
      </w:r>
      <w:r>
        <w:rPr>
          <w:lang w:eastAsia="ja-JP"/>
        </w:rPr>
        <w:t>.</w:t>
      </w:r>
    </w:p>
    <w:p w14:paraId="7C4F48A6" w14:textId="77777777" w:rsidR="00D35F36" w:rsidRDefault="00D35F36" w:rsidP="00D35F36"/>
    <w:p w14:paraId="08A31194" w14:textId="2713B13D" w:rsidR="00D35F36" w:rsidRDefault="00D35F36" w:rsidP="00D35F36">
      <w:r>
        <w:t xml:space="preserve">In Section </w:t>
      </w:r>
      <w:r>
        <w:fldChar w:fldCharType="begin"/>
      </w:r>
      <w:r>
        <w:instrText xml:space="preserve"> REF _Ref164864179 \r \h </w:instrText>
      </w:r>
      <w:r>
        <w:fldChar w:fldCharType="separate"/>
      </w:r>
      <w:r w:rsidR="00850DA1">
        <w:t>11.1.1</w:t>
      </w:r>
      <w:r>
        <w:fldChar w:fldCharType="end"/>
      </w:r>
      <w:r>
        <w:t xml:space="preserve"> (label-based) and </w:t>
      </w:r>
      <w:r>
        <w:fldChar w:fldCharType="begin"/>
      </w:r>
      <w:r>
        <w:instrText xml:space="preserve"> REF _Ref164864188 \r \h </w:instrText>
      </w:r>
      <w:r>
        <w:fldChar w:fldCharType="separate"/>
      </w:r>
      <w:r w:rsidR="00850DA1">
        <w:t>11.1.3</w:t>
      </w:r>
      <w:r>
        <w:fldChar w:fldCharType="end"/>
      </w:r>
      <w:r>
        <w:t xml:space="preserve"> (label-free), we provide two effective performance monitoring methods which can be applied for both the direct positioning (e.g., Case 1) and the assisted positioning (e.g., Case 3a). In Section </w:t>
      </w:r>
      <w:r>
        <w:fldChar w:fldCharType="begin"/>
      </w:r>
      <w:r>
        <w:instrText xml:space="preserve"> REF _Ref164864197 \r \h </w:instrText>
      </w:r>
      <w:r>
        <w:fldChar w:fldCharType="separate"/>
      </w:r>
      <w:r w:rsidR="00850DA1">
        <w:t>11.1.2</w:t>
      </w:r>
      <w:r>
        <w:fldChar w:fldCharType="end"/>
      </w:r>
      <w:r>
        <w:t xml:space="preserve">, we provide an effective label-based performance monitoring for assisted positioning (e.g., Case 3a). The discussion shows that self-contained performance monitoring is possible for both Case 1 and Case 3a, with either (a) label-free monitoring methods or (b) label-based monitoring methods with certain label related information generated by the model inference entity itself. </w:t>
      </w:r>
    </w:p>
    <w:p w14:paraId="72E6053F" w14:textId="565FD3B9" w:rsidR="00D35F36" w:rsidRDefault="00D35F36" w:rsidP="00D35F36">
      <w:r>
        <w:t xml:space="preserve">Specific to Case 1, the method in Section </w:t>
      </w:r>
      <w:r>
        <w:fldChar w:fldCharType="begin"/>
      </w:r>
      <w:r>
        <w:instrText xml:space="preserve"> REF _Ref164864179 \r \h </w:instrText>
      </w:r>
      <w:r>
        <w:fldChar w:fldCharType="separate"/>
      </w:r>
      <w:r w:rsidR="00850DA1">
        <w:t>11.1.1</w:t>
      </w:r>
      <w:r>
        <w:fldChar w:fldCharType="end"/>
      </w:r>
      <w:r>
        <w:t xml:space="preserve"> is an example of target UE perform label-based monitoring without label related info from other entities; the method in Section </w:t>
      </w:r>
      <w:r>
        <w:fldChar w:fldCharType="begin"/>
      </w:r>
      <w:r>
        <w:instrText xml:space="preserve"> REF _Ref164864197 \r \h </w:instrText>
      </w:r>
      <w:r>
        <w:fldChar w:fldCharType="separate"/>
      </w:r>
      <w:r w:rsidR="00850DA1">
        <w:t>11.1.2</w:t>
      </w:r>
      <w:r>
        <w:fldChar w:fldCharType="end"/>
      </w:r>
      <w:r>
        <w:t xml:space="preserve"> is an example of label-free monitoring. From the discussion, we can conclude the following for Case 1:</w:t>
      </w:r>
    </w:p>
    <w:p w14:paraId="0A39DED4" w14:textId="77777777" w:rsidR="00D35F36" w:rsidRPr="00882E17" w:rsidRDefault="00D35F36" w:rsidP="00D35F36">
      <w:pPr>
        <w:ind w:left="567"/>
      </w:pPr>
      <w:r>
        <w:t>Self-contained performance monitoring solutions for Case 1 have been shown to achieve high effectiveness in AI/ML model performance assessment. These performance results are to be used as baselines to evaluate the complexity vs added benefits tradeoff for the label-based performance monitoring proposals under consideration in RAN1.</w:t>
      </w:r>
    </w:p>
    <w:p w14:paraId="69261A4B" w14:textId="77777777" w:rsidR="00D35F36" w:rsidRDefault="00D35F36" w:rsidP="00D35F36">
      <w:pPr>
        <w:pStyle w:val="Heading3"/>
      </w:pPr>
      <w:r>
        <w:tab/>
      </w:r>
      <w:bookmarkStart w:id="1854" w:name="_Ref164864179"/>
      <w:bookmarkStart w:id="1855" w:name="_Toc165991014"/>
      <w:bookmarkStart w:id="1856" w:name="_Ref166192742"/>
      <w:bookmarkStart w:id="1857" w:name="_Ref166232055"/>
      <w:bookmarkStart w:id="1858" w:name="_Ref166248755"/>
      <w:bookmarkStart w:id="1859" w:name="_Toc178961694"/>
      <w:r>
        <w:rPr>
          <w:lang w:val="en-US"/>
        </w:rPr>
        <w:t>M</w:t>
      </w:r>
      <w:r w:rsidRPr="76681F58">
        <w:rPr>
          <w:lang w:val="en-US"/>
        </w:rPr>
        <w:t>onitoring approach 1</w:t>
      </w:r>
      <w:r>
        <w:rPr>
          <w:lang w:val="en-US"/>
        </w:rPr>
        <w:t xml:space="preserve"> (Label-based)</w:t>
      </w:r>
      <w:r w:rsidRPr="76681F58">
        <w:rPr>
          <w:lang w:val="en-US"/>
        </w:rPr>
        <w:t>: Opportunistic LoS links</w:t>
      </w:r>
      <w:bookmarkEnd w:id="1854"/>
      <w:bookmarkEnd w:id="1855"/>
      <w:bookmarkEnd w:id="1856"/>
      <w:bookmarkEnd w:id="1857"/>
      <w:bookmarkEnd w:id="1858"/>
      <w:bookmarkEnd w:id="1859"/>
    </w:p>
    <w:p w14:paraId="75CBA0AF" w14:textId="4AA6E67B" w:rsidR="00D35F36" w:rsidRPr="00E215F0" w:rsidRDefault="00D35F36" w:rsidP="00D35F36">
      <w:r w:rsidRPr="00E215F0">
        <w:t xml:space="preserve">In a cluttered environment, there is often a low probability of line-of-sight for a radio link between a UE and a TRP. For example, for InF-DH environment, </w:t>
      </w:r>
      <w:r>
        <w:fldChar w:fldCharType="begin"/>
      </w:r>
      <w:r>
        <w:instrText xml:space="preserve"> REF _Ref166241349 </w:instrText>
      </w:r>
      <w:r>
        <w:fldChar w:fldCharType="separate"/>
      </w:r>
      <w:r w:rsidR="00850DA1" w:rsidRPr="00E215F0">
        <w:t xml:space="preserve">Table </w:t>
      </w:r>
      <w:r w:rsidR="00850DA1">
        <w:rPr>
          <w:noProof/>
        </w:rPr>
        <w:t>21</w:t>
      </w:r>
      <w:r>
        <w:rPr>
          <w:noProof/>
        </w:rPr>
        <w:fldChar w:fldCharType="end"/>
      </w:r>
      <w:r w:rsidRPr="00E215F0">
        <w:t xml:space="preserve"> shows the LoS probabilities of a radio link between TRP and UE when assuming different InF-DH clutter parameter settings. It is observed that the LoS probability </w:t>
      </w:r>
      <w:r>
        <w:t xml:space="preserve">of a UE-TRP link </w:t>
      </w:r>
      <w:r w:rsidRPr="00E215F0">
        <w:t xml:space="preserve">ranges from 44.9% in a </w:t>
      </w:r>
      <w:r w:rsidRPr="00E215F0">
        <w:lastRenderedPageBreak/>
        <w:t xml:space="preserve">mildly cluttered environment to only 0.8% in a heavily cluttered environment. For InF-DH with clutter parameter {60%, 6m, 2m}, line-of-sight links are very rare (probability=0.8%) and this is the reason why conventional positioning methods fail. </w:t>
      </w:r>
    </w:p>
    <w:p w14:paraId="1FE059EE" w14:textId="07089153" w:rsidR="00D35F36" w:rsidRPr="00E215F0" w:rsidRDefault="00D35F36" w:rsidP="00D35F36">
      <w:pPr>
        <w:pStyle w:val="Caption"/>
        <w:keepNext/>
        <w:jc w:val="center"/>
        <w:rPr>
          <w:lang w:eastAsia="ja-JP"/>
        </w:rPr>
      </w:pPr>
      <w:bookmarkStart w:id="1860" w:name="_Ref166241349"/>
      <w:r w:rsidRPr="00E215F0">
        <w:t xml:space="preserve">Table </w:t>
      </w:r>
      <w:r>
        <w:fldChar w:fldCharType="begin"/>
      </w:r>
      <w:r>
        <w:instrText xml:space="preserve"> SEQ Table \* ARABIC </w:instrText>
      </w:r>
      <w:r>
        <w:fldChar w:fldCharType="separate"/>
      </w:r>
      <w:r w:rsidR="00850DA1">
        <w:rPr>
          <w:noProof/>
        </w:rPr>
        <w:t>21</w:t>
      </w:r>
      <w:r>
        <w:rPr>
          <w:noProof/>
        </w:rPr>
        <w:fldChar w:fldCharType="end"/>
      </w:r>
      <w:bookmarkEnd w:id="1860"/>
      <w:r w:rsidRPr="00E215F0">
        <w:t>. LoS probabilities of a radio link between TRP and UE when assuming different InF-DH clutter parameter settings.</w:t>
      </w:r>
    </w:p>
    <w:tbl>
      <w:tblPr>
        <w:tblStyle w:val="TableGrid"/>
        <w:tblW w:w="6840" w:type="dxa"/>
        <w:tblInd w:w="1525" w:type="dxa"/>
        <w:tblLook w:val="04A0" w:firstRow="1" w:lastRow="0" w:firstColumn="1" w:lastColumn="0" w:noHBand="0" w:noVBand="1"/>
      </w:tblPr>
      <w:tblGrid>
        <w:gridCol w:w="3645"/>
        <w:gridCol w:w="3195"/>
      </w:tblGrid>
      <w:tr w:rsidR="00D35F36" w:rsidRPr="00E215F0" w14:paraId="03967EC9" w14:textId="77777777" w:rsidTr="00500110">
        <w:tc>
          <w:tcPr>
            <w:tcW w:w="3645" w:type="dxa"/>
            <w:tcBorders>
              <w:bottom w:val="double" w:sz="4" w:space="0" w:color="auto"/>
            </w:tcBorders>
            <w:vAlign w:val="center"/>
          </w:tcPr>
          <w:p w14:paraId="7CE6B8C7" w14:textId="77777777" w:rsidR="00D35F36" w:rsidRPr="00FC36A8" w:rsidRDefault="00D35F36" w:rsidP="00500110">
            <w:pPr>
              <w:spacing w:before="60" w:after="60"/>
              <w:jc w:val="center"/>
              <w:rPr>
                <w:sz w:val="20"/>
                <w:szCs w:val="20"/>
              </w:rPr>
            </w:pPr>
            <w:r w:rsidRPr="00FC36A8">
              <w:rPr>
                <w:sz w:val="20"/>
                <w:szCs w:val="20"/>
              </w:rPr>
              <w:t>Environment clutter parameter setting</w:t>
            </w:r>
          </w:p>
        </w:tc>
        <w:tc>
          <w:tcPr>
            <w:tcW w:w="3195" w:type="dxa"/>
            <w:tcBorders>
              <w:bottom w:val="double" w:sz="4" w:space="0" w:color="auto"/>
            </w:tcBorders>
            <w:vAlign w:val="center"/>
          </w:tcPr>
          <w:p w14:paraId="3A4BA8C6" w14:textId="77777777" w:rsidR="00D35F36" w:rsidRPr="00FC36A8" w:rsidRDefault="00D35F36" w:rsidP="00500110">
            <w:pPr>
              <w:spacing w:before="60" w:after="60"/>
              <w:jc w:val="center"/>
              <w:rPr>
                <w:sz w:val="20"/>
                <w:szCs w:val="20"/>
              </w:rPr>
            </w:pPr>
            <w:r w:rsidRPr="00FC36A8">
              <w:rPr>
                <w:sz w:val="20"/>
                <w:szCs w:val="20"/>
              </w:rPr>
              <w:t>LoS Probability</w:t>
            </w:r>
          </w:p>
        </w:tc>
      </w:tr>
      <w:tr w:rsidR="00D35F36" w:rsidRPr="00E215F0" w14:paraId="08A03FE6" w14:textId="77777777" w:rsidTr="00500110">
        <w:tc>
          <w:tcPr>
            <w:tcW w:w="3645" w:type="dxa"/>
            <w:tcBorders>
              <w:top w:val="double" w:sz="4" w:space="0" w:color="auto"/>
            </w:tcBorders>
            <w:vAlign w:val="center"/>
          </w:tcPr>
          <w:p w14:paraId="3F8AAA1B" w14:textId="77777777" w:rsidR="00D35F36" w:rsidRPr="00FC36A8" w:rsidRDefault="00D35F36" w:rsidP="00500110">
            <w:pPr>
              <w:spacing w:before="60" w:after="60"/>
              <w:jc w:val="center"/>
              <w:rPr>
                <w:sz w:val="20"/>
                <w:szCs w:val="20"/>
              </w:rPr>
            </w:pPr>
            <w:r w:rsidRPr="00FC36A8">
              <w:rPr>
                <w:sz w:val="20"/>
                <w:szCs w:val="20"/>
              </w:rPr>
              <w:t>{40%, 2m, 2m}</w:t>
            </w:r>
          </w:p>
        </w:tc>
        <w:tc>
          <w:tcPr>
            <w:tcW w:w="3195" w:type="dxa"/>
            <w:tcBorders>
              <w:top w:val="double" w:sz="4" w:space="0" w:color="auto"/>
            </w:tcBorders>
            <w:vAlign w:val="center"/>
          </w:tcPr>
          <w:p w14:paraId="45AC936B" w14:textId="77777777" w:rsidR="00D35F36" w:rsidRPr="00FC36A8" w:rsidRDefault="00D35F36" w:rsidP="00500110">
            <w:pPr>
              <w:spacing w:before="60" w:after="60"/>
              <w:jc w:val="center"/>
              <w:rPr>
                <w:sz w:val="20"/>
                <w:szCs w:val="20"/>
              </w:rPr>
            </w:pPr>
            <w:r w:rsidRPr="00FC36A8">
              <w:rPr>
                <w:sz w:val="20"/>
                <w:szCs w:val="20"/>
              </w:rPr>
              <w:t>0.449</w:t>
            </w:r>
          </w:p>
        </w:tc>
      </w:tr>
      <w:tr w:rsidR="00D35F36" w:rsidRPr="00E215F0" w14:paraId="53D9D197" w14:textId="77777777" w:rsidTr="00500110">
        <w:tc>
          <w:tcPr>
            <w:tcW w:w="3645" w:type="dxa"/>
            <w:vAlign w:val="center"/>
          </w:tcPr>
          <w:p w14:paraId="06C00DBC" w14:textId="77777777" w:rsidR="00D35F36" w:rsidRPr="00FC36A8" w:rsidRDefault="00D35F36" w:rsidP="00500110">
            <w:pPr>
              <w:spacing w:before="60" w:after="60"/>
              <w:jc w:val="center"/>
              <w:rPr>
                <w:sz w:val="20"/>
                <w:szCs w:val="20"/>
              </w:rPr>
            </w:pPr>
            <w:r w:rsidRPr="00FC36A8">
              <w:rPr>
                <w:sz w:val="20"/>
                <w:szCs w:val="20"/>
              </w:rPr>
              <w:t>{50%, 2m, 2m}</w:t>
            </w:r>
          </w:p>
        </w:tc>
        <w:tc>
          <w:tcPr>
            <w:tcW w:w="3195" w:type="dxa"/>
            <w:vAlign w:val="center"/>
          </w:tcPr>
          <w:p w14:paraId="10DB9B19" w14:textId="77777777" w:rsidR="00D35F36" w:rsidRPr="00FC36A8" w:rsidRDefault="00D35F36" w:rsidP="00500110">
            <w:pPr>
              <w:spacing w:before="60" w:after="60"/>
              <w:jc w:val="center"/>
              <w:rPr>
                <w:sz w:val="20"/>
                <w:szCs w:val="20"/>
              </w:rPr>
            </w:pPr>
            <w:r w:rsidRPr="00FC36A8">
              <w:rPr>
                <w:sz w:val="20"/>
                <w:szCs w:val="20"/>
              </w:rPr>
              <w:t>0.352</w:t>
            </w:r>
          </w:p>
        </w:tc>
      </w:tr>
      <w:tr w:rsidR="00D35F36" w:rsidRPr="00E215F0" w14:paraId="174DC6CA" w14:textId="77777777" w:rsidTr="00500110">
        <w:tc>
          <w:tcPr>
            <w:tcW w:w="3645" w:type="dxa"/>
          </w:tcPr>
          <w:p w14:paraId="664A80F1" w14:textId="77777777" w:rsidR="00D35F36" w:rsidRPr="00FC36A8" w:rsidRDefault="00D35F36" w:rsidP="00500110">
            <w:pPr>
              <w:spacing w:before="60" w:after="60"/>
              <w:jc w:val="center"/>
              <w:rPr>
                <w:sz w:val="20"/>
                <w:szCs w:val="20"/>
              </w:rPr>
            </w:pPr>
            <w:r w:rsidRPr="00FC36A8">
              <w:rPr>
                <w:sz w:val="20"/>
                <w:szCs w:val="20"/>
              </w:rPr>
              <w:t>{60%, 2m, 2m}</w:t>
            </w:r>
          </w:p>
        </w:tc>
        <w:tc>
          <w:tcPr>
            <w:tcW w:w="3195" w:type="dxa"/>
          </w:tcPr>
          <w:p w14:paraId="53419DC1" w14:textId="77777777" w:rsidR="00D35F36" w:rsidRPr="00FC36A8" w:rsidRDefault="00D35F36" w:rsidP="00500110">
            <w:pPr>
              <w:spacing w:before="60" w:after="60"/>
              <w:jc w:val="center"/>
              <w:rPr>
                <w:sz w:val="20"/>
                <w:szCs w:val="20"/>
              </w:rPr>
            </w:pPr>
            <w:r w:rsidRPr="00FC36A8">
              <w:rPr>
                <w:sz w:val="20"/>
                <w:szCs w:val="20"/>
              </w:rPr>
              <w:t>0.268</w:t>
            </w:r>
          </w:p>
        </w:tc>
      </w:tr>
      <w:tr w:rsidR="00D35F36" w:rsidRPr="00E215F0" w14:paraId="2FFEC044" w14:textId="77777777" w:rsidTr="00500110">
        <w:tc>
          <w:tcPr>
            <w:tcW w:w="3645" w:type="dxa"/>
          </w:tcPr>
          <w:p w14:paraId="1DCFE669" w14:textId="77777777" w:rsidR="00D35F36" w:rsidRPr="00FC36A8" w:rsidRDefault="00D35F36" w:rsidP="00500110">
            <w:pPr>
              <w:spacing w:before="60" w:after="60"/>
              <w:jc w:val="center"/>
              <w:rPr>
                <w:sz w:val="20"/>
                <w:szCs w:val="20"/>
              </w:rPr>
            </w:pPr>
            <w:r w:rsidRPr="00FC36A8">
              <w:rPr>
                <w:sz w:val="20"/>
                <w:szCs w:val="20"/>
              </w:rPr>
              <w:t>{40%, 6m, 2m}</w:t>
            </w:r>
          </w:p>
        </w:tc>
        <w:tc>
          <w:tcPr>
            <w:tcW w:w="3195" w:type="dxa"/>
          </w:tcPr>
          <w:p w14:paraId="4BC7185F" w14:textId="77777777" w:rsidR="00D35F36" w:rsidRPr="00FC36A8" w:rsidRDefault="00D35F36" w:rsidP="00500110">
            <w:pPr>
              <w:spacing w:before="60" w:after="60"/>
              <w:jc w:val="center"/>
              <w:rPr>
                <w:sz w:val="20"/>
                <w:szCs w:val="20"/>
              </w:rPr>
            </w:pPr>
            <w:r w:rsidRPr="00FC36A8">
              <w:rPr>
                <w:sz w:val="20"/>
                <w:szCs w:val="20"/>
              </w:rPr>
              <w:t>0.014</w:t>
            </w:r>
          </w:p>
        </w:tc>
      </w:tr>
      <w:tr w:rsidR="00D35F36" w:rsidRPr="00E215F0" w14:paraId="3780AD3D" w14:textId="77777777" w:rsidTr="00500110">
        <w:tc>
          <w:tcPr>
            <w:tcW w:w="3645" w:type="dxa"/>
          </w:tcPr>
          <w:p w14:paraId="5B22BCAE" w14:textId="77777777" w:rsidR="00D35F36" w:rsidRPr="00FC36A8" w:rsidRDefault="00D35F36" w:rsidP="00500110">
            <w:pPr>
              <w:spacing w:before="60" w:after="60"/>
              <w:jc w:val="center"/>
              <w:rPr>
                <w:sz w:val="20"/>
                <w:szCs w:val="20"/>
              </w:rPr>
            </w:pPr>
            <w:r w:rsidRPr="00FC36A8">
              <w:rPr>
                <w:sz w:val="20"/>
                <w:szCs w:val="20"/>
              </w:rPr>
              <w:t>{50%, 6m, 2m}</w:t>
            </w:r>
          </w:p>
        </w:tc>
        <w:tc>
          <w:tcPr>
            <w:tcW w:w="3195" w:type="dxa"/>
          </w:tcPr>
          <w:p w14:paraId="5EAD4017" w14:textId="77777777" w:rsidR="00D35F36" w:rsidRPr="00FC36A8" w:rsidRDefault="00D35F36" w:rsidP="00500110">
            <w:pPr>
              <w:spacing w:before="60" w:after="60"/>
              <w:jc w:val="center"/>
              <w:rPr>
                <w:sz w:val="20"/>
                <w:szCs w:val="20"/>
              </w:rPr>
            </w:pPr>
            <w:r w:rsidRPr="00FC36A8">
              <w:rPr>
                <w:sz w:val="20"/>
                <w:szCs w:val="20"/>
              </w:rPr>
              <w:t>0.025</w:t>
            </w:r>
          </w:p>
        </w:tc>
      </w:tr>
      <w:tr w:rsidR="00D35F36" w:rsidRPr="00E215F0" w14:paraId="6CE331FF" w14:textId="77777777" w:rsidTr="00500110">
        <w:tc>
          <w:tcPr>
            <w:tcW w:w="3645" w:type="dxa"/>
          </w:tcPr>
          <w:p w14:paraId="5E82D2CD" w14:textId="77777777" w:rsidR="00D35F36" w:rsidRPr="00FC36A8" w:rsidRDefault="00D35F36" w:rsidP="00500110">
            <w:pPr>
              <w:spacing w:before="60" w:after="60"/>
              <w:jc w:val="center"/>
              <w:rPr>
                <w:sz w:val="20"/>
                <w:szCs w:val="20"/>
              </w:rPr>
            </w:pPr>
            <w:r w:rsidRPr="00FC36A8">
              <w:rPr>
                <w:sz w:val="20"/>
                <w:szCs w:val="20"/>
              </w:rPr>
              <w:t>{60%, 6m, 2m}</w:t>
            </w:r>
          </w:p>
        </w:tc>
        <w:tc>
          <w:tcPr>
            <w:tcW w:w="3195" w:type="dxa"/>
          </w:tcPr>
          <w:p w14:paraId="5BDDF3EA" w14:textId="77777777" w:rsidR="00D35F36" w:rsidRPr="00FC36A8" w:rsidRDefault="00D35F36" w:rsidP="00500110">
            <w:pPr>
              <w:spacing w:before="60" w:after="60"/>
              <w:jc w:val="center"/>
              <w:rPr>
                <w:sz w:val="20"/>
                <w:szCs w:val="20"/>
              </w:rPr>
            </w:pPr>
            <w:r w:rsidRPr="00FC36A8">
              <w:rPr>
                <w:sz w:val="20"/>
                <w:szCs w:val="20"/>
              </w:rPr>
              <w:t>0.008</w:t>
            </w:r>
          </w:p>
        </w:tc>
      </w:tr>
    </w:tbl>
    <w:p w14:paraId="6301E33E" w14:textId="77777777" w:rsidR="00D35F36" w:rsidRPr="00E215F0" w:rsidRDefault="00D35F36" w:rsidP="00D35F36"/>
    <w:p w14:paraId="5A77B908" w14:textId="73454C8A" w:rsidR="00D35F36" w:rsidRDefault="00D35F36" w:rsidP="00D35F36">
      <w:r w:rsidRPr="00E215F0">
        <w:t xml:space="preserve">On the other hand, </w:t>
      </w:r>
      <w:r>
        <w:fldChar w:fldCharType="begin"/>
      </w:r>
      <w:r>
        <w:instrText xml:space="preserve"> REF _Ref166241349 </w:instrText>
      </w:r>
      <w:r>
        <w:fldChar w:fldCharType="separate"/>
      </w:r>
      <w:r w:rsidR="00850DA1" w:rsidRPr="00E215F0">
        <w:t xml:space="preserve">Table </w:t>
      </w:r>
      <w:r w:rsidR="00850DA1">
        <w:rPr>
          <w:noProof/>
        </w:rPr>
        <w:t>21</w:t>
      </w:r>
      <w:r>
        <w:rPr>
          <w:noProof/>
        </w:rPr>
        <w:fldChar w:fldCharType="end"/>
      </w:r>
      <w:r w:rsidRPr="00E215F0">
        <w:t xml:space="preserve"> shows that LoS link can still be encountered from time to time, even for the most cluttered environment of InF-DH with clutter parameter {60%, 6m, 2m}.</w:t>
      </w:r>
      <w:r>
        <w:t xml:space="preserve"> In particular, considering that there are 18 TRPs that the UE monitors, the probability of observing at least one LoS link is actually great than 10%.</w:t>
      </w:r>
    </w:p>
    <w:p w14:paraId="3E025D3F" w14:textId="77777777" w:rsidR="00D35F36" w:rsidRDefault="00D35F36" w:rsidP="00D35F36">
      <w:r>
        <w:t xml:space="preserve">In Case 1, the target UE measures the PRS from the TRPs and determines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UE</m:t>
            </m:r>
          </m:sub>
        </m:sSub>
      </m:oMath>
      <w:r>
        <w:t xml:space="preserve">, of its own positioning using a direct positioning AI/ML model. The target UE can also </w:t>
      </w:r>
    </w:p>
    <w:p w14:paraId="7BBFFE98" w14:textId="77777777" w:rsidR="00D35F36" w:rsidRDefault="00D35F36" w:rsidP="00D35F36">
      <w:pPr>
        <w:pStyle w:val="ListParagraph"/>
        <w:numPr>
          <w:ilvl w:val="0"/>
          <w:numId w:val="58"/>
        </w:numPr>
      </w:pPr>
      <w:r>
        <w:t>Identify the LoS links using either (1) existing LOS/NLOS classification implementation supporting Rel-17 positioning, or (2) an AI/ML model for LOS/NLOS classification.</w:t>
      </w:r>
    </w:p>
    <w:p w14:paraId="0F96FCB7" w14:textId="77777777" w:rsidR="00D35F36" w:rsidRDefault="00D35F36" w:rsidP="00D35F36">
      <w:pPr>
        <w:pStyle w:val="ListParagraph"/>
        <w:numPr>
          <w:ilvl w:val="0"/>
          <w:numId w:val="58"/>
        </w:numPr>
      </w:pPr>
      <w:r>
        <w:t xml:space="preserve">Estimate the ToA, </w:t>
      </w:r>
      <m:oMath>
        <m:sSub>
          <m:sSubPr>
            <m:ctrlPr>
              <w:rPr>
                <w:rFonts w:ascii="Cambria Math" w:hAnsi="Cambria Math"/>
                <w:i/>
              </w:rPr>
            </m:ctrlPr>
          </m:sSubPr>
          <m:e>
            <m:acc>
              <m:accPr>
                <m:ctrlPr>
                  <w:rPr>
                    <w:rFonts w:ascii="Cambria Math" w:hAnsi="Cambria Math"/>
                    <w:i/>
                  </w:rPr>
                </m:ctrlPr>
              </m:accPr>
              <m:e>
                <m:r>
                  <w:rPr>
                    <w:rFonts w:ascii="Cambria Math" w:hAnsi="Cambria Math"/>
                  </w:rPr>
                  <m:t>t</m:t>
                </m:r>
              </m:e>
            </m:acc>
          </m:e>
          <m:sub>
            <m:r>
              <w:rPr>
                <w:rFonts w:ascii="Cambria Math" w:hAnsi="Cambria Math"/>
              </w:rPr>
              <m:t>LOS</m:t>
            </m:r>
          </m:sub>
        </m:sSub>
      </m:oMath>
      <w:r>
        <w:t>, for the identified LoS link using existing LOS/NLOS classification implementation supporting Rel-17 positioning, or (2) an AI/ML model (which can be the same or different than the model for LOS/NLOS classification).</w:t>
      </w:r>
    </w:p>
    <w:p w14:paraId="2E69B6BF" w14:textId="77777777" w:rsidR="00D35F36" w:rsidRDefault="00D35F36" w:rsidP="00D35F36">
      <w:r>
        <w:t>Rel-17 specs supports the network providing the TRP locations to the UE. Using the UE position estimates and the TRP location of the LoS link, the UE can calculate the distance to the LoS TRP.</w:t>
      </w:r>
    </w:p>
    <w:p w14:paraId="2894950E" w14:textId="77777777" w:rsidR="00D35F36" w:rsidRDefault="00D35F36" w:rsidP="00D35F36">
      <w:r>
        <w:t>The UE can form an AI/ML model performance metric on its own direct positioning AI/ML model as</w:t>
      </w:r>
    </w:p>
    <w:p w14:paraId="6727017E" w14:textId="77777777" w:rsidR="00D35F36" w:rsidRPr="00FC36A8" w:rsidRDefault="009C13C0" w:rsidP="00D35F36">
      <m:oMathPara>
        <m:oMath>
          <m:d>
            <m:dPr>
              <m:begChr m:val="|"/>
              <m:endChr m:val="|"/>
              <m:ctrlPr>
                <w:rPr>
                  <w:rFonts w:ascii="Cambria Math" w:hAnsi="Cambria Math"/>
                  <w:i/>
                </w:rPr>
              </m:ctrlPr>
            </m:dPr>
            <m:e>
              <m:r>
                <w:rPr>
                  <w:rFonts w:ascii="Cambria Math" w:hAnsi="Cambria Math"/>
                </w:rPr>
                <m:t>dist</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TR</m:t>
                      </m:r>
                      <m:sSub>
                        <m:sSubPr>
                          <m:ctrlPr>
                            <w:rPr>
                              <w:rFonts w:ascii="Cambria Math" w:hAnsi="Cambria Math"/>
                              <w:i/>
                            </w:rPr>
                          </m:ctrlPr>
                        </m:sSubPr>
                        <m:e>
                          <m:r>
                            <w:rPr>
                              <w:rFonts w:ascii="Cambria Math" w:hAnsi="Cambria Math"/>
                            </w:rPr>
                            <m:t>P</m:t>
                          </m:r>
                        </m:e>
                        <m:sub>
                          <m:r>
                            <w:rPr>
                              <w:rFonts w:ascii="Cambria Math" w:hAnsi="Cambria Math"/>
                            </w:rPr>
                            <m:t>LOS</m:t>
                          </m:r>
                        </m:sub>
                      </m:sSub>
                    </m:sub>
                  </m:sSub>
                </m:e>
              </m:d>
              <m:r>
                <w:rPr>
                  <w:rFonts w:ascii="Cambria Math" w:hAnsi="Cambria Math"/>
                </w:rPr>
                <m:t>-c⋅</m:t>
              </m:r>
              <m:sSub>
                <m:sSubPr>
                  <m:ctrlPr>
                    <w:rPr>
                      <w:rFonts w:ascii="Cambria Math" w:hAnsi="Cambria Math"/>
                      <w:i/>
                    </w:rPr>
                  </m:ctrlPr>
                </m:sSubPr>
                <m:e>
                  <m:acc>
                    <m:accPr>
                      <m:ctrlPr>
                        <w:rPr>
                          <w:rFonts w:ascii="Cambria Math" w:eastAsia="Calibri" w:hAnsi="Cambria Math"/>
                          <w:i/>
                        </w:rPr>
                      </m:ctrlPr>
                    </m:accPr>
                    <m:e>
                      <m:r>
                        <w:rPr>
                          <w:rFonts w:ascii="Cambria Math" w:hAnsi="Cambria Math"/>
                        </w:rPr>
                        <m:t>t</m:t>
                      </m:r>
                    </m:e>
                  </m:acc>
                </m:e>
                <m:sub>
                  <m:r>
                    <w:rPr>
                      <w:rFonts w:ascii="Cambria Math" w:hAnsi="Cambria Math"/>
                    </w:rPr>
                    <m:t>LOS</m:t>
                  </m:r>
                </m:sub>
              </m:sSub>
            </m:e>
          </m:d>
        </m:oMath>
      </m:oMathPara>
    </w:p>
    <w:p w14:paraId="5E711C95" w14:textId="77777777" w:rsidR="00D35F36" w:rsidRDefault="00D35F36" w:rsidP="00D35F36"/>
    <w:p w14:paraId="346269DB" w14:textId="77777777" w:rsidR="00D35F36" w:rsidRDefault="00D35F36" w:rsidP="00D35F36">
      <w:pPr>
        <w:jc w:val="center"/>
      </w:pPr>
      <w:r>
        <w:rPr>
          <w:noProof/>
        </w:rPr>
        <w:drawing>
          <wp:inline distT="0" distB="0" distL="0" distR="0" wp14:anchorId="1604AB86" wp14:editId="200EB2CB">
            <wp:extent cx="2180150" cy="18910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88212" cy="1898023"/>
                    </a:xfrm>
                    <a:prstGeom prst="rect">
                      <a:avLst/>
                    </a:prstGeom>
                    <a:noFill/>
                  </pic:spPr>
                </pic:pic>
              </a:graphicData>
            </a:graphic>
          </wp:inline>
        </w:drawing>
      </w:r>
    </w:p>
    <w:p w14:paraId="3E83B559" w14:textId="384C38E0" w:rsidR="00D35F36" w:rsidRDefault="00D35F36" w:rsidP="00D35F36">
      <w:pPr>
        <w:pStyle w:val="Caption"/>
        <w:jc w:val="center"/>
      </w:pPr>
      <w:r>
        <w:t xml:space="preserve">Figure </w:t>
      </w:r>
      <w:r>
        <w:fldChar w:fldCharType="begin"/>
      </w:r>
      <w:r>
        <w:instrText xml:space="preserve"> SEQ Figure \* ARABIC </w:instrText>
      </w:r>
      <w:r>
        <w:fldChar w:fldCharType="separate"/>
      </w:r>
      <w:r w:rsidR="00850DA1">
        <w:rPr>
          <w:noProof/>
        </w:rPr>
        <w:t>24</w:t>
      </w:r>
      <w:r>
        <w:rPr>
          <w:noProof/>
        </w:rPr>
        <w:fldChar w:fldCharType="end"/>
      </w:r>
      <w:r>
        <w:t>. An example of UE in a cluttered location where there is only one LoS link to TRP4.</w:t>
      </w:r>
    </w:p>
    <w:p w14:paraId="5DD0F969" w14:textId="77777777" w:rsidR="00D35F36" w:rsidRDefault="00D35F36" w:rsidP="00D35F36">
      <w:r w:rsidRPr="00E215F0">
        <w:t xml:space="preserve"> </w:t>
      </w:r>
    </w:p>
    <w:p w14:paraId="34FD286E" w14:textId="0BE5E91C" w:rsidR="00D35F36" w:rsidRDefault="00D35F36" w:rsidP="00D35F36">
      <w:r w:rsidRPr="00E215F0">
        <w:lastRenderedPageBreak/>
        <w:t>In the following</w:t>
      </w:r>
      <w:r>
        <w:t>,</w:t>
      </w:r>
      <w:r w:rsidRPr="00E215F0">
        <w:t xml:space="preserve"> we </w:t>
      </w:r>
      <w:r>
        <w:t xml:space="preserve">provide the evaluation results of such opportunistic LoS link based performance monitoring solution. </w:t>
      </w:r>
      <w:r>
        <w:fldChar w:fldCharType="begin"/>
      </w:r>
      <w:r>
        <w:instrText xml:space="preserve"> REF _Ref166241857 </w:instrText>
      </w:r>
      <w:r>
        <w:fldChar w:fldCharType="separate"/>
      </w:r>
      <w:r w:rsidR="00850DA1" w:rsidRPr="00E215F0">
        <w:t xml:space="preserve">Figure </w:t>
      </w:r>
      <w:r w:rsidR="00850DA1">
        <w:rPr>
          <w:noProof/>
        </w:rPr>
        <w:t>25</w:t>
      </w:r>
      <w:r>
        <w:rPr>
          <w:noProof/>
        </w:rPr>
        <w:fldChar w:fldCharType="end"/>
      </w:r>
      <w:r w:rsidRPr="00E215F0">
        <w:t xml:space="preserve"> shows the cumulative distribution function (CDF) of the</w:t>
      </w:r>
      <w:r>
        <w:t xml:space="preserve"> AI/ML model performance metric described in the above</w:t>
      </w:r>
      <w:r w:rsidRPr="00E215F0">
        <w:t>.</w:t>
      </w:r>
    </w:p>
    <w:p w14:paraId="6F04E464" w14:textId="77777777" w:rsidR="00D35F36" w:rsidRPr="00194B5B" w:rsidRDefault="00D35F36" w:rsidP="00D35F36">
      <w:pPr>
        <w:pStyle w:val="ListParagraph"/>
        <w:numPr>
          <w:ilvl w:val="0"/>
          <w:numId w:val="35"/>
        </w:numPr>
      </w:pPr>
      <w:r w:rsidRPr="00194B5B">
        <w:t xml:space="preserve">The </w:t>
      </w:r>
      <w:r>
        <w:t xml:space="preserve">direct positioning </w:t>
      </w:r>
      <w:r w:rsidRPr="00194B5B">
        <w:t>model is trained using the data collected from the indoor factor scenario with 60% clutter density, and clutter height and width of 6 m and 2 m, respectively (i.e., InF-DH with clutter parameter {60%, 6m, 2m}).</w:t>
      </w:r>
    </w:p>
    <w:p w14:paraId="29BAC7C4" w14:textId="77777777" w:rsidR="00D35F36" w:rsidRPr="00194B5B" w:rsidRDefault="00D35F36" w:rsidP="00D35F36">
      <w:pPr>
        <w:pStyle w:val="ListParagraph"/>
        <w:numPr>
          <w:ilvl w:val="0"/>
          <w:numId w:val="35"/>
        </w:numPr>
      </w:pPr>
      <w:r w:rsidRPr="00194B5B">
        <w:t xml:space="preserve">The </w:t>
      </w:r>
      <w:r>
        <w:t xml:space="preserve">LOS/NLOS classification </w:t>
      </w:r>
      <w:r w:rsidRPr="00194B5B">
        <w:t xml:space="preserve">model is </w:t>
      </w:r>
      <w:r>
        <w:t>an with a computational complexity of less than 1M FLOPs. The model has been tuned to avoid false LoS classification and has a LoS miss probability of 27%. This model is used here since it was found to be effective working on a single TRP-UE link, where it generates LOS/NLOS classification, and ToA estimation if the link is classified as LoS.</w:t>
      </w:r>
    </w:p>
    <w:p w14:paraId="7D8E725B" w14:textId="77777777" w:rsidR="00D35F36" w:rsidRPr="00E215F0" w:rsidRDefault="00D35F36" w:rsidP="00D35F36">
      <w:r w:rsidRPr="00E215F0">
        <w:t>Two curves are shown. One curve is for "same environment", which means that the inference environment is the same as the training environment for the inference model. The inference model performs normally in "same environment", i.e., no performance degradation. The other curve is for "new environment", which means that the inference environment is different from the training environment for the inference model, though both environments belong to InF-DH with clutter parameter {60%, 6m, 2m}</w:t>
      </w:r>
      <w:r>
        <w:t>, i.e., different random seeds were used</w:t>
      </w:r>
      <w:r w:rsidRPr="00E215F0">
        <w:t>. The inference model performs poorly in "new environment", i.e., performance degradation has occurred, and model performance monitoring method should detect it.</w:t>
      </w:r>
    </w:p>
    <w:p w14:paraId="5CC60A30" w14:textId="77777777" w:rsidR="00D35F36" w:rsidRPr="00E215F0" w:rsidRDefault="00D35F36" w:rsidP="00D35F36">
      <w:r w:rsidRPr="00E215F0">
        <w:t>It can be observed that the CDF of the LoS link ToA difference of "same environment" is much smaller</w:t>
      </w:r>
      <w:r>
        <w:t xml:space="preserve"> (more than an order of magnitude)</w:t>
      </w:r>
      <w:r w:rsidRPr="00E215F0">
        <w:t xml:space="preserve"> and easily distinguishable from the CDF of "new environment". Thus model performance monitoring decision can be made based on the easily distinguishable behavior. </w:t>
      </w:r>
    </w:p>
    <w:p w14:paraId="3481BA77" w14:textId="77777777" w:rsidR="00D35F36" w:rsidRPr="00E215F0" w:rsidRDefault="00D35F36" w:rsidP="00D35F36">
      <w:r w:rsidRPr="00E215F0">
        <w:t xml:space="preserve">Since the model inference environment is the heavily NLoS environment of InF-DH with clutter parameter {60%, 6m, 2m}, the LoS probability is low and inadequate for conventional positioning methods, as expected. However, </w:t>
      </w:r>
      <w:r w:rsidRPr="009D6897">
        <w:t>approximately 10% of positioning requests (containing measurement samples for 18 TRP links) can be opportunistically leveraged for performing model monitoring</w:t>
      </w:r>
      <w:r>
        <w:t>, i.e., at least one link out of the 18 is LoS</w:t>
      </w:r>
      <w:r w:rsidRPr="009D6897">
        <w:t>. This is adequate for the purpose of model performance monitoring.</w:t>
      </w:r>
    </w:p>
    <w:p w14:paraId="6FDB37B3" w14:textId="77777777" w:rsidR="00D35F36" w:rsidRPr="00E215F0" w:rsidRDefault="00D35F36" w:rsidP="00D35F36">
      <w:pPr>
        <w:jc w:val="center"/>
      </w:pPr>
      <w:r w:rsidRPr="00E44277">
        <w:rPr>
          <w:noProof/>
        </w:rPr>
        <w:drawing>
          <wp:inline distT="0" distB="0" distL="0" distR="0" wp14:anchorId="280FD31D" wp14:editId="0222CD64">
            <wp:extent cx="3657600" cy="2851251"/>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657600" cy="2851251"/>
                    </a:xfrm>
                    <a:prstGeom prst="rect">
                      <a:avLst/>
                    </a:prstGeom>
                  </pic:spPr>
                </pic:pic>
              </a:graphicData>
            </a:graphic>
          </wp:inline>
        </w:drawing>
      </w:r>
    </w:p>
    <w:p w14:paraId="47F4D160" w14:textId="2B0A1311" w:rsidR="00D35F36" w:rsidRPr="00E215F0" w:rsidRDefault="00D35F36" w:rsidP="00D35F36">
      <w:pPr>
        <w:pStyle w:val="Caption"/>
      </w:pPr>
      <w:bookmarkStart w:id="1861" w:name="_Ref166241857"/>
      <w:r w:rsidRPr="00E215F0">
        <w:t xml:space="preserve">Figure </w:t>
      </w:r>
      <w:r>
        <w:fldChar w:fldCharType="begin"/>
      </w:r>
      <w:r>
        <w:instrText xml:space="preserve"> SEQ Figure \* ARABIC </w:instrText>
      </w:r>
      <w:r>
        <w:fldChar w:fldCharType="separate"/>
      </w:r>
      <w:r w:rsidR="00850DA1">
        <w:rPr>
          <w:noProof/>
        </w:rPr>
        <w:t>25</w:t>
      </w:r>
      <w:r>
        <w:rPr>
          <w:noProof/>
        </w:rPr>
        <w:fldChar w:fldCharType="end"/>
      </w:r>
      <w:bookmarkEnd w:id="1861"/>
      <w:r w:rsidRPr="00E215F0">
        <w:t>. Cumulative distribution function of the difference of the ToA reports generated by the inference model and the monitoring model for the links classified as LoS by the monitoring model in two different realizations of InF-DH with clutter parameter {60%, 6m, 2m}.</w:t>
      </w:r>
    </w:p>
    <w:p w14:paraId="161139C0" w14:textId="77777777" w:rsidR="00D35F36" w:rsidRDefault="00D35F36" w:rsidP="00D35F36">
      <w:pPr>
        <w:tabs>
          <w:tab w:val="left" w:pos="814"/>
        </w:tabs>
      </w:pPr>
      <w:r>
        <w:tab/>
      </w:r>
    </w:p>
    <w:p w14:paraId="2DE1477A" w14:textId="77777777" w:rsidR="00D35F36" w:rsidRDefault="00D35F36" w:rsidP="00D35F36">
      <w:r w:rsidRPr="00E215F0">
        <w:t>This evaluation result demonstrates that it is effective to monitor AI/ML model performance using opportunistic LoS links even in a heavily NLoS environment like InF-DH with clutter parameter {60%, 6m, 2m}.</w:t>
      </w:r>
      <w:r>
        <w:t xml:space="preserve"> </w:t>
      </w:r>
    </w:p>
    <w:p w14:paraId="367FED29" w14:textId="77777777" w:rsidR="00D35F36" w:rsidRDefault="00D35F36" w:rsidP="00D35F36">
      <w:r>
        <w:lastRenderedPageBreak/>
        <w:t xml:space="preserve">In general, the key is to provide reliable LoS link identification to the model inference entity, regardless of how such information is obtained. For instance, non-AI methods (e.g., legacy methods in existing specification) can also be used to provide the LOS/NLOS classification as long as false positive (i.e., incorrectly classify a link as LoS) probability is kept low. </w:t>
      </w:r>
    </w:p>
    <w:p w14:paraId="50F40711" w14:textId="3836E95E" w:rsidR="00D35F36" w:rsidRDefault="00150AF2" w:rsidP="00D35F36">
      <w:r>
        <w:t>In summary, f</w:t>
      </w:r>
      <w:r w:rsidR="00D35F36">
        <w:t>or Case 1, the target UE can perform label-based model performance monitoring for its own model without assistance from other entities (e.g., LMF, PRU).</w:t>
      </w:r>
    </w:p>
    <w:p w14:paraId="3CBFE567" w14:textId="77777777" w:rsidR="00D35F36" w:rsidRDefault="00D35F36" w:rsidP="00D35F36">
      <w:r>
        <w:t>While the discussion above emphasized self-contained model performance monitoring by the target UE, the same principle can be applied if another entity (e.g., LMF) is willing to assist the target UE with label related information.</w:t>
      </w:r>
    </w:p>
    <w:p w14:paraId="28D06C2C" w14:textId="77777777" w:rsidR="00D35F36" w:rsidRPr="00E215F0" w:rsidRDefault="00D35F36" w:rsidP="00D35F36">
      <w:r>
        <w:t>In general, the LoS identification can be provided by an entity different from the model inference entity to have independent information for model monitoring. Thus, for a model deployed in one node (i.e. gNB, LMF or the UE), the LoS state of a link can be signalled from another node (i.e. another gNB, UE). For example, a UE hosting the AI/ML model and measuring the DL PRS may also be configured to transmit SRS. Hence the LoS state of a given PRS resource may be known to gNB at a given time. To assist the model monitoring of the model hosted by the UE, the LMF could relay to the UE an assistance data, e.g., which PRS resource propagated via a LoS link and at what time.</w:t>
      </w:r>
    </w:p>
    <w:p w14:paraId="5ED29FF6" w14:textId="77777777" w:rsidR="00D35F36" w:rsidRPr="00E215F0" w:rsidRDefault="00D35F36" w:rsidP="00D35F36">
      <w:r>
        <w:t>As shown below, i</w:t>
      </w:r>
      <w:r w:rsidRPr="00E215F0">
        <w:t xml:space="preserve">n legacy UE-based positioning methods, LMF can already inform the UE of LoS link state in assistance data, which helps the UE to calculate the location. </w:t>
      </w:r>
    </w:p>
    <w:tbl>
      <w:tblPr>
        <w:tblStyle w:val="TableGrid"/>
        <w:tblW w:w="0" w:type="auto"/>
        <w:tblLook w:val="04A0" w:firstRow="1" w:lastRow="0" w:firstColumn="1" w:lastColumn="0" w:noHBand="0" w:noVBand="1"/>
      </w:tblPr>
      <w:tblGrid>
        <w:gridCol w:w="9962"/>
      </w:tblGrid>
      <w:tr w:rsidR="00D35F36" w:rsidRPr="00E215F0" w14:paraId="2B90F6E9" w14:textId="77777777" w:rsidTr="00500110">
        <w:tc>
          <w:tcPr>
            <w:tcW w:w="9962" w:type="dxa"/>
          </w:tcPr>
          <w:p w14:paraId="514F8140" w14:textId="77777777" w:rsidR="00D35F36" w:rsidRPr="00CD59F9" w:rsidRDefault="00D35F36" w:rsidP="00500110">
            <w:pPr>
              <w:rPr>
                <w:sz w:val="20"/>
                <w:szCs w:val="20"/>
              </w:rPr>
            </w:pPr>
            <w:r w:rsidRPr="00B72B4D">
              <w:t>TS 37.355 v18.0.0</w:t>
            </w:r>
          </w:p>
          <w:p w14:paraId="721E48C4" w14:textId="77777777" w:rsidR="00D35F36" w:rsidRPr="00CD59F9" w:rsidRDefault="00D35F36" w:rsidP="00500110">
            <w:pPr>
              <w:rPr>
                <w:szCs w:val="20"/>
              </w:rPr>
            </w:pPr>
            <w:bookmarkStart w:id="1862" w:name="_Toc165991015"/>
            <w:r w:rsidRPr="00CD59F9">
              <w:t>–</w:t>
            </w:r>
            <w:r w:rsidRPr="00CD59F9">
              <w:tab/>
              <w:t>NR-DL-PRS-ExpectedLOS-NLOS-Assistance</w:t>
            </w:r>
            <w:bookmarkEnd w:id="1862"/>
          </w:p>
          <w:p w14:paraId="0EDA8336" w14:textId="77777777" w:rsidR="00D35F36" w:rsidRPr="00CD59F9" w:rsidRDefault="00D35F36" w:rsidP="00500110">
            <w:pPr>
              <w:keepLines/>
              <w:rPr>
                <w:sz w:val="20"/>
                <w:szCs w:val="20"/>
              </w:rPr>
            </w:pPr>
            <w:r w:rsidRPr="00CD59F9">
              <w:t xml:space="preserve">The IE </w:t>
            </w:r>
            <w:r w:rsidRPr="00CD59F9">
              <w:rPr>
                <w:i/>
                <w:color w:val="FF0000"/>
              </w:rPr>
              <w:t xml:space="preserve">NR-DL-PRS-ExpectedLOS-NLOS-Assistance </w:t>
            </w:r>
            <w:r w:rsidRPr="00CD59F9">
              <w:rPr>
                <w:color w:val="FF0000"/>
              </w:rPr>
              <w:t xml:space="preserve">is used by the location server to provide the expected likelihood of a LOS propagation path </w:t>
            </w:r>
            <w:r w:rsidRPr="00CD59F9">
              <w:t>from a TRP to the target device, or for all DL-PRS Resources of the TRP to the target device.</w:t>
            </w:r>
          </w:p>
          <w:p w14:paraId="6FE879C5"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 ASN1START</w:t>
            </w:r>
          </w:p>
          <w:p w14:paraId="44945B86"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p>
          <w:p w14:paraId="0A87FF52"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napToGrid w:val="0"/>
                <w:sz w:val="14"/>
              </w:rPr>
              <w:t xml:space="preserve">NR-DL-PRS-ExpectedLOS-NLOS-Assistance-r17 </w:t>
            </w:r>
            <w:r w:rsidRPr="00CD59F9">
              <w:rPr>
                <w:rFonts w:ascii="Courier New" w:hAnsi="Courier New"/>
                <w:sz w:val="14"/>
              </w:rPr>
              <w:t>::= SEQUENCE (SIZE (1..nrMaxFreqLayers-r16)) OF</w:t>
            </w:r>
          </w:p>
          <w:p w14:paraId="1E5AA5E3"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napToGrid w:val="0"/>
                <w:sz w:val="14"/>
              </w:rPr>
              <w:t>NR-DL-PRS-ExpectedLOS-NLOS-Assistance</w:t>
            </w:r>
            <w:r w:rsidRPr="00CD59F9">
              <w:rPr>
                <w:rFonts w:ascii="Courier New" w:hAnsi="Courier New"/>
                <w:sz w:val="14"/>
              </w:rPr>
              <w:t>PerFreqLayer-r17</w:t>
            </w:r>
          </w:p>
          <w:p w14:paraId="169AB8AE"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p>
          <w:p w14:paraId="48AB9C10"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NR-DL-PRS-ExpectedLOS-NLOS-AssistancePerFreqLayer-r17 ::=</w:t>
            </w:r>
          </w:p>
          <w:p w14:paraId="7A8EFC22"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SEQUENCE (SIZE (1..nrMaxTRPsPerFreq-r16)) OF</w:t>
            </w:r>
          </w:p>
          <w:p w14:paraId="5A6B9AE3"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napToGrid w:val="0"/>
                <w:sz w:val="14"/>
              </w:rPr>
              <w:t>NR-DL-PRS-ExpectedLOS-NLOS-Assistance</w:t>
            </w:r>
            <w:r w:rsidRPr="00CD59F9">
              <w:rPr>
                <w:rFonts w:ascii="Courier New" w:hAnsi="Courier New"/>
                <w:sz w:val="14"/>
              </w:rPr>
              <w:t>PerTRP-r17</w:t>
            </w:r>
          </w:p>
          <w:p w14:paraId="6D21DE17"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p>
          <w:p w14:paraId="4751FA36"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napToGrid w:val="0"/>
                <w:sz w:val="14"/>
              </w:rPr>
              <w:t>NR-DL-PRS-ExpectedLOS-NLOS-AssistancePerTRP-r17</w:t>
            </w:r>
            <w:r w:rsidRPr="00CD59F9">
              <w:rPr>
                <w:rFonts w:ascii="Courier New" w:hAnsi="Courier New"/>
                <w:sz w:val="14"/>
              </w:rPr>
              <w:t xml:space="preserve"> ::= SEQUENCE {</w:t>
            </w:r>
          </w:p>
          <w:p w14:paraId="2EF8CC26" w14:textId="77777777" w:rsidR="00D35F36" w:rsidRPr="0090743C"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lang w:val="sv-SE"/>
              </w:rPr>
            </w:pPr>
            <w:r w:rsidRPr="00CD59F9">
              <w:rPr>
                <w:rFonts w:ascii="Courier New" w:hAnsi="Courier New"/>
                <w:snapToGrid w:val="0"/>
                <w:sz w:val="14"/>
              </w:rPr>
              <w:tab/>
            </w:r>
            <w:r w:rsidRPr="0090743C">
              <w:rPr>
                <w:rFonts w:ascii="Courier New" w:hAnsi="Courier New"/>
                <w:snapToGrid w:val="0"/>
                <w:sz w:val="14"/>
                <w:lang w:val="sv-SE"/>
              </w:rPr>
              <w:t>dl-PRS-ID-r17</w:t>
            </w:r>
            <w:r w:rsidRPr="0090743C">
              <w:rPr>
                <w:rFonts w:ascii="Courier New" w:hAnsi="Courier New"/>
                <w:snapToGrid w:val="0"/>
                <w:sz w:val="14"/>
                <w:lang w:val="sv-SE"/>
              </w:rPr>
              <w:tab/>
            </w:r>
            <w:r w:rsidRPr="0090743C">
              <w:rPr>
                <w:rFonts w:ascii="Courier New" w:hAnsi="Courier New"/>
                <w:snapToGrid w:val="0"/>
                <w:sz w:val="14"/>
                <w:lang w:val="sv-SE"/>
              </w:rPr>
              <w:tab/>
            </w:r>
            <w:r w:rsidRPr="0090743C">
              <w:rPr>
                <w:rFonts w:ascii="Courier New" w:hAnsi="Courier New"/>
                <w:snapToGrid w:val="0"/>
                <w:sz w:val="14"/>
                <w:lang w:val="sv-SE"/>
              </w:rPr>
              <w:tab/>
            </w:r>
            <w:r w:rsidRPr="0090743C">
              <w:rPr>
                <w:rFonts w:ascii="Courier New" w:hAnsi="Courier New"/>
                <w:snapToGrid w:val="0"/>
                <w:sz w:val="14"/>
                <w:lang w:val="sv-SE"/>
              </w:rPr>
              <w:tab/>
              <w:t>INTEGER (0..255),</w:t>
            </w:r>
          </w:p>
          <w:p w14:paraId="19BCA22D"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90743C">
              <w:rPr>
                <w:rFonts w:ascii="Courier New" w:hAnsi="Courier New"/>
                <w:snapToGrid w:val="0"/>
                <w:sz w:val="14"/>
                <w:lang w:val="sv-SE"/>
              </w:rPr>
              <w:tab/>
            </w:r>
            <w:r w:rsidRPr="00CD59F9">
              <w:rPr>
                <w:rFonts w:ascii="Courier New" w:hAnsi="Courier New"/>
                <w:snapToGrid w:val="0"/>
                <w:sz w:val="14"/>
              </w:rPr>
              <w:t>nr-PhysCellID-r17</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NR-PhysCellID-r16</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OPTIONAL,</w:t>
            </w:r>
            <w:r w:rsidRPr="00CD59F9">
              <w:rPr>
                <w:rFonts w:ascii="Courier New" w:hAnsi="Courier New"/>
                <w:snapToGrid w:val="0"/>
                <w:sz w:val="14"/>
              </w:rPr>
              <w:tab/>
              <w:t>-- Need ON</w:t>
            </w:r>
          </w:p>
          <w:p w14:paraId="74A6600D"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napToGrid w:val="0"/>
                <w:sz w:val="14"/>
              </w:rPr>
              <w:tab/>
              <w:t>nr-CellGlobalID-r17</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NCGI-r15</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OPTIONAL,</w:t>
            </w:r>
            <w:r w:rsidRPr="00CD59F9">
              <w:rPr>
                <w:rFonts w:ascii="Courier New" w:hAnsi="Courier New"/>
                <w:snapToGrid w:val="0"/>
                <w:sz w:val="14"/>
              </w:rPr>
              <w:tab/>
              <w:t>-- Need ON</w:t>
            </w:r>
          </w:p>
          <w:p w14:paraId="2DBFCC68"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napToGrid w:val="0"/>
                <w:sz w:val="14"/>
              </w:rPr>
              <w:tab/>
            </w:r>
            <w:r w:rsidRPr="00CD59F9">
              <w:rPr>
                <w:rFonts w:ascii="Courier New" w:hAnsi="Courier New"/>
                <w:sz w:val="14"/>
              </w:rPr>
              <w:t>nr-ARFCN</w:t>
            </w:r>
            <w:r w:rsidRPr="00CD59F9">
              <w:rPr>
                <w:rFonts w:ascii="Courier New" w:hAnsi="Courier New"/>
                <w:snapToGrid w:val="0"/>
                <w:sz w:val="14"/>
              </w:rPr>
              <w:t>-r17</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ARFCN-ValueNR-r15</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OPTIONAL,</w:t>
            </w:r>
            <w:r w:rsidRPr="00CD59F9">
              <w:rPr>
                <w:rFonts w:ascii="Courier New" w:hAnsi="Courier New"/>
                <w:snapToGrid w:val="0"/>
                <w:sz w:val="14"/>
              </w:rPr>
              <w:tab/>
              <w:t>-- Need ON</w:t>
            </w:r>
          </w:p>
          <w:p w14:paraId="32118B06"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napToGrid w:val="0"/>
                <w:sz w:val="14"/>
              </w:rPr>
              <w:tab/>
            </w:r>
            <w:r w:rsidRPr="00CD59F9">
              <w:rPr>
                <w:rFonts w:ascii="Courier New" w:hAnsi="Courier New"/>
                <w:color w:val="FF0000"/>
                <w:sz w:val="14"/>
              </w:rPr>
              <w:t>nr-los-nlos-indicator-r17</w:t>
            </w:r>
            <w:r w:rsidRPr="00CD59F9">
              <w:rPr>
                <w:rFonts w:ascii="Courier New" w:hAnsi="Courier New"/>
                <w:sz w:val="14"/>
              </w:rPr>
              <w:tab/>
              <w:t>CHOICE {</w:t>
            </w:r>
          </w:p>
          <w:p w14:paraId="660F2577"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perTrp-r17</w:t>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LOS-NLOS-Indicator-r17,</w:t>
            </w:r>
          </w:p>
          <w:p w14:paraId="6E1D4096"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perResource-r17</w:t>
            </w:r>
            <w:r w:rsidRPr="00CD59F9">
              <w:rPr>
                <w:rFonts w:ascii="Courier New" w:hAnsi="Courier New"/>
                <w:sz w:val="14"/>
              </w:rPr>
              <w:tab/>
            </w:r>
            <w:r w:rsidRPr="00CD59F9">
              <w:rPr>
                <w:rFonts w:ascii="Courier New" w:hAnsi="Courier New"/>
                <w:sz w:val="14"/>
              </w:rPr>
              <w:tab/>
            </w:r>
            <w:r w:rsidRPr="00CD59F9">
              <w:rPr>
                <w:rFonts w:ascii="Courier New" w:hAnsi="Courier New"/>
                <w:snapToGrid w:val="0"/>
                <w:sz w:val="14"/>
              </w:rPr>
              <w:t>SEQUENCE (SIZE (1..nrMaxSetsPerTrpPerFreqLayer-r16)) OF</w:t>
            </w:r>
          </w:p>
          <w:p w14:paraId="7343AC15"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NR-DL-PRS-ExpectedLOS-NLOS-AssistancePer</w:t>
            </w:r>
            <w:r w:rsidRPr="00CD59F9">
              <w:rPr>
                <w:rFonts w:ascii="Courier New" w:hAnsi="Courier New"/>
                <w:sz w:val="14"/>
              </w:rPr>
              <w:t>Resource-r17</w:t>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w:t>
            </w:r>
          </w:p>
          <w:p w14:paraId="062D898F"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t>...</w:t>
            </w:r>
          </w:p>
          <w:p w14:paraId="1C02E408"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z w:val="14"/>
              </w:rPr>
              <w:t>}</w:t>
            </w:r>
          </w:p>
          <w:p w14:paraId="35F2B969"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p>
          <w:p w14:paraId="3BBFB4F5"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napToGrid w:val="0"/>
                <w:sz w:val="14"/>
              </w:rPr>
              <w:t>NR-DL-PRS-ExpectedLOS-NLOS-AssistancePerResource-r17</w:t>
            </w:r>
            <w:r w:rsidRPr="00CD59F9">
              <w:rPr>
                <w:rFonts w:ascii="Courier New" w:hAnsi="Courier New"/>
                <w:sz w:val="14"/>
              </w:rPr>
              <w:t xml:space="preserve"> ::=</w:t>
            </w:r>
          </w:p>
          <w:p w14:paraId="448DDD3E"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SEQUENCE (SIZE (1..</w:t>
            </w:r>
            <w:r w:rsidRPr="00CD59F9">
              <w:rPr>
                <w:rFonts w:ascii="Courier New" w:hAnsi="Courier New"/>
                <w:snapToGrid w:val="0"/>
                <w:sz w:val="14"/>
              </w:rPr>
              <w:t>nrMaxResourcesPerSet-r16</w:t>
            </w:r>
            <w:r w:rsidRPr="00CD59F9">
              <w:rPr>
                <w:rFonts w:ascii="Courier New" w:hAnsi="Courier New"/>
                <w:sz w:val="14"/>
              </w:rPr>
              <w:t>)) OF</w:t>
            </w:r>
          </w:p>
          <w:p w14:paraId="116D5CE2"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LOS-NLOS-Indicator-r17</w:t>
            </w:r>
          </w:p>
        </w:tc>
      </w:tr>
    </w:tbl>
    <w:p w14:paraId="735D13F2" w14:textId="77777777" w:rsidR="00D35F36" w:rsidRPr="00E215F0" w:rsidRDefault="00D35F36" w:rsidP="00D35F36"/>
    <w:p w14:paraId="46573A7F" w14:textId="673AD10C" w:rsidR="00D35F36" w:rsidRDefault="00D35F36" w:rsidP="00150AF2">
      <w:r w:rsidRPr="00E215F0">
        <w:lastRenderedPageBreak/>
        <w:t>Thus</w:t>
      </w:r>
      <w:r>
        <w:t>,</w:t>
      </w:r>
      <w:r w:rsidRPr="00E215F0">
        <w:t xml:space="preserve"> similar </w:t>
      </w:r>
      <w:r>
        <w:t>LOS/NLOS</w:t>
      </w:r>
      <w:r w:rsidRPr="00E215F0">
        <w:t xml:space="preserve"> assistance data can be signaled to assist with model monitoring. With the assistance data on LoS links, model output accuracy can be calculated for model performance monitoring</w:t>
      </w:r>
      <w:r>
        <w:t xml:space="preserve"> of </w:t>
      </w:r>
      <w:r w:rsidRPr="00E215F0">
        <w:t>both</w:t>
      </w:r>
      <w:r>
        <w:t xml:space="preserve"> direct and assisted AI/ML positioning.</w:t>
      </w:r>
    </w:p>
    <w:p w14:paraId="1B6BEFA2" w14:textId="77777777" w:rsidR="00D35F36" w:rsidRDefault="00D35F36" w:rsidP="00D35F36">
      <w:pPr>
        <w:pStyle w:val="Heading3"/>
      </w:pPr>
      <w:r>
        <w:tab/>
      </w:r>
      <w:bookmarkStart w:id="1863" w:name="_Ref164864197"/>
      <w:bookmarkStart w:id="1864" w:name="_Toc165991016"/>
      <w:bookmarkStart w:id="1865" w:name="_Ref166192754"/>
      <w:bookmarkStart w:id="1866" w:name="_Ref166243197"/>
      <w:bookmarkStart w:id="1867" w:name="_Toc178961695"/>
      <w:r>
        <w:t xml:space="preserve">Monitoring </w:t>
      </w:r>
      <w:r w:rsidRPr="00B11F71">
        <w:t xml:space="preserve">approach 2 </w:t>
      </w:r>
      <w:r w:rsidRPr="00B11F71">
        <w:rPr>
          <w:lang w:val="en-US"/>
        </w:rPr>
        <w:t>(Label-based)</w:t>
      </w:r>
      <w:r w:rsidRPr="00B11F71">
        <w:t xml:space="preserve"> for assisted</w:t>
      </w:r>
      <w:r>
        <w:t xml:space="preserve"> AI/ML positioning</w:t>
      </w:r>
      <w:bookmarkEnd w:id="1863"/>
      <w:bookmarkEnd w:id="1864"/>
      <w:bookmarkEnd w:id="1865"/>
      <w:bookmarkEnd w:id="1866"/>
      <w:bookmarkEnd w:id="1867"/>
      <w:r>
        <w:t xml:space="preserve"> </w:t>
      </w:r>
    </w:p>
    <w:p w14:paraId="16D4D6FF" w14:textId="77777777" w:rsidR="00D35F36" w:rsidRDefault="00D35F36" w:rsidP="00D35F36">
      <w:r>
        <w:t>For assisted AI/ML positioning (Case 3a/2a), the gNB (Case 3a) or target UE (Case 2a) has an AI/ML model taking multiple measurement inputs to produce multiple model outputs such as the ToAs to multiple TRPs. The ToAs can then further processed by the LMF to produce an estimate of the UE position using, for example, conventional triangulation optimization.</w:t>
      </w:r>
    </w:p>
    <w:p w14:paraId="7E48B080" w14:textId="3FF2F354" w:rsidR="00D35F36" w:rsidRDefault="00D35F36" w:rsidP="00D35F36">
      <w:r>
        <w:t>By leveraging the associated triangulation optimization, the AI/ML model</w:t>
      </w:r>
      <w:r w:rsidRPr="005E6273">
        <w:t xml:space="preserve"> can be monitored without collecting new test samples. </w:t>
      </w:r>
      <w:r>
        <w:t xml:space="preserve">As shown in </w:t>
      </w:r>
      <w:r>
        <w:fldChar w:fldCharType="begin"/>
      </w:r>
      <w:r>
        <w:instrText xml:space="preserve"> REF _Ref164865995 \h </w:instrText>
      </w:r>
      <w:r>
        <w:fldChar w:fldCharType="separate"/>
      </w:r>
      <w:r w:rsidR="00850DA1" w:rsidRPr="00E215F0">
        <w:t xml:space="preserve">Figure </w:t>
      </w:r>
      <w:r w:rsidR="00850DA1">
        <w:rPr>
          <w:noProof/>
        </w:rPr>
        <w:t>23</w:t>
      </w:r>
      <w:r>
        <w:fldChar w:fldCharType="end"/>
      </w:r>
      <w:r>
        <w:t xml:space="preserve"> (b), t</w:t>
      </w:r>
      <w:r w:rsidRPr="005E6273">
        <w:t xml:space="preserve">he </w:t>
      </w:r>
      <w:r>
        <w:t xml:space="preserve">positioning algorithm </w:t>
      </w:r>
      <w:r w:rsidRPr="005E6273">
        <w:t>takes the estimated time of arrivals into conventional triangulation-based error minimization framework to search and determine the UE position. It can be expected that the minimization outcome will have smaller residual losses when the AI/ML models are operating in the correct environment and are generating correct time of arrivals than when the models are applied to an environment different than the one used to train the models.</w:t>
      </w:r>
    </w:p>
    <w:p w14:paraId="45A823B9" w14:textId="77777777" w:rsidR="00D35F36" w:rsidRDefault="00D35F36" w:rsidP="00D35F36">
      <w:r>
        <w:t xml:space="preserve">Therefore, </w:t>
      </w:r>
      <w:r w:rsidRPr="005E6273">
        <w:t>the residual losses from conventional triangulation-based error minimization positioning algorithms</w:t>
      </w:r>
    </w:p>
    <w:p w14:paraId="5E6F488C" w14:textId="77777777" w:rsidR="00D35F36" w:rsidRDefault="009C13C0" w:rsidP="00D35F36">
      <m:oMathPara>
        <m:oMath>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sSub>
                    <m:sSubPr>
                      <m:ctrlPr>
                        <w:rPr>
                          <w:rFonts w:ascii="Cambria Math" w:hAnsi="Cambria Math"/>
                          <w:i/>
                          <w:iCs/>
                        </w:rPr>
                      </m:ctrlPr>
                    </m:sSubPr>
                    <m:e>
                      <m:acc>
                        <m:accPr>
                          <m:ctrlPr>
                            <w:rPr>
                              <w:rFonts w:ascii="Cambria Math" w:hAnsi="Cambria Math"/>
                              <w:i/>
                              <w:iCs/>
                            </w:rPr>
                          </m:ctrlPr>
                        </m:accPr>
                        <m:e>
                          <m:r>
                            <w:rPr>
                              <w:rFonts w:ascii="Cambria Math" w:hAnsi="Cambria Math"/>
                            </w:rPr>
                            <m:t>p</m:t>
                          </m:r>
                        </m:e>
                      </m:acc>
                    </m:e>
                    <m:sub>
                      <m:r>
                        <w:rPr>
                          <w:rFonts w:ascii="Cambria Math" w:hAnsi="Cambria Math"/>
                        </w:rPr>
                        <m:t>UE</m:t>
                      </m:r>
                    </m:sub>
                  </m:sSub>
                </m:lim>
              </m:limLow>
            </m:fName>
            <m:e>
              <m:nary>
                <m:naryPr>
                  <m:chr m:val="∑"/>
                  <m:supHide m:val="1"/>
                  <m:ctrlPr>
                    <w:rPr>
                      <w:rFonts w:ascii="Cambria Math" w:hAnsi="Cambria Math"/>
                      <w:i/>
                      <w:iCs/>
                    </w:rPr>
                  </m:ctrlPr>
                </m:naryPr>
                <m:sub>
                  <m:r>
                    <w:rPr>
                      <w:rFonts w:ascii="Cambria Math" w:hAnsi="Cambria Math"/>
                    </w:rPr>
                    <m:t>i</m:t>
                  </m:r>
                </m:sub>
                <m:sup/>
                <m:e>
                  <m:d>
                    <m:dPr>
                      <m:begChr m:val="|"/>
                      <m:endChr m:val="|"/>
                      <m:ctrlPr>
                        <w:rPr>
                          <w:rFonts w:ascii="Cambria Math" w:hAnsi="Cambria Math"/>
                          <w:i/>
                          <w:iCs/>
                        </w:rPr>
                      </m:ctrlPr>
                    </m:dPr>
                    <m:e>
                      <m:r>
                        <w:rPr>
                          <w:rFonts w:ascii="Cambria Math" w:hAnsi="Cambria Math"/>
                        </w:rPr>
                        <m:t>d</m:t>
                      </m:r>
                      <m:d>
                        <m:dPr>
                          <m:ctrlPr>
                            <w:rPr>
                              <w:rFonts w:ascii="Cambria Math" w:hAnsi="Cambria Math"/>
                              <w:i/>
                              <w:iCs/>
                            </w:rPr>
                          </m:ctrlPr>
                        </m:dPr>
                        <m:e>
                          <m:sSub>
                            <m:sSubPr>
                              <m:ctrlPr>
                                <w:rPr>
                                  <w:rFonts w:ascii="Cambria Math" w:hAnsi="Cambria Math"/>
                                  <w:i/>
                                  <w:iCs/>
                                </w:rPr>
                              </m:ctrlPr>
                            </m:sSubPr>
                            <m:e>
                              <m:acc>
                                <m:accPr>
                                  <m:ctrlPr>
                                    <w:rPr>
                                      <w:rFonts w:ascii="Cambria Math" w:hAnsi="Cambria Math"/>
                                      <w:i/>
                                      <w:iCs/>
                                    </w:rPr>
                                  </m:ctrlPr>
                                </m:accPr>
                                <m:e>
                                  <m:r>
                                    <w:rPr>
                                      <w:rFonts w:ascii="Cambria Math" w:hAnsi="Cambria Math"/>
                                    </w:rPr>
                                    <m:t>p</m:t>
                                  </m:r>
                                </m:e>
                              </m:acc>
                            </m:e>
                            <m:sub>
                              <m:r>
                                <w:rPr>
                                  <w:rFonts w:ascii="Cambria Math" w:hAnsi="Cambria Math"/>
                                </w:rPr>
                                <m:t>UE</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TRP</m:t>
                              </m:r>
                            </m:sub>
                          </m:sSub>
                          <m:d>
                            <m:dPr>
                              <m:ctrlPr>
                                <w:rPr>
                                  <w:rFonts w:ascii="Cambria Math" w:hAnsi="Cambria Math"/>
                                  <w:i/>
                                  <w:iCs/>
                                </w:rPr>
                              </m:ctrlPr>
                            </m:dPr>
                            <m:e>
                              <m:r>
                                <w:rPr>
                                  <w:rFonts w:ascii="Cambria Math" w:hAnsi="Cambria Math"/>
                                </w:rPr>
                                <m:t>i</m:t>
                              </m:r>
                            </m:e>
                          </m:d>
                        </m:e>
                      </m:d>
                      <m:r>
                        <w:rPr>
                          <w:rFonts w:ascii="Cambria Math" w:hAnsi="Cambria Math"/>
                        </w:rPr>
                        <m:t>-c⋅</m:t>
                      </m:r>
                      <m:acc>
                        <m:accPr>
                          <m:ctrlPr>
                            <w:rPr>
                              <w:rFonts w:ascii="Cambria Math" w:hAnsi="Cambria Math"/>
                              <w:i/>
                              <w:iCs/>
                            </w:rPr>
                          </m:ctrlPr>
                        </m:accPr>
                        <m:e>
                          <m:r>
                            <w:rPr>
                              <w:rFonts w:ascii="Cambria Math" w:hAnsi="Cambria Math"/>
                            </w:rPr>
                            <m:t>t</m:t>
                          </m:r>
                        </m:e>
                      </m:acc>
                      <m:d>
                        <m:dPr>
                          <m:ctrlPr>
                            <w:rPr>
                              <w:rFonts w:ascii="Cambria Math" w:hAnsi="Cambria Math"/>
                              <w:i/>
                              <w:iCs/>
                            </w:rPr>
                          </m:ctrlPr>
                        </m:dPr>
                        <m:e>
                          <m:r>
                            <w:rPr>
                              <w:rFonts w:ascii="Cambria Math" w:hAnsi="Cambria Math"/>
                            </w:rPr>
                            <m:t>i</m:t>
                          </m:r>
                        </m:e>
                      </m:d>
                    </m:e>
                  </m:d>
                </m:e>
              </m:nary>
            </m:e>
          </m:func>
        </m:oMath>
      </m:oMathPara>
    </w:p>
    <w:p w14:paraId="6E3F029E" w14:textId="77777777" w:rsidR="00D35F36" w:rsidRDefault="00D35F36" w:rsidP="00D35F36">
      <w:r>
        <w:t>can be considered as an audit on the performance of the AI/ML model generating the ToA estimates.</w:t>
      </w:r>
    </w:p>
    <w:p w14:paraId="0254467D" w14:textId="2A5AE892" w:rsidR="00D35F36" w:rsidRPr="005E6273" w:rsidRDefault="00D35F36" w:rsidP="00D35F36">
      <w:r w:rsidRPr="005E6273">
        <w:t xml:space="preserve">In </w:t>
      </w:r>
      <w:r w:rsidRPr="005E6273">
        <w:fldChar w:fldCharType="begin"/>
      </w:r>
      <w:r w:rsidRPr="003F7CFD">
        <w:rPr>
          <w:color w:val="7030A0"/>
        </w:rPr>
        <w:instrText xml:space="preserve"> REF _Ref131539736 \h  \* MERGEFORMAT </w:instrText>
      </w:r>
      <w:r w:rsidRPr="005E6273">
        <w:fldChar w:fldCharType="separate"/>
      </w:r>
      <w:r w:rsidR="00850DA1" w:rsidRPr="003A583A">
        <w:t xml:space="preserve">Figure </w:t>
      </w:r>
      <w:r w:rsidR="00850DA1">
        <w:t>26</w:t>
      </w:r>
      <w:r w:rsidRPr="005E6273">
        <w:fldChar w:fldCharType="end"/>
      </w:r>
      <w:r w:rsidRPr="005E6273">
        <w:t>, we provide the residual losses from conventional triangulation-based error minimization positioning algorithms. The AI/ML models for supplying the ToAs are trained with a dataset for the {60%, 6m, 2m} parameter.</w:t>
      </w:r>
    </w:p>
    <w:p w14:paraId="7620C9DA" w14:textId="77777777" w:rsidR="00D35F36" w:rsidRPr="001942D0" w:rsidRDefault="00D35F36" w:rsidP="00D35F36">
      <w:pPr>
        <w:pStyle w:val="ListParagraph"/>
        <w:numPr>
          <w:ilvl w:val="0"/>
          <w:numId w:val="61"/>
        </w:numPr>
      </w:pPr>
      <w:r w:rsidRPr="35DAF9E0">
        <w:t>When the trained model is operating in the same environment of {60%, 6m, 2m}, the residual losses shown in blue line are below 0.77 with a probability of 99%.</w:t>
      </w:r>
    </w:p>
    <w:p w14:paraId="62ECA2FC" w14:textId="77777777" w:rsidR="00D35F36" w:rsidRPr="001942D0" w:rsidRDefault="00D35F36" w:rsidP="00D35F36">
      <w:pPr>
        <w:pStyle w:val="ListParagraph"/>
        <w:numPr>
          <w:ilvl w:val="0"/>
          <w:numId w:val="61"/>
        </w:numPr>
      </w:pPr>
      <w:r w:rsidRPr="35DAF9E0">
        <w:t>When the trained model is operating in the substantially different environment of {40%, 2m, 2m} where the model performs badly, the residual losses shown in orange line are above 0.77 with a probability of 99%.</w:t>
      </w:r>
    </w:p>
    <w:p w14:paraId="2B3598F5" w14:textId="77777777" w:rsidR="00D35F36" w:rsidRPr="001942D0" w:rsidRDefault="00D35F36" w:rsidP="00D35F36">
      <w:pPr>
        <w:pStyle w:val="ListParagraph"/>
        <w:numPr>
          <w:ilvl w:val="0"/>
          <w:numId w:val="61"/>
        </w:numPr>
      </w:pPr>
      <w:r w:rsidRPr="001942D0">
        <w:t>When the trained model is operating in a moderately different environment of {40%, 6m, 2m}, where the test environment has drifted from the training set environment, but the model is still performing well, the distribution of the residual losses shown in green remain quite similar to those for the {60%, 6m, 2m} environment (blue line).</w:t>
      </w:r>
    </w:p>
    <w:p w14:paraId="4239A8B3" w14:textId="77777777" w:rsidR="00D35F36" w:rsidRPr="005E6273" w:rsidRDefault="00D35F36" w:rsidP="00D35F36">
      <w:r w:rsidRPr="005E6273">
        <w:t>From this analysis, it can be concluded that the residual losses from the conventional positioning algorithms can be used as a reliable metric to detect model/environment mismatch. For the example shown here, one could determine a threshold for flagging model refinement/re-training, for example, threshold =</w:t>
      </w:r>
      <w:r>
        <w:t xml:space="preserve"> </w:t>
      </w:r>
      <w:r w:rsidRPr="005E6273">
        <w:t xml:space="preserve">1 considering both blue and green curves. If the positioning residual losses are above this threshold, there is a high chance that the environment has drifted too far from the training environment and the model will need to be replaced or adjusted. </w:t>
      </w:r>
    </w:p>
    <w:p w14:paraId="3909AF9F" w14:textId="77777777" w:rsidR="00D35F36" w:rsidRPr="005E6273" w:rsidRDefault="00D35F36" w:rsidP="00D35F36"/>
    <w:p w14:paraId="43A34360" w14:textId="77777777" w:rsidR="00D35F36" w:rsidRPr="003F7CFD" w:rsidRDefault="00D35F36" w:rsidP="00D35F36">
      <w:pPr>
        <w:jc w:val="center"/>
        <w:rPr>
          <w:color w:val="7030A0"/>
        </w:rPr>
      </w:pPr>
      <w:r w:rsidRPr="003F7CFD">
        <w:rPr>
          <w:noProof/>
          <w:color w:val="7030A0"/>
        </w:rPr>
        <w:lastRenderedPageBreak/>
        <w:drawing>
          <wp:inline distT="0" distB="0" distL="0" distR="0" wp14:anchorId="0C2E1E3E" wp14:editId="604AEABE">
            <wp:extent cx="3676650" cy="253365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45"/>
                    <a:stretch>
                      <a:fillRect/>
                    </a:stretch>
                  </pic:blipFill>
                  <pic:spPr>
                    <a:xfrm>
                      <a:off x="0" y="0"/>
                      <a:ext cx="3676650" cy="2533650"/>
                    </a:xfrm>
                    <a:prstGeom prst="rect">
                      <a:avLst/>
                    </a:prstGeom>
                  </pic:spPr>
                </pic:pic>
              </a:graphicData>
            </a:graphic>
          </wp:inline>
        </w:drawing>
      </w:r>
    </w:p>
    <w:p w14:paraId="695C80D4" w14:textId="4C7F0593" w:rsidR="00D35F36" w:rsidRPr="003A583A" w:rsidRDefault="00D35F36" w:rsidP="00D35F36">
      <w:pPr>
        <w:pStyle w:val="Caption"/>
      </w:pPr>
      <w:bookmarkStart w:id="1868" w:name="_Ref131539736"/>
      <w:r w:rsidRPr="003A583A">
        <w:t xml:space="preserve">Figure </w:t>
      </w:r>
      <w:r>
        <w:fldChar w:fldCharType="begin"/>
      </w:r>
      <w:r>
        <w:instrText xml:space="preserve"> SEQ Figure \* ARABIC </w:instrText>
      </w:r>
      <w:r>
        <w:fldChar w:fldCharType="separate"/>
      </w:r>
      <w:r w:rsidR="00850DA1">
        <w:rPr>
          <w:noProof/>
        </w:rPr>
        <w:t>26</w:t>
      </w:r>
      <w:r>
        <w:rPr>
          <w:noProof/>
        </w:rPr>
        <w:fldChar w:fldCharType="end"/>
      </w:r>
      <w:bookmarkEnd w:id="1868"/>
      <w:r w:rsidRPr="003A583A">
        <w:t>: Residual losses from conventional triangulation-based error minimization positioning algorithms. The ML model is trained in the {60%, 6m, 2m} environment and tested in three environments: {60%, 6m, 2m}, {40%, 6m, 2m} and {40%, 2m, 2m}.</w:t>
      </w:r>
    </w:p>
    <w:p w14:paraId="1CC745BF" w14:textId="77777777" w:rsidR="00D35F36" w:rsidRPr="005E6273" w:rsidRDefault="00D35F36" w:rsidP="00D35F36"/>
    <w:p w14:paraId="23CB661D" w14:textId="77777777" w:rsidR="00D35F36" w:rsidRPr="005E6273" w:rsidRDefault="00D35F36" w:rsidP="00D35F36">
      <w:r w:rsidRPr="005E6273">
        <w:t xml:space="preserve">Based on the investigation above, the intrinsic model monitoring for AI/ML assisted approaches is a valuable model monitoring method. The complexity, latency, and power consumption are negligible since the computation is already part of the conventional triangulation method. </w:t>
      </w:r>
    </w:p>
    <w:p w14:paraId="4D192314" w14:textId="7B4E1529" w:rsidR="00D35F36" w:rsidRPr="005E6273" w:rsidRDefault="00D35F36" w:rsidP="00D35F36">
      <w:r w:rsidRPr="005E6273">
        <w:t>In literature, the important model monitoring metrics include false alarm rate (FAR), missed detection rate (MDR), and detection delay.</w:t>
      </w:r>
      <w:r>
        <w:t xml:space="preserve"> </w:t>
      </w:r>
      <w:r w:rsidRPr="005E6273">
        <w:t xml:space="preserve">For the simplistic case evaluated in </w:t>
      </w:r>
      <w:r w:rsidRPr="005E6273">
        <w:fldChar w:fldCharType="begin"/>
      </w:r>
      <w:r w:rsidRPr="003F7CFD">
        <w:rPr>
          <w:color w:val="7030A0"/>
        </w:rPr>
        <w:instrText xml:space="preserve"> REF _Ref131539736 \h </w:instrText>
      </w:r>
      <w:r w:rsidRPr="005E6273">
        <w:fldChar w:fldCharType="separate"/>
      </w:r>
      <w:r w:rsidR="00850DA1" w:rsidRPr="003A583A">
        <w:t xml:space="preserve">Figure </w:t>
      </w:r>
      <w:r w:rsidR="00850DA1">
        <w:rPr>
          <w:noProof/>
        </w:rPr>
        <w:t>26</w:t>
      </w:r>
      <w:r w:rsidRPr="005E6273">
        <w:fldChar w:fldCharType="end"/>
      </w:r>
      <w:r w:rsidRPr="005E6273">
        <w:t>, they can be estimated as follows. Assume the threshold for declare the model has drifted or not is</w:t>
      </w:r>
      <w:r>
        <w:t xml:space="preserve"> set at</w:t>
      </w:r>
      <w:r w:rsidRPr="005E6273">
        <w:t xml:space="preserve"> residual loss =1. This corresponds to CDF=99.5% for the ‘no drift’ cases ({60%, 6m, 2m} and {40%, 2m, 2m}), and CDF=3% for the ‘drift’ case ({40%, 6m, 2m}).</w:t>
      </w:r>
    </w:p>
    <w:p w14:paraId="5863871D" w14:textId="77777777" w:rsidR="00D35F36" w:rsidRPr="005E6273" w:rsidRDefault="00D35F36" w:rsidP="00D35F36">
      <w:r w:rsidRPr="005E6273">
        <w:t xml:space="preserve">The model monitoring algorithm can monitor </w:t>
      </w:r>
      <m:oMath>
        <m:r>
          <w:rPr>
            <w:rFonts w:ascii="Cambria Math" w:hAnsi="Cambria Math"/>
          </w:rPr>
          <m:t>m</m:t>
        </m:r>
      </m:oMath>
      <w:r w:rsidRPr="005E6273">
        <w:t xml:space="preserve"> positioning requests to decide ‘drift’ or not. If for all </w:t>
      </w:r>
      <m:oMath>
        <m:r>
          <w:rPr>
            <w:rFonts w:ascii="Cambria Math" w:hAnsi="Cambria Math"/>
          </w:rPr>
          <m:t>m</m:t>
        </m:r>
      </m:oMath>
      <w:r w:rsidRPr="005E6273">
        <w:t xml:space="preserve"> positioning requests, the residual loss is less than 1m, then ‘no drift’ is declared; otherwise, ‘drift’ is declared. In this case,</w:t>
      </w:r>
    </w:p>
    <w:p w14:paraId="7D433CFF" w14:textId="77777777" w:rsidR="00D35F36" w:rsidRPr="005E6273" w:rsidRDefault="00D35F36" w:rsidP="00D35F36">
      <w:pPr>
        <w:pStyle w:val="ListParagraph"/>
        <w:numPr>
          <w:ilvl w:val="0"/>
          <w:numId w:val="62"/>
        </w:numPr>
      </w:pPr>
      <w:r w:rsidRPr="005E6273">
        <w:t xml:space="preserve">FAR = </w:t>
      </w:r>
      <m:oMath>
        <m:r>
          <m:rPr>
            <m:sty m:val="p"/>
          </m:rPr>
          <w:rPr>
            <w:rFonts w:ascii="Cambria Math" w:hAnsi="Cambria Math"/>
          </w:rPr>
          <m:t>1-</m:t>
        </m:r>
        <m:sSup>
          <m:sSupPr>
            <m:ctrlPr>
              <w:rPr>
                <w:rFonts w:ascii="Cambria Math" w:hAnsi="Cambria Math"/>
              </w:rPr>
            </m:ctrlPr>
          </m:sSupPr>
          <m:e>
            <m:r>
              <m:rPr>
                <m:sty m:val="p"/>
              </m:rPr>
              <w:rPr>
                <w:rFonts w:ascii="Cambria Math" w:hAnsi="Cambria Math"/>
              </w:rPr>
              <m:t>0.995</m:t>
            </m:r>
          </m:e>
          <m:sup>
            <m:r>
              <w:rPr>
                <w:rFonts w:ascii="Cambria Math" w:hAnsi="Cambria Math"/>
              </w:rPr>
              <m:t>m</m:t>
            </m:r>
          </m:sup>
        </m:sSup>
      </m:oMath>
      <w:r w:rsidRPr="005E6273">
        <w:t>, the probability that the environment has not significantly changed (stayed at blue or green curve), but ‘drift’ is declared.</w:t>
      </w:r>
    </w:p>
    <w:p w14:paraId="1787FE32" w14:textId="77777777" w:rsidR="00D35F36" w:rsidRPr="005E6273" w:rsidRDefault="00D35F36" w:rsidP="00D35F36">
      <w:pPr>
        <w:pStyle w:val="ListParagraph"/>
        <w:numPr>
          <w:ilvl w:val="0"/>
          <w:numId w:val="62"/>
        </w:numPr>
      </w:pPr>
      <w:r w:rsidRPr="005E6273">
        <w:t xml:space="preserve">MDR = </w:t>
      </w:r>
      <m:oMath>
        <m:sSup>
          <m:sSupPr>
            <m:ctrlPr>
              <w:rPr>
                <w:rFonts w:ascii="Cambria Math" w:hAnsi="Cambria Math"/>
              </w:rPr>
            </m:ctrlPr>
          </m:sSupPr>
          <m:e>
            <m:r>
              <m:rPr>
                <m:sty m:val="p"/>
              </m:rPr>
              <w:rPr>
                <w:rFonts w:ascii="Cambria Math" w:hAnsi="Cambria Math"/>
              </w:rPr>
              <m:t>0.03</m:t>
            </m:r>
          </m:e>
          <m:sup>
            <m:r>
              <w:rPr>
                <w:rFonts w:ascii="Cambria Math" w:hAnsi="Cambria Math"/>
              </w:rPr>
              <m:t>m</m:t>
            </m:r>
          </m:sup>
        </m:sSup>
      </m:oMath>
      <w:r w:rsidRPr="005E6273">
        <w:t>, the probability that the environment has changed significantly (i.e., changed to orange curve), but ‘no drift’ is declared.</w:t>
      </w:r>
    </w:p>
    <w:p w14:paraId="572F8BDF" w14:textId="77777777" w:rsidR="00D35F36" w:rsidRDefault="00D35F36" w:rsidP="00D35F36">
      <w:r w:rsidRPr="005E6273">
        <w:t xml:space="preserve">The detection delay is the time to observe </w:t>
      </w:r>
      <m:oMath>
        <m:r>
          <w:rPr>
            <w:rFonts w:ascii="Cambria Math" w:hAnsi="Cambria Math"/>
          </w:rPr>
          <m:t>m</m:t>
        </m:r>
      </m:oMath>
      <w:r w:rsidRPr="005E6273">
        <w:t xml:space="preserve"> positioning occasions. Plugging in </w:t>
      </w:r>
      <m:oMath>
        <m:r>
          <w:rPr>
            <w:rFonts w:ascii="Cambria Math" w:hAnsi="Cambria Math"/>
          </w:rPr>
          <m:t>m=2</m:t>
        </m:r>
      </m:oMath>
      <w:r w:rsidRPr="005E6273">
        <w:t xml:space="preserve"> shows that this simple method can achieve FAR=1% and MDR=0.09%. </w:t>
      </w:r>
    </w:p>
    <w:p w14:paraId="5615BD55" w14:textId="77777777" w:rsidR="00D35F36" w:rsidRDefault="00D35F36" w:rsidP="00D35F36">
      <w:pPr>
        <w:pStyle w:val="Heading3"/>
      </w:pPr>
      <w:r>
        <w:tab/>
      </w:r>
      <w:bookmarkStart w:id="1869" w:name="_Ref164864188"/>
      <w:bookmarkStart w:id="1870" w:name="_Toc165991017"/>
      <w:bookmarkStart w:id="1871" w:name="_Ref166232203"/>
      <w:bookmarkStart w:id="1872" w:name="_Toc178961696"/>
      <w:r>
        <w:t xml:space="preserve">Monitoring approach 3 </w:t>
      </w:r>
      <w:r>
        <w:rPr>
          <w:lang w:val="en-US"/>
        </w:rPr>
        <w:t>(Label-free)</w:t>
      </w:r>
      <w:r>
        <w:t>: ML model self-monitoring</w:t>
      </w:r>
      <w:bookmarkEnd w:id="1869"/>
      <w:bookmarkEnd w:id="1870"/>
      <w:bookmarkEnd w:id="1871"/>
      <w:bookmarkEnd w:id="1872"/>
    </w:p>
    <w:p w14:paraId="1B0D3F1F" w14:textId="77777777" w:rsidR="00D35F36" w:rsidRDefault="00D35F36" w:rsidP="00D35F36">
      <w:r>
        <w:t>Data augmentation is an important and in fact indispensable component of training high performance deep learning models with limited data. In addition, data augmentation may also enable the model to</w:t>
      </w:r>
      <w:r w:rsidRPr="005E6273">
        <w:t xml:space="preserve"> self</w:t>
      </w:r>
      <w:r>
        <w:t>-</w:t>
      </w:r>
      <w:r w:rsidRPr="005E6273">
        <w:t>monitor without collecting new test samples nor ground truth UE positions. One model-based self-monitoring method is described below.</w:t>
      </w:r>
    </w:p>
    <w:p w14:paraId="663B488C" w14:textId="77777777" w:rsidR="00D35F36" w:rsidRPr="005E6273" w:rsidRDefault="00D35F36" w:rsidP="00D35F36">
      <w:pPr>
        <w:pStyle w:val="ListParagraph"/>
        <w:numPr>
          <w:ilvl w:val="0"/>
          <w:numId w:val="60"/>
        </w:numPr>
      </w:pPr>
      <w:r>
        <w:t>M</w:t>
      </w:r>
      <w:r w:rsidRPr="005E6273">
        <w:t>odel training with data augmentation</w:t>
      </w:r>
    </w:p>
    <w:p w14:paraId="0B5B1D39" w14:textId="77777777" w:rsidR="00D35F36" w:rsidRPr="005E6273" w:rsidRDefault="00D35F36" w:rsidP="00D35F36">
      <w:pPr>
        <w:pStyle w:val="ListParagraph"/>
        <w:numPr>
          <w:ilvl w:val="1"/>
          <w:numId w:val="60"/>
        </w:numPr>
      </w:pPr>
      <w:r w:rsidRPr="005E6273">
        <w:t xml:space="preserve">Given ground truth samples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p>
    <w:p w14:paraId="417CB892" w14:textId="77777777" w:rsidR="00D35F36" w:rsidRPr="005E6273" w:rsidRDefault="00D35F36" w:rsidP="00D35F36">
      <w:pPr>
        <w:pStyle w:val="ListParagraph"/>
        <w:numPr>
          <w:ilvl w:val="1"/>
          <w:numId w:val="60"/>
        </w:numPr>
      </w:pPr>
      <w:r w:rsidRPr="005E6273">
        <w:t xml:space="preserve">Train the model with a mixture of </w:t>
      </w:r>
    </w:p>
    <w:p w14:paraId="68C1A0F6" w14:textId="77777777" w:rsidR="00D35F36" w:rsidRPr="005E6273" w:rsidRDefault="00D35F36" w:rsidP="00D35F36">
      <w:pPr>
        <w:pStyle w:val="ListParagraph"/>
        <w:numPr>
          <w:ilvl w:val="2"/>
          <w:numId w:val="60"/>
        </w:numPr>
      </w:pPr>
      <w:r w:rsidRPr="005E6273">
        <w:t xml:space="preserve">Unmodified samples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p>
    <w:p w14:paraId="6748FB18" w14:textId="77777777" w:rsidR="00D35F36" w:rsidRPr="005E6273" w:rsidRDefault="00D35F36" w:rsidP="00D35F36">
      <w:pPr>
        <w:pStyle w:val="ListParagraph"/>
        <w:numPr>
          <w:ilvl w:val="2"/>
          <w:numId w:val="60"/>
        </w:numPr>
      </w:pPr>
      <w:r w:rsidRPr="35DAF9E0">
        <w:t xml:space="preserve">Data augmentation modified samples </w:t>
      </w:r>
      <m:oMath>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sub>
              <m:sup>
                <m:r>
                  <m:rPr>
                    <m:sty m:val="p"/>
                  </m:rPr>
                  <w:rPr>
                    <w:rFonts w:ascii="Cambria Math" w:hAnsi="Cambria Math"/>
                  </w:rPr>
                  <m: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r w:rsidRPr="35DAF9E0">
        <w:t xml:space="preserve"> </w:t>
      </w:r>
    </w:p>
    <w:p w14:paraId="75D5BFFA" w14:textId="77777777" w:rsidR="00D35F36" w:rsidRPr="005E6273" w:rsidRDefault="00D35F36" w:rsidP="00D35F36">
      <w:pPr>
        <w:pStyle w:val="ListParagraph"/>
        <w:numPr>
          <w:ilvl w:val="0"/>
          <w:numId w:val="60"/>
        </w:numPr>
      </w:pPr>
      <w:r w:rsidRPr="005E6273">
        <w:t>Self-model monitoring at operation</w:t>
      </w:r>
    </w:p>
    <w:p w14:paraId="2432C81E" w14:textId="77777777" w:rsidR="00D35F36" w:rsidRPr="005E6273" w:rsidRDefault="00D35F36" w:rsidP="00D35F36">
      <w:pPr>
        <w:pStyle w:val="ListParagraph"/>
        <w:numPr>
          <w:ilvl w:val="1"/>
          <w:numId w:val="60"/>
        </w:numPr>
      </w:pPr>
      <w:r w:rsidRPr="005E6273">
        <w:t xml:space="preserve">Given positioning request data </w:t>
      </w:r>
      <m:oMath>
        <m:sSub>
          <m:sSubPr>
            <m:ctrlPr>
              <w:rPr>
                <w:rFonts w:ascii="Cambria Math" w:hAnsi="Cambria Math"/>
              </w:rPr>
            </m:ctrlPr>
          </m:sSubPr>
          <m:e>
            <m:r>
              <w:rPr>
                <w:rFonts w:ascii="Cambria Math" w:hAnsi="Cambria Math"/>
              </w:rPr>
              <m:t>x</m:t>
            </m:r>
          </m:e>
          <m:sub>
            <m:r>
              <w:rPr>
                <w:rFonts w:ascii="Cambria Math" w:hAnsi="Cambria Math"/>
              </w:rPr>
              <m:t>j</m:t>
            </m:r>
          </m:sub>
        </m:sSub>
      </m:oMath>
    </w:p>
    <w:p w14:paraId="4B33E8C3" w14:textId="77777777" w:rsidR="00D35F36" w:rsidRPr="005E6273" w:rsidRDefault="00D35F36" w:rsidP="00D35F36">
      <w:pPr>
        <w:pStyle w:val="ListParagraph"/>
        <w:numPr>
          <w:ilvl w:val="1"/>
          <w:numId w:val="60"/>
        </w:numPr>
      </w:pPr>
      <w:r w:rsidRPr="005E6273">
        <w:t xml:space="preserve">Obtain a first target estimate </w:t>
      </w:r>
      <m:oMath>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oMath>
      <w:r w:rsidRPr="005E6273">
        <w:t xml:space="preserve"> using unmodified data </w:t>
      </w:r>
      <m:oMath>
        <m:sSub>
          <m:sSubPr>
            <m:ctrlPr>
              <w:rPr>
                <w:rFonts w:ascii="Cambria Math" w:hAnsi="Cambria Math"/>
              </w:rPr>
            </m:ctrlPr>
          </m:sSubPr>
          <m:e>
            <m:r>
              <w:rPr>
                <w:rFonts w:ascii="Cambria Math" w:hAnsi="Cambria Math"/>
              </w:rPr>
              <m:t>x</m:t>
            </m:r>
          </m:e>
          <m:sub>
            <m:r>
              <w:rPr>
                <w:rFonts w:ascii="Cambria Math" w:hAnsi="Cambria Math"/>
              </w:rPr>
              <m:t>j</m:t>
            </m:r>
          </m:sub>
        </m:sSub>
      </m:oMath>
    </w:p>
    <w:p w14:paraId="21754DB8" w14:textId="77777777" w:rsidR="00D35F36" w:rsidRPr="005E6273" w:rsidRDefault="00D35F36" w:rsidP="00D35F36">
      <w:pPr>
        <w:pStyle w:val="ListParagraph"/>
        <w:numPr>
          <w:ilvl w:val="1"/>
          <w:numId w:val="60"/>
        </w:numPr>
      </w:pPr>
      <w:r w:rsidRPr="35DAF9E0">
        <w:lastRenderedPageBreak/>
        <w:t xml:space="preserve">Obtain a second target estimate </w:t>
      </w:r>
      <m:oMath>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oMath>
      <w:r w:rsidRPr="35DAF9E0">
        <w:t xml:space="preserve"> using data augmentation modified data </w:t>
      </w:r>
      <m:oMath>
        <m:sSubSup>
          <m:sSubSupPr>
            <m:ctrlPr>
              <w:rPr>
                <w:rFonts w:ascii="Cambria Math" w:hAnsi="Cambria Math"/>
              </w:rPr>
            </m:ctrlPr>
          </m:sSubSupPr>
          <m:e>
            <m:r>
              <w:rPr>
                <w:rFonts w:ascii="Cambria Math" w:hAnsi="Cambria Math"/>
              </w:rPr>
              <m:t>x</m:t>
            </m:r>
          </m:e>
          <m:sub>
            <m:r>
              <w:rPr>
                <w:rFonts w:ascii="Cambria Math" w:hAnsi="Cambria Math"/>
              </w:rPr>
              <m:t>j</m:t>
            </m:r>
          </m:sub>
          <m:sup>
            <m:r>
              <m:rPr>
                <m:sty m:val="p"/>
              </m:rPr>
              <w:rPr>
                <w:rFonts w:ascii="Cambria Math" w:hAnsi="Cambria Math"/>
              </w:rPr>
              <m:t>'</m:t>
            </m:r>
          </m:sup>
        </m:sSubSup>
      </m:oMath>
      <w:r w:rsidRPr="35DAF9E0">
        <w:t xml:space="preserve"> </w:t>
      </w:r>
    </w:p>
    <w:p w14:paraId="2C334D42" w14:textId="77777777" w:rsidR="00D35F36" w:rsidRPr="005E6273" w:rsidRDefault="00D35F36" w:rsidP="00D35F36">
      <w:pPr>
        <w:pStyle w:val="ListParagraph"/>
        <w:numPr>
          <w:ilvl w:val="1"/>
          <w:numId w:val="60"/>
        </w:numPr>
      </w:pPr>
      <w:r w:rsidRPr="005E6273">
        <w:t xml:space="preserve">Check the difference between the two target estimates, </w:t>
      </w:r>
      <m:oMath>
        <m:sSub>
          <m:sSubPr>
            <m:ctrlPr>
              <w:rPr>
                <w:rFonts w:ascii="Cambria Math" w:hAnsi="Cambria Math"/>
              </w:rPr>
            </m:ctrlPr>
          </m:sSubPr>
          <m:e>
            <m:r>
              <w:rPr>
                <w:rFonts w:ascii="Cambria Math" w:hAnsi="Cambria Math"/>
              </w:rPr>
              <m:t>d</m:t>
            </m:r>
          </m:e>
          <m:sub>
            <m:r>
              <w:rPr>
                <w:rFonts w:ascii="Cambria Math" w:hAnsi="Cambria Math"/>
              </w:rPr>
              <m:t>j</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r>
          <m:rPr>
            <m:sty m:val="p"/>
          </m:rPr>
          <w:rPr>
            <w:rFonts w:ascii="Cambria Math" w:hAnsi="Cambria Math"/>
          </w:rPr>
          <m:t>‖</m:t>
        </m:r>
      </m:oMath>
      <w:r w:rsidRPr="005E6273">
        <w:t xml:space="preserve">. </w:t>
      </w:r>
    </w:p>
    <w:p w14:paraId="4727A668" w14:textId="71063DF6" w:rsidR="00D35F36" w:rsidRPr="005E6273" w:rsidRDefault="00D35F36" w:rsidP="00D35F36">
      <w:r w:rsidRPr="005E6273">
        <w:t xml:space="preserve">We investigate the effectiveness of this self-monitoring approach using </w:t>
      </w:r>
      <w:r w:rsidRPr="005F0C6D">
        <w:t>the smallest model</w:t>
      </w:r>
      <w:r w:rsidRPr="005E6273">
        <w:t xml:space="preserve"> (0.73 M parameters) for the centralized direct positioning approach trained with {60%, 6m, 2m} dataset samples. The CDF of the test results are summarized in </w:t>
      </w:r>
      <w:r w:rsidRPr="005E6273">
        <w:fldChar w:fldCharType="begin"/>
      </w:r>
      <w:r w:rsidRPr="005F0C6D">
        <w:instrText xml:space="preserve"> REF _Ref126938774 \h  \* MERGEFORMAT </w:instrText>
      </w:r>
      <w:r w:rsidRPr="005E6273">
        <w:fldChar w:fldCharType="separate"/>
      </w:r>
      <w:r w:rsidR="00850DA1" w:rsidRPr="005E6273">
        <w:t xml:space="preserve">Figure </w:t>
      </w:r>
      <w:r w:rsidR="00850DA1" w:rsidRPr="00850DA1">
        <w:t>27</w:t>
      </w:r>
      <w:r w:rsidRPr="005E6273">
        <w:fldChar w:fldCharType="end"/>
      </w:r>
      <w:r w:rsidRPr="005E6273">
        <w:t>. It can be observed that:</w:t>
      </w:r>
    </w:p>
    <w:p w14:paraId="5727BDEB" w14:textId="77777777" w:rsidR="00D35F36" w:rsidRPr="005E6273" w:rsidRDefault="00D35F36" w:rsidP="00D35F36">
      <w:pPr>
        <w:pStyle w:val="ListParagraph"/>
        <w:numPr>
          <w:ilvl w:val="0"/>
          <w:numId w:val="60"/>
        </w:numPr>
      </w:pPr>
      <w:r w:rsidRPr="35DAF9E0">
        <w:t xml:space="preserve">When the model is operating in environments similar to that it was trained for (such as the {60%, 6m, 2m} and {40%, 6m, 2m} environments), the two UE position estimates do not differ by more than 1 m, i.e., </w:t>
      </w:r>
      <m:oMath>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e>
        </m:d>
        <m:r>
          <m:rPr>
            <m:sty m:val="p"/>
          </m:rPr>
          <w:rPr>
            <w:rFonts w:ascii="Cambria Math" w:hAnsi="Cambria Math"/>
          </w:rPr>
          <m:t>&lt;1</m:t>
        </m:r>
      </m:oMath>
      <w:r w:rsidRPr="35DAF9E0">
        <w:t xml:space="preserve"> m.</w:t>
      </w:r>
    </w:p>
    <w:p w14:paraId="2AADCDEB" w14:textId="77777777" w:rsidR="00D35F36" w:rsidRPr="005E6273" w:rsidRDefault="00D35F36" w:rsidP="00D35F36">
      <w:pPr>
        <w:pStyle w:val="ListParagraph"/>
        <w:numPr>
          <w:ilvl w:val="0"/>
          <w:numId w:val="60"/>
        </w:numPr>
      </w:pPr>
      <w:r w:rsidRPr="35DAF9E0">
        <w:t>When the model is operating in environments which it was not trained for and hence is under-performing, the two UE position estimates differ by more than 1 m with substantially high probabilities. For instance, in the {60%, 2m, 2m} and {40%, 2m, 2m} environments, the two UE position estimates differ by more than 1 m with 20% and 33% probabilities, respectively.</w:t>
      </w:r>
    </w:p>
    <w:p w14:paraId="68C17946" w14:textId="77777777" w:rsidR="00D35F36" w:rsidRPr="005E6273" w:rsidRDefault="00D35F36" w:rsidP="00D35F36">
      <w:pPr>
        <w:pStyle w:val="ListParagraph"/>
        <w:numPr>
          <w:ilvl w:val="0"/>
          <w:numId w:val="60"/>
        </w:numPr>
      </w:pPr>
      <w:r w:rsidRPr="005E6273">
        <w:t xml:space="preserve">While observing one UE position estimate difference of </w:t>
      </w:r>
      <w:r>
        <w:t xml:space="preserve">above </w:t>
      </w:r>
      <w:r w:rsidRPr="005E6273">
        <w:t xml:space="preserve">1 m is not reliable enough to ensure model is still operating in the intended environment, checking the </w:t>
      </w:r>
      <m:oMath>
        <m:sSub>
          <m:sSubPr>
            <m:ctrlPr>
              <w:rPr>
                <w:rFonts w:ascii="Cambria Math" w:hAnsi="Cambria Math"/>
              </w:rPr>
            </m:ctrlPr>
          </m:sSubPr>
          <m:e>
            <m:r>
              <w:rPr>
                <w:rFonts w:ascii="Cambria Math" w:hAnsi="Cambria Math"/>
              </w:rPr>
              <m:t>d</m:t>
            </m:r>
          </m:e>
          <m:sub>
            <m:r>
              <w:rPr>
                <w:rFonts w:ascii="Cambria Math" w:hAnsi="Cambria Math"/>
              </w:rPr>
              <m:t>j</m:t>
            </m:r>
          </m:sub>
        </m:sSub>
      </m:oMath>
      <w:r w:rsidRPr="005E6273">
        <w:t xml:space="preserve"> distribution in a small window of 10s-20s model inferences can achieve monitoring accuracy &gt;99%.</w:t>
      </w:r>
    </w:p>
    <w:p w14:paraId="61566884" w14:textId="77777777" w:rsidR="00D35F36" w:rsidRPr="005E6273" w:rsidRDefault="00D35F36" w:rsidP="00D35F36">
      <w:pPr>
        <w:pStyle w:val="ListParagraph"/>
        <w:numPr>
          <w:ilvl w:val="1"/>
          <w:numId w:val="60"/>
        </w:numPr>
      </w:pPr>
      <w:r w:rsidRPr="005E6273">
        <w:t xml:space="preserve">Observing 14 UE position estimate differences of </w:t>
      </w:r>
      <w:r>
        <w:t xml:space="preserve">above </w:t>
      </w:r>
      <w:r w:rsidRPr="005E6273">
        <w:t>1 m is enough to ensure an environment change from {60%, 6m, 2m} to {60%, 2m, 2m} is identified with a probability &gt; 95%.</w:t>
      </w:r>
    </w:p>
    <w:p w14:paraId="4AF473FB" w14:textId="77777777" w:rsidR="00D35F36" w:rsidRPr="005E6273" w:rsidRDefault="00D35F36" w:rsidP="00D35F36">
      <w:pPr>
        <w:pStyle w:val="ListParagraph"/>
        <w:numPr>
          <w:ilvl w:val="2"/>
          <w:numId w:val="60"/>
        </w:numPr>
      </w:pPr>
      <w:r w:rsidRPr="005E6273">
        <w:t xml:space="preserve">Observing 21 UE position estimate differences of </w:t>
      </w:r>
      <w:r>
        <w:t xml:space="preserve">above </w:t>
      </w:r>
      <w:r w:rsidRPr="005E6273">
        <w:t>1 m is enough to ensure an environment change from {60%, 6m, 2m} to {60%, 2m, 2m} is identified with a probability &gt; 99%.</w:t>
      </w:r>
    </w:p>
    <w:p w14:paraId="1F1250D5" w14:textId="77777777" w:rsidR="00D35F36" w:rsidRPr="005E6273" w:rsidRDefault="00D35F36" w:rsidP="00D35F36">
      <w:pPr>
        <w:pStyle w:val="ListParagraph"/>
        <w:numPr>
          <w:ilvl w:val="1"/>
          <w:numId w:val="60"/>
        </w:numPr>
      </w:pPr>
      <w:r w:rsidRPr="005E6273">
        <w:t xml:space="preserve">Observing 8 UE position estimate differences of </w:t>
      </w:r>
      <w:r>
        <w:t xml:space="preserve">above </w:t>
      </w:r>
      <w:r w:rsidRPr="005E6273">
        <w:t>1 m is enough to ensure an environment change from {60%, 6m, 2m} to {40%, 2m, 2m} is identified with a probability &gt; 96%.</w:t>
      </w:r>
    </w:p>
    <w:p w14:paraId="1CB3BD65" w14:textId="77777777" w:rsidR="00D35F36" w:rsidRPr="005E6273" w:rsidRDefault="00D35F36" w:rsidP="00D35F36">
      <w:pPr>
        <w:pStyle w:val="ListParagraph"/>
        <w:numPr>
          <w:ilvl w:val="2"/>
          <w:numId w:val="60"/>
        </w:numPr>
      </w:pPr>
      <w:r w:rsidRPr="005E6273">
        <w:t xml:space="preserve">Observing 12 UE position estimate differences of </w:t>
      </w:r>
      <w:r>
        <w:t xml:space="preserve">above </w:t>
      </w:r>
      <w:r w:rsidRPr="005E6273">
        <w:t>1 m is enough to ensure an environment change from {60%, 6m, 2m} to {40%, 2m, 2m} is identified with a probability &gt; 99%.</w:t>
      </w:r>
    </w:p>
    <w:p w14:paraId="31236214" w14:textId="1BF1607A" w:rsidR="00D35F36" w:rsidRPr="00150AF2" w:rsidRDefault="00D35F36" w:rsidP="00D35F36">
      <w:r w:rsidRPr="005E6273">
        <w:t>Note that the need of observing multiple instances is no different than any other model monitoring methods, since poor performance at a single instance cannot tell whether the model has truly degraded, or it’s a random anomaly.</w:t>
      </w:r>
    </w:p>
    <w:p w14:paraId="35765D9A" w14:textId="77777777" w:rsidR="00D35F36" w:rsidRPr="003F7CFD" w:rsidRDefault="00D35F36" w:rsidP="00D35F36">
      <w:pPr>
        <w:jc w:val="center"/>
        <w:rPr>
          <w:color w:val="7030A0"/>
        </w:rPr>
      </w:pPr>
      <w:r w:rsidRPr="003F7CFD">
        <w:rPr>
          <w:noProof/>
          <w:color w:val="7030A0"/>
        </w:rPr>
        <w:drawing>
          <wp:inline distT="0" distB="0" distL="0" distR="0" wp14:anchorId="351C7107" wp14:editId="1F28E752">
            <wp:extent cx="3676650" cy="25717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76650" cy="2571750"/>
                    </a:xfrm>
                    <a:prstGeom prst="rect">
                      <a:avLst/>
                    </a:prstGeom>
                  </pic:spPr>
                </pic:pic>
              </a:graphicData>
            </a:graphic>
          </wp:inline>
        </w:drawing>
      </w:r>
    </w:p>
    <w:p w14:paraId="18F1A99A" w14:textId="0B5F1120" w:rsidR="00D35F36" w:rsidRPr="005E6273" w:rsidRDefault="00D35F36" w:rsidP="00D35F36">
      <w:pPr>
        <w:pStyle w:val="Caption"/>
      </w:pPr>
      <w:bookmarkStart w:id="1873" w:name="_Ref126938774"/>
      <w:r w:rsidRPr="005E6273">
        <w:t xml:space="preserve">Figure </w:t>
      </w:r>
      <w:r w:rsidRPr="005E6273">
        <w:fldChar w:fldCharType="begin"/>
      </w:r>
      <w:r w:rsidRPr="003F7CFD">
        <w:rPr>
          <w:color w:val="7030A0"/>
        </w:rPr>
        <w:instrText xml:space="preserve"> SEQ Figure \* ARABIC </w:instrText>
      </w:r>
      <w:r w:rsidRPr="005E6273">
        <w:fldChar w:fldCharType="separate"/>
      </w:r>
      <w:r w:rsidR="00850DA1">
        <w:rPr>
          <w:noProof/>
          <w:color w:val="7030A0"/>
        </w:rPr>
        <w:t>27</w:t>
      </w:r>
      <w:r w:rsidRPr="005E6273">
        <w:fldChar w:fldCharType="end"/>
      </w:r>
      <w:bookmarkEnd w:id="1873"/>
      <w:r w:rsidRPr="005E6273">
        <w:t>. 2D position estimate difference using unmodified or modified positioning request data at production in different operating environments for a small centralized direct positioning model trained with {60%, 6m, 2m} dataset samples.</w:t>
      </w:r>
    </w:p>
    <w:p w14:paraId="0A042575" w14:textId="77777777" w:rsidR="00D35F36" w:rsidRPr="005E6273" w:rsidRDefault="00D35F36" w:rsidP="00D35F36"/>
    <w:p w14:paraId="5C1DA8EF" w14:textId="610DA379" w:rsidR="00D35F36" w:rsidRPr="005E6273" w:rsidRDefault="00D35F36" w:rsidP="00D35F36">
      <w:r w:rsidRPr="005E6273">
        <w:t xml:space="preserve">The curves </w:t>
      </w:r>
      <w:r w:rsidRPr="005E6273">
        <w:fldChar w:fldCharType="begin"/>
      </w:r>
      <w:r w:rsidRPr="003F7CFD">
        <w:rPr>
          <w:color w:val="7030A0"/>
        </w:rPr>
        <w:instrText xml:space="preserve"> REF _Ref126938774 \h  \* MERGEFORMAT </w:instrText>
      </w:r>
      <w:r w:rsidRPr="005E6273">
        <w:fldChar w:fldCharType="separate"/>
      </w:r>
      <w:r w:rsidR="00850DA1" w:rsidRPr="005E6273">
        <w:t xml:space="preserve">Figure </w:t>
      </w:r>
      <w:r w:rsidR="00850DA1" w:rsidRPr="00850DA1">
        <w:rPr>
          <w:noProof/>
        </w:rPr>
        <w:t>27</w:t>
      </w:r>
      <w:r w:rsidRPr="005E6273">
        <w:fldChar w:fldCharType="end"/>
      </w:r>
      <w:r w:rsidRPr="005E6273">
        <w:t xml:space="preserve"> can be used to devise a monitoring method </w:t>
      </w:r>
      <w:r w:rsidRPr="005E6273">
        <w:rPr>
          <w:rFonts w:cs="Tahoma"/>
          <w:spacing w:val="2"/>
        </w:rPr>
        <w:t xml:space="preserve">and calculate </w:t>
      </w:r>
      <w:r w:rsidRPr="005E6273">
        <w:t>false alarm rate (FAR), missed detection rate (MDR), and detection delay as well.</w:t>
      </w:r>
      <w:r>
        <w:t xml:space="preserve"> </w:t>
      </w:r>
      <w:r w:rsidRPr="005E6273">
        <w:rPr>
          <w:rFonts w:cs="Tahoma"/>
          <w:spacing w:val="2"/>
        </w:rPr>
        <w:t xml:space="preserve">Take the threshold of 2D position estimate difference </w:t>
      </w:r>
      <m:oMath>
        <m:sSub>
          <m:sSubPr>
            <m:ctrlPr>
              <w:rPr>
                <w:rFonts w:ascii="Cambria Math" w:hAnsi="Cambria Math" w:cs="Tahoma"/>
                <w:i/>
                <w:spacing w:val="2"/>
              </w:rPr>
            </m:ctrlPr>
          </m:sSubPr>
          <m:e>
            <m:r>
              <w:rPr>
                <w:rFonts w:ascii="Cambria Math" w:hAnsi="Cambria Math" w:cs="Tahoma"/>
                <w:spacing w:val="2"/>
              </w:rPr>
              <m:t>d</m:t>
            </m:r>
          </m:e>
          <m:sub>
            <m:r>
              <w:rPr>
                <w:rFonts w:ascii="Cambria Math" w:hAnsi="Cambria Math" w:cs="Tahoma"/>
                <w:spacing w:val="2"/>
              </w:rPr>
              <m:t>thresh</m:t>
            </m:r>
          </m:sub>
        </m:sSub>
      </m:oMath>
      <w:r w:rsidRPr="005E6273">
        <w:rPr>
          <w:rFonts w:cs="Tahoma"/>
          <w:spacing w:val="2"/>
        </w:rPr>
        <w:t xml:space="preserve">= 1m. At this point, </w:t>
      </w:r>
      <w:r w:rsidRPr="005E6273">
        <w:rPr>
          <w:rFonts w:cs="Tahoma"/>
          <w:spacing w:val="2"/>
        </w:rPr>
        <w:lastRenderedPageBreak/>
        <w:t>CDF=</w:t>
      </w:r>
      <w:r w:rsidRPr="005E6273">
        <w:t>99.96% for {60%, 6m, 2m} and {40%, 6m, 2m}, CDF=80% for {60%, 2m, 2m}, and CDF= 67% for {40%, 2m, 2m}. The model monitoring protocol can be:</w:t>
      </w:r>
    </w:p>
    <w:p w14:paraId="78E6B1D6" w14:textId="77777777" w:rsidR="00D35F36" w:rsidRPr="005E6273" w:rsidRDefault="00D35F36" w:rsidP="00D35F36">
      <w:pPr>
        <w:pStyle w:val="ListParagraph"/>
        <w:numPr>
          <w:ilvl w:val="0"/>
          <w:numId w:val="59"/>
        </w:numPr>
      </w:pPr>
      <w:r w:rsidRPr="005E6273">
        <w:t xml:space="preserve">Declare ‘no drift’ from {60%, 6m, 2m} to {60%, 2m, 2m} if the last </w:t>
      </w:r>
      <m:oMath>
        <m:r>
          <w:rPr>
            <w:rFonts w:ascii="Cambria Math" w:hAnsi="Cambria Math"/>
          </w:rPr>
          <m:t>m</m:t>
        </m:r>
      </m:oMath>
      <w:r w:rsidRPr="005E6273">
        <w:t xml:space="preserve"> positioning instances have </w:t>
      </w:r>
      <m:oMath>
        <m:sSub>
          <m:sSubPr>
            <m:ctrlPr>
              <w:rPr>
                <w:rFonts w:ascii="Cambria Math" w:hAnsi="Cambria Math" w:cs="Tahoma"/>
                <w:i/>
                <w:spacing w:val="2"/>
              </w:rPr>
            </m:ctrlPr>
          </m:sSubPr>
          <m:e>
            <m:r>
              <w:rPr>
                <w:rFonts w:ascii="Cambria Math" w:hAnsi="Cambria Math" w:cs="Tahoma"/>
                <w:spacing w:val="2"/>
              </w:rPr>
              <m:t>d&lt;d</m:t>
            </m:r>
          </m:e>
          <m:sub>
            <m:r>
              <w:rPr>
                <w:rFonts w:ascii="Cambria Math" w:hAnsi="Cambria Math" w:cs="Tahoma"/>
                <w:spacing w:val="2"/>
              </w:rPr>
              <m:t>thresh</m:t>
            </m:r>
          </m:sub>
        </m:sSub>
      </m:oMath>
      <w:r w:rsidRPr="005E6273">
        <w:t>.</w:t>
      </w:r>
    </w:p>
    <w:p w14:paraId="454156DA" w14:textId="77777777" w:rsidR="00D35F36" w:rsidRPr="005E6273" w:rsidRDefault="00D35F36" w:rsidP="00D35F36">
      <w:pPr>
        <w:pStyle w:val="ListParagraph"/>
        <w:numPr>
          <w:ilvl w:val="0"/>
          <w:numId w:val="59"/>
        </w:numPr>
      </w:pPr>
      <w:r w:rsidRPr="005E6273">
        <w:t xml:space="preserve">Declare ‘no drift’ from {60%, 6m, 2m} to {40%, 2m, 2m} if the last </w:t>
      </w:r>
      <m:oMath>
        <m:r>
          <w:rPr>
            <w:rFonts w:ascii="Cambria Math" w:hAnsi="Cambria Math"/>
          </w:rPr>
          <m:t>m</m:t>
        </m:r>
      </m:oMath>
      <w:r w:rsidRPr="005E6273">
        <w:t xml:space="preserve"> position instances have </w:t>
      </w:r>
      <m:oMath>
        <m:sSub>
          <m:sSubPr>
            <m:ctrlPr>
              <w:rPr>
                <w:rFonts w:ascii="Cambria Math" w:hAnsi="Cambria Math" w:cs="Tahoma"/>
                <w:i/>
                <w:spacing w:val="2"/>
              </w:rPr>
            </m:ctrlPr>
          </m:sSubPr>
          <m:e>
            <m:r>
              <w:rPr>
                <w:rFonts w:ascii="Cambria Math" w:hAnsi="Cambria Math" w:cs="Tahoma"/>
                <w:spacing w:val="2"/>
              </w:rPr>
              <m:t>d&lt;d</m:t>
            </m:r>
          </m:e>
          <m:sub>
            <m:r>
              <w:rPr>
                <w:rFonts w:ascii="Cambria Math" w:hAnsi="Cambria Math" w:cs="Tahoma"/>
                <w:spacing w:val="2"/>
              </w:rPr>
              <m:t>thresh</m:t>
            </m:r>
          </m:sub>
        </m:sSub>
      </m:oMath>
      <w:r w:rsidRPr="005E6273">
        <w:t>.</w:t>
      </w:r>
    </w:p>
    <w:p w14:paraId="76ADC9A0" w14:textId="77777777" w:rsidR="00D35F36" w:rsidRPr="005E6273" w:rsidRDefault="00D35F36" w:rsidP="00D35F36">
      <w:pPr>
        <w:pStyle w:val="ListParagraph"/>
        <w:numPr>
          <w:ilvl w:val="0"/>
          <w:numId w:val="59"/>
        </w:numPr>
      </w:pPr>
      <w:r w:rsidRPr="005E6273">
        <w:t>Otherwise, declare ‘drift’ and the model trained for {60%, 6m, 2m} is no longer appropriate.</w:t>
      </w:r>
    </w:p>
    <w:p w14:paraId="041CF691" w14:textId="77777777" w:rsidR="00D35F36" w:rsidRPr="005E6273" w:rsidRDefault="00D35F36" w:rsidP="00D35F36">
      <w:pPr>
        <w:rPr>
          <w:rFonts w:cs="Tahoma"/>
          <w:spacing w:val="2"/>
        </w:rPr>
      </w:pPr>
      <w:r w:rsidRPr="005E6273">
        <w:rPr>
          <w:rFonts w:cs="Tahoma"/>
          <w:spacing w:val="2"/>
        </w:rPr>
        <w:t xml:space="preserve">In this case, take </w:t>
      </w:r>
      <m:oMath>
        <m:r>
          <w:rPr>
            <w:rFonts w:ascii="Cambria Math" w:hAnsi="Cambria Math" w:cs="Tahoma"/>
            <w:spacing w:val="2"/>
          </w:rPr>
          <m:t>m=21</m:t>
        </m:r>
      </m:oMath>
      <w:r w:rsidRPr="005E6273">
        <w:rPr>
          <w:rFonts w:cs="Tahoma"/>
          <w:spacing w:val="2"/>
        </w:rPr>
        <w:t>,</w:t>
      </w:r>
    </w:p>
    <w:p w14:paraId="662BBA77" w14:textId="77777777" w:rsidR="00D35F36" w:rsidRPr="005E6273" w:rsidRDefault="00D35F36" w:rsidP="00D35F36">
      <w:pPr>
        <w:pStyle w:val="ListParagraph"/>
        <w:numPr>
          <w:ilvl w:val="0"/>
          <w:numId w:val="59"/>
        </w:numPr>
      </w:pPr>
      <w:r w:rsidRPr="005E6273">
        <w:t xml:space="preserve">FAR = </w:t>
      </w:r>
      <m:oMath>
        <m:r>
          <w:rPr>
            <w:rFonts w:ascii="Cambria Math" w:hAnsi="Cambria Math"/>
          </w:rPr>
          <m:t xml:space="preserve">1 – </m:t>
        </m:r>
        <m:sSup>
          <m:sSupPr>
            <m:ctrlPr>
              <w:rPr>
                <w:rFonts w:ascii="Cambria Math" w:hAnsi="Cambria Math"/>
                <w:i/>
              </w:rPr>
            </m:ctrlPr>
          </m:sSupPr>
          <m:e>
            <m:r>
              <w:rPr>
                <w:rFonts w:ascii="Cambria Math" w:hAnsi="Cambria Math"/>
              </w:rPr>
              <m:t>0.9996</m:t>
            </m:r>
          </m:e>
          <m:sup>
            <m:r>
              <w:rPr>
                <w:rFonts w:ascii="Cambria Math" w:hAnsi="Cambria Math"/>
              </w:rPr>
              <m:t>21</m:t>
            </m:r>
          </m:sup>
        </m:sSup>
      </m:oMath>
      <w:r w:rsidRPr="005E6273">
        <w:t xml:space="preserve"> = 0.8%</w:t>
      </w:r>
    </w:p>
    <w:p w14:paraId="369D645D" w14:textId="77777777" w:rsidR="00D35F36" w:rsidRPr="005E6273" w:rsidRDefault="00D35F36" w:rsidP="00D35F36">
      <w:pPr>
        <w:pStyle w:val="ListParagraph"/>
        <w:numPr>
          <w:ilvl w:val="0"/>
          <w:numId w:val="59"/>
        </w:numPr>
      </w:pPr>
      <w:r w:rsidRPr="005E6273">
        <w:t xml:space="preserve">Missed detection rate of drift from {60%, 6m, 2m} to {60%, 2m, 2m}= </w:t>
      </w:r>
      <m:oMath>
        <m:sSup>
          <m:sSupPr>
            <m:ctrlPr>
              <w:rPr>
                <w:rFonts w:ascii="Cambria Math" w:hAnsi="Cambria Math"/>
                <w:i/>
              </w:rPr>
            </m:ctrlPr>
          </m:sSupPr>
          <m:e>
            <m:r>
              <w:rPr>
                <w:rFonts w:ascii="Cambria Math" w:hAnsi="Cambria Math"/>
              </w:rPr>
              <m:t>0.8</m:t>
            </m:r>
          </m:e>
          <m:sup>
            <m:r>
              <w:rPr>
                <w:rFonts w:ascii="Cambria Math" w:hAnsi="Cambria Math"/>
              </w:rPr>
              <m:t>21</m:t>
            </m:r>
          </m:sup>
        </m:sSup>
      </m:oMath>
      <w:r w:rsidRPr="005E6273">
        <w:t xml:space="preserve"> = 0.9%</w:t>
      </w:r>
    </w:p>
    <w:p w14:paraId="4F20044C" w14:textId="77777777" w:rsidR="00D35F36" w:rsidRPr="005E6273" w:rsidRDefault="00D35F36" w:rsidP="00D35F36">
      <w:pPr>
        <w:pStyle w:val="ListParagraph"/>
        <w:numPr>
          <w:ilvl w:val="0"/>
          <w:numId w:val="59"/>
        </w:numPr>
      </w:pPr>
      <w:r w:rsidRPr="005E6273">
        <w:t xml:space="preserve">Missed detection rate of drift from {60%, 6m, 2m} to {40%, 2m, 2m}= </w:t>
      </w:r>
      <m:oMath>
        <m:sSup>
          <m:sSupPr>
            <m:ctrlPr>
              <w:rPr>
                <w:rFonts w:ascii="Cambria Math" w:hAnsi="Cambria Math"/>
                <w:i/>
              </w:rPr>
            </m:ctrlPr>
          </m:sSupPr>
          <m:e>
            <m:r>
              <w:rPr>
                <w:rFonts w:ascii="Cambria Math" w:hAnsi="Cambria Math"/>
              </w:rPr>
              <m:t>0.67</m:t>
            </m:r>
          </m:e>
          <m:sup>
            <m:r>
              <w:rPr>
                <w:rFonts w:ascii="Cambria Math" w:hAnsi="Cambria Math"/>
              </w:rPr>
              <m:t>21</m:t>
            </m:r>
          </m:sup>
        </m:sSup>
      </m:oMath>
      <w:r w:rsidRPr="005E6273">
        <w:t xml:space="preserve"> = 0.02%</w:t>
      </w:r>
    </w:p>
    <w:p w14:paraId="1A51C083" w14:textId="77777777" w:rsidR="00D35F36" w:rsidRPr="005E6273" w:rsidRDefault="00D35F36" w:rsidP="00D35F36">
      <w:pPr>
        <w:rPr>
          <w:rFonts w:cs="Tahoma"/>
          <w:spacing w:val="2"/>
        </w:rPr>
      </w:pPr>
      <w:r w:rsidRPr="005E6273">
        <w:t xml:space="preserve">The detection delay is the time to observe </w:t>
      </w:r>
      <m:oMath>
        <m:r>
          <w:rPr>
            <w:rFonts w:ascii="Cambria Math" w:hAnsi="Cambria Math"/>
          </w:rPr>
          <m:t>m</m:t>
        </m:r>
      </m:oMath>
      <w:r w:rsidRPr="005E6273">
        <w:t xml:space="preserve"> positioning occasions.</w:t>
      </w:r>
    </w:p>
    <w:p w14:paraId="4D532074" w14:textId="75243AF4" w:rsidR="00D35F36" w:rsidRPr="00506870" w:rsidRDefault="00D35F36" w:rsidP="00D35F36">
      <w:r w:rsidRPr="005E6273">
        <w:rPr>
          <w:rFonts w:cs="Tahoma"/>
          <w:spacing w:val="2"/>
        </w:rPr>
        <w:t xml:space="preserve">Thus, compared with the </w:t>
      </w:r>
      <w:r>
        <w:rPr>
          <w:rFonts w:cs="Tahoma"/>
          <w:spacing w:val="2"/>
        </w:rPr>
        <w:t xml:space="preserve">label-based </w:t>
      </w:r>
      <w:r w:rsidRPr="005E6273">
        <w:rPr>
          <w:rFonts w:cs="Tahoma"/>
          <w:spacing w:val="2"/>
        </w:rPr>
        <w:t>model monitoring method</w:t>
      </w:r>
      <w:r>
        <w:rPr>
          <w:rFonts w:cs="Tahoma"/>
          <w:spacing w:val="2"/>
        </w:rPr>
        <w:t>s</w:t>
      </w:r>
      <w:r w:rsidRPr="005E6273">
        <w:rPr>
          <w:rFonts w:cs="Tahoma"/>
          <w:spacing w:val="2"/>
        </w:rPr>
        <w:t xml:space="preserve"> </w:t>
      </w:r>
      <w:r>
        <w:rPr>
          <w:rFonts w:cs="Tahoma"/>
          <w:spacing w:val="2"/>
        </w:rPr>
        <w:t xml:space="preserve">(e.g., see analysis in section </w:t>
      </w:r>
      <w:r>
        <w:rPr>
          <w:rFonts w:cs="Tahoma"/>
          <w:spacing w:val="2"/>
        </w:rPr>
        <w:fldChar w:fldCharType="begin"/>
      </w:r>
      <w:r>
        <w:rPr>
          <w:rFonts w:cs="Tahoma"/>
          <w:spacing w:val="2"/>
        </w:rPr>
        <w:instrText xml:space="preserve"> REF _Ref166243197 \r </w:instrText>
      </w:r>
      <w:r>
        <w:rPr>
          <w:rFonts w:cs="Tahoma"/>
          <w:spacing w:val="2"/>
        </w:rPr>
        <w:fldChar w:fldCharType="separate"/>
      </w:r>
      <w:r w:rsidR="00850DA1">
        <w:rPr>
          <w:rFonts w:cs="Tahoma"/>
          <w:spacing w:val="2"/>
        </w:rPr>
        <w:t>11.1.2</w:t>
      </w:r>
      <w:r>
        <w:rPr>
          <w:rFonts w:cs="Tahoma"/>
          <w:spacing w:val="2"/>
        </w:rPr>
        <w:fldChar w:fldCharType="end"/>
      </w:r>
      <w:r>
        <w:rPr>
          <w:rFonts w:cs="Tahoma"/>
          <w:spacing w:val="2"/>
        </w:rPr>
        <w:t>)</w:t>
      </w:r>
      <w:r w:rsidRPr="005E6273">
        <w:rPr>
          <w:rFonts w:cs="Tahoma"/>
          <w:spacing w:val="2"/>
        </w:rPr>
        <w:t>, the self-model monitoring method requires longer observation time. On the other hand, it has the advantage of being self-contained</w:t>
      </w:r>
      <w:r>
        <w:rPr>
          <w:rFonts w:cs="Tahoma"/>
          <w:spacing w:val="2"/>
        </w:rPr>
        <w:t xml:space="preserve"> and label free</w:t>
      </w:r>
      <w:r w:rsidRPr="005E6273">
        <w:rPr>
          <w:rFonts w:cs="Tahoma"/>
          <w:spacing w:val="2"/>
        </w:rPr>
        <w:t>, and requiring no external assistance or information exchange</w:t>
      </w:r>
      <w:r>
        <w:rPr>
          <w:rFonts w:cs="Tahoma"/>
          <w:spacing w:val="2"/>
        </w:rPr>
        <w:t xml:space="preserve"> beyond the model and its own data augmentation</w:t>
      </w:r>
      <w:r w:rsidRPr="005E6273">
        <w:rPr>
          <w:rFonts w:cs="Tahoma"/>
          <w:spacing w:val="2"/>
        </w:rPr>
        <w:t>.</w:t>
      </w:r>
    </w:p>
    <w:p w14:paraId="6BE7332E" w14:textId="77777777" w:rsidR="00D35F36" w:rsidRPr="00CE0424" w:rsidRDefault="00D35F36" w:rsidP="00024894">
      <w:pPr>
        <w:pStyle w:val="BodyText"/>
      </w:pPr>
    </w:p>
    <w:sectPr w:rsidR="00D35F36" w:rsidRPr="00CE0424" w:rsidSect="008B5A00">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D577CB" w14:textId="77777777" w:rsidR="00AE0BDA" w:rsidRDefault="00AE0BDA" w:rsidP="00024894">
      <w:r>
        <w:separator/>
      </w:r>
    </w:p>
  </w:endnote>
  <w:endnote w:type="continuationSeparator" w:id="0">
    <w:p w14:paraId="2D8DF29E" w14:textId="77777777" w:rsidR="00AE0BDA" w:rsidRDefault="00AE0BDA" w:rsidP="00024894">
      <w:r>
        <w:continuationSeparator/>
      </w:r>
    </w:p>
  </w:endnote>
  <w:endnote w:type="continuationNotice" w:id="1">
    <w:p w14:paraId="7CD358C2" w14:textId="77777777" w:rsidR="00AE0BDA" w:rsidRDefault="00AE0B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alibri"/>
    <w:charset w:val="00"/>
    <w:family w:val="auto"/>
    <w:pitch w:val="variable"/>
    <w:sig w:usb0="80000027" w:usb1="4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MT">
    <w:altName w:val="Microsoft JhengHei"/>
    <w:panose1 w:val="00000000000000000000"/>
    <w:charset w:val="88"/>
    <w:family w:val="auto"/>
    <w:notTrueType/>
    <w:pitch w:val="default"/>
    <w:sig w:usb0="00000003" w:usb1="080F0000" w:usb2="00000010" w:usb3="00000000" w:csb0="00120001" w:csb1="00000000"/>
  </w:font>
  <w:font w:name="CambriaMath">
    <w:altName w:val="Yu Gothic"/>
    <w:panose1 w:val="00000000000000000000"/>
    <w:charset w:val="80"/>
    <w:family w:val="auto"/>
    <w:notTrueType/>
    <w:pitch w:val="default"/>
    <w:sig w:usb0="00000003" w:usb1="08070000" w:usb2="00000010" w:usb3="00000000" w:csb0="00020001"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E61455" w14:textId="77777777" w:rsidR="00AE0BDA" w:rsidRDefault="00AE0BDA" w:rsidP="00024894">
      <w:r>
        <w:separator/>
      </w:r>
    </w:p>
  </w:footnote>
  <w:footnote w:type="continuationSeparator" w:id="0">
    <w:p w14:paraId="6C16998F" w14:textId="77777777" w:rsidR="00AE0BDA" w:rsidRDefault="00AE0BDA" w:rsidP="00024894">
      <w:r>
        <w:continuationSeparator/>
      </w:r>
    </w:p>
  </w:footnote>
  <w:footnote w:type="continuationNotice" w:id="1">
    <w:p w14:paraId="47313A31" w14:textId="77777777" w:rsidR="00AE0BDA" w:rsidRDefault="00AE0BD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FE3826"/>
    <w:multiLevelType w:val="hybridMultilevel"/>
    <w:tmpl w:val="9208B9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25C82"/>
    <w:multiLevelType w:val="multilevel"/>
    <w:tmpl w:val="02825C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731664"/>
    <w:multiLevelType w:val="hybridMultilevel"/>
    <w:tmpl w:val="7E8C4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316183"/>
    <w:multiLevelType w:val="hybridMultilevel"/>
    <w:tmpl w:val="3CF6F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3D3289"/>
    <w:multiLevelType w:val="hybridMultilevel"/>
    <w:tmpl w:val="F12CC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616818"/>
    <w:multiLevelType w:val="hybridMultilevel"/>
    <w:tmpl w:val="7D3E5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0A2013"/>
    <w:multiLevelType w:val="hybridMultilevel"/>
    <w:tmpl w:val="79567246"/>
    <w:lvl w:ilvl="0" w:tplc="AD3082AC">
      <w:numFmt w:val="bullet"/>
      <w:lvlText w:val="–"/>
      <w:lvlJc w:val="left"/>
      <w:pPr>
        <w:ind w:left="720" w:hanging="360"/>
      </w:pPr>
      <w:rPr>
        <w:rFonts w:ascii="Ericsson Capital TT" w:hAnsi="Ericsson Capital T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0A7F06"/>
    <w:multiLevelType w:val="hybridMultilevel"/>
    <w:tmpl w:val="DB284E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4666C4"/>
    <w:multiLevelType w:val="hybridMultilevel"/>
    <w:tmpl w:val="29286978"/>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5"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502CFF"/>
    <w:multiLevelType w:val="hybridMultilevel"/>
    <w:tmpl w:val="7D524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907CE9"/>
    <w:multiLevelType w:val="hybridMultilevel"/>
    <w:tmpl w:val="8170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9503D85"/>
    <w:multiLevelType w:val="hybridMultilevel"/>
    <w:tmpl w:val="BE1A7DD6"/>
    <w:lvl w:ilvl="0" w:tplc="D6D8DE98">
      <w:start w:val="9"/>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557F7F"/>
    <w:multiLevelType w:val="hybridMultilevel"/>
    <w:tmpl w:val="20302E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0160FF"/>
    <w:multiLevelType w:val="hybridMultilevel"/>
    <w:tmpl w:val="F6C47BA8"/>
    <w:lvl w:ilvl="0" w:tplc="3E6297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A2946A5"/>
    <w:multiLevelType w:val="hybridMultilevel"/>
    <w:tmpl w:val="D99AA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B41622"/>
    <w:multiLevelType w:val="hybridMultilevel"/>
    <w:tmpl w:val="8CF4D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000B6A"/>
    <w:multiLevelType w:val="hybridMultilevel"/>
    <w:tmpl w:val="1DCED5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20B74045"/>
    <w:multiLevelType w:val="hybridMultilevel"/>
    <w:tmpl w:val="9BEAD0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5475AF8"/>
    <w:multiLevelType w:val="multilevel"/>
    <w:tmpl w:val="5CCA2B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0" w15:restartNumberingAfterBreak="0">
    <w:nsid w:val="27F22B4C"/>
    <w:multiLevelType w:val="hybridMultilevel"/>
    <w:tmpl w:val="83F002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B5B7501"/>
    <w:multiLevelType w:val="hybridMultilevel"/>
    <w:tmpl w:val="DB82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854DD4"/>
    <w:multiLevelType w:val="hybridMultilevel"/>
    <w:tmpl w:val="F8C89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D0674B3"/>
    <w:multiLevelType w:val="hybridMultilevel"/>
    <w:tmpl w:val="71EA7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2DDD2E3C"/>
    <w:multiLevelType w:val="multilevel"/>
    <w:tmpl w:val="7D550C9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2E215811"/>
    <w:multiLevelType w:val="hybridMultilevel"/>
    <w:tmpl w:val="B1E63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471DCF"/>
    <w:multiLevelType w:val="hybridMultilevel"/>
    <w:tmpl w:val="A0C4EBBC"/>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15:restartNumberingAfterBreak="0">
    <w:nsid w:val="2F4056FE"/>
    <w:multiLevelType w:val="hybridMultilevel"/>
    <w:tmpl w:val="3CA27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810E7E"/>
    <w:multiLevelType w:val="hybridMultilevel"/>
    <w:tmpl w:val="319CAF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3" w15:restartNumberingAfterBreak="0">
    <w:nsid w:val="34DF0BF2"/>
    <w:multiLevelType w:val="hybridMultilevel"/>
    <w:tmpl w:val="DE389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9D624E"/>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7" w15:restartNumberingAfterBreak="0">
    <w:nsid w:val="3AA46647"/>
    <w:multiLevelType w:val="hybridMultilevel"/>
    <w:tmpl w:val="0E80BEAE"/>
    <w:lvl w:ilvl="0" w:tplc="0E867604">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B235F33"/>
    <w:multiLevelType w:val="hybridMultilevel"/>
    <w:tmpl w:val="CDC0B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0" w15:restartNumberingAfterBreak="0">
    <w:nsid w:val="3E0750BD"/>
    <w:multiLevelType w:val="hybridMultilevel"/>
    <w:tmpl w:val="381AB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E2D7BD2"/>
    <w:multiLevelType w:val="hybridMultilevel"/>
    <w:tmpl w:val="8128593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3E5F0A5C"/>
    <w:multiLevelType w:val="hybridMultilevel"/>
    <w:tmpl w:val="5204C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FD50710"/>
    <w:multiLevelType w:val="hybridMultilevel"/>
    <w:tmpl w:val="4ADE7E44"/>
    <w:lvl w:ilvl="0" w:tplc="A7841E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0B0630A"/>
    <w:multiLevelType w:val="multilevel"/>
    <w:tmpl w:val="04090025"/>
    <w:lvl w:ilvl="0">
      <w:start w:val="1"/>
      <w:numFmt w:val="decimal"/>
      <w:pStyle w:val="Heading1"/>
      <w:lvlText w:val="%1"/>
      <w:lvlJc w:val="left"/>
      <w:pPr>
        <w:ind w:left="52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5" w15:restartNumberingAfterBreak="0">
    <w:nsid w:val="415E6A66"/>
    <w:multiLevelType w:val="hybridMultilevel"/>
    <w:tmpl w:val="B5ECCD42"/>
    <w:lvl w:ilvl="0" w:tplc="F412E2E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1FD56AD"/>
    <w:multiLevelType w:val="hybridMultilevel"/>
    <w:tmpl w:val="89283952"/>
    <w:lvl w:ilvl="0" w:tplc="A7841EE8">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44CC7A23"/>
    <w:multiLevelType w:val="hybridMultilevel"/>
    <w:tmpl w:val="E8B4DA3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00" w:hanging="36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45312400"/>
    <w:multiLevelType w:val="hybridMultilevel"/>
    <w:tmpl w:val="5C28CBD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9" w15:restartNumberingAfterBreak="0">
    <w:nsid w:val="48BE5A9A"/>
    <w:multiLevelType w:val="hybridMultilevel"/>
    <w:tmpl w:val="F81A9012"/>
    <w:lvl w:ilvl="0" w:tplc="DC4AA60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8CC001E"/>
    <w:multiLevelType w:val="hybridMultilevel"/>
    <w:tmpl w:val="688C2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A294A0A"/>
    <w:multiLevelType w:val="hybridMultilevel"/>
    <w:tmpl w:val="5282B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9B3768"/>
    <w:multiLevelType w:val="hybridMultilevel"/>
    <w:tmpl w:val="909E6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4E7D48A2"/>
    <w:multiLevelType w:val="hybridMultilevel"/>
    <w:tmpl w:val="75363B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101505E"/>
    <w:multiLevelType w:val="hybridMultilevel"/>
    <w:tmpl w:val="7ABC0C8A"/>
    <w:lvl w:ilvl="0" w:tplc="5AC83DB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12011FD"/>
    <w:multiLevelType w:val="hybridMultilevel"/>
    <w:tmpl w:val="C8E80D34"/>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7" w15:restartNumberingAfterBreak="0">
    <w:nsid w:val="51474E8E"/>
    <w:multiLevelType w:val="hybridMultilevel"/>
    <w:tmpl w:val="B6126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6C2FF3"/>
    <w:multiLevelType w:val="hybridMultilevel"/>
    <w:tmpl w:val="891C5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3C45D77"/>
    <w:multiLevelType w:val="hybridMultilevel"/>
    <w:tmpl w:val="E01E8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786777A"/>
    <w:multiLevelType w:val="hybridMultilevel"/>
    <w:tmpl w:val="BE64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5C253396"/>
    <w:multiLevelType w:val="hybridMultilevel"/>
    <w:tmpl w:val="690EB66A"/>
    <w:lvl w:ilvl="0" w:tplc="6108FE7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E0352C2"/>
    <w:multiLevelType w:val="hybridMultilevel"/>
    <w:tmpl w:val="600E6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75453E2"/>
    <w:multiLevelType w:val="hybridMultilevel"/>
    <w:tmpl w:val="B5283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6B51B3"/>
    <w:multiLevelType w:val="multilevel"/>
    <w:tmpl w:val="FF9EFEF6"/>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6A7F6853"/>
    <w:multiLevelType w:val="hybridMultilevel"/>
    <w:tmpl w:val="136C5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1" w15:restartNumberingAfterBreak="0">
    <w:nsid w:val="6E62742D"/>
    <w:multiLevelType w:val="hybridMultilevel"/>
    <w:tmpl w:val="56488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E853912"/>
    <w:multiLevelType w:val="hybridMultilevel"/>
    <w:tmpl w:val="6D2233F2"/>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1BC0F8A"/>
    <w:multiLevelType w:val="hybridMultilevel"/>
    <w:tmpl w:val="B790B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1C03064"/>
    <w:multiLevelType w:val="hybridMultilevel"/>
    <w:tmpl w:val="2EE2D8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3276020"/>
    <w:multiLevelType w:val="hybridMultilevel"/>
    <w:tmpl w:val="E9DC4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7"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88" w15:restartNumberingAfterBreak="0">
    <w:nsid w:val="766F54C2"/>
    <w:multiLevelType w:val="hybridMultilevel"/>
    <w:tmpl w:val="B7D60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994CFC"/>
    <w:multiLevelType w:val="hybridMultilevel"/>
    <w:tmpl w:val="265CDB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F867A56"/>
    <w:multiLevelType w:val="hybridMultilevel"/>
    <w:tmpl w:val="14963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1597798">
    <w:abstractNumId w:val="63"/>
  </w:num>
  <w:num w:numId="2" w16cid:durableId="415564987">
    <w:abstractNumId w:val="47"/>
  </w:num>
  <w:num w:numId="3" w16cid:durableId="867568839">
    <w:abstractNumId w:val="0"/>
  </w:num>
  <w:num w:numId="4" w16cid:durableId="1207719406">
    <w:abstractNumId w:val="65"/>
  </w:num>
  <w:num w:numId="5" w16cid:durableId="4669518">
    <w:abstractNumId w:val="68"/>
  </w:num>
  <w:num w:numId="6" w16cid:durableId="642733273">
    <w:abstractNumId w:val="73"/>
  </w:num>
  <w:num w:numId="7" w16cid:durableId="1492598676">
    <w:abstractNumId w:val="26"/>
  </w:num>
  <w:num w:numId="8" w16cid:durableId="1328627241">
    <w:abstractNumId w:val="29"/>
  </w:num>
  <w:num w:numId="9" w16cid:durableId="1046876792">
    <w:abstractNumId w:val="14"/>
  </w:num>
  <w:num w:numId="10" w16cid:durableId="1115516000">
    <w:abstractNumId w:val="86"/>
  </w:num>
  <w:num w:numId="11" w16cid:durableId="68769850">
    <w:abstractNumId w:val="42"/>
  </w:num>
  <w:num w:numId="12" w16cid:durableId="654771362">
    <w:abstractNumId w:val="80"/>
  </w:num>
  <w:num w:numId="13" w16cid:durableId="797837551">
    <w:abstractNumId w:val="54"/>
  </w:num>
  <w:num w:numId="14" w16cid:durableId="1573268883">
    <w:abstractNumId w:val="72"/>
  </w:num>
  <w:num w:numId="15" w16cid:durableId="169758662">
    <w:abstractNumId w:val="37"/>
  </w:num>
  <w:num w:numId="16" w16cid:durableId="249854933">
    <w:abstractNumId w:val="32"/>
  </w:num>
  <w:num w:numId="17" w16cid:durableId="1564294928">
    <w:abstractNumId w:val="90"/>
  </w:num>
  <w:num w:numId="18" w16cid:durableId="1594506458">
    <w:abstractNumId w:val="46"/>
  </w:num>
  <w:num w:numId="19" w16cid:durableId="1109275955">
    <w:abstractNumId w:val="22"/>
  </w:num>
  <w:num w:numId="20" w16cid:durableId="1981184564">
    <w:abstractNumId w:val="82"/>
  </w:num>
  <w:num w:numId="21" w16cid:durableId="101071647">
    <w:abstractNumId w:val="67"/>
  </w:num>
  <w:num w:numId="22" w16cid:durableId="543636176">
    <w:abstractNumId w:val="83"/>
  </w:num>
  <w:num w:numId="23" w16cid:durableId="126436495">
    <w:abstractNumId w:val="70"/>
  </w:num>
  <w:num w:numId="24" w16cid:durableId="935938947">
    <w:abstractNumId w:val="33"/>
  </w:num>
  <w:num w:numId="25" w16cid:durableId="1605842619">
    <w:abstractNumId w:val="81"/>
  </w:num>
  <w:num w:numId="26" w16cid:durableId="589855426">
    <w:abstractNumId w:val="60"/>
  </w:num>
  <w:num w:numId="27" w16cid:durableId="858543621">
    <w:abstractNumId w:val="58"/>
  </w:num>
  <w:num w:numId="28" w16cid:durableId="1008025142">
    <w:abstractNumId w:val="78"/>
  </w:num>
  <w:num w:numId="29" w16cid:durableId="783156000">
    <w:abstractNumId w:val="62"/>
  </w:num>
  <w:num w:numId="30" w16cid:durableId="2147307529">
    <w:abstractNumId w:val="76"/>
  </w:num>
  <w:num w:numId="31" w16cid:durableId="2042048029">
    <w:abstractNumId w:val="89"/>
  </w:num>
  <w:num w:numId="32" w16cid:durableId="982196201">
    <w:abstractNumId w:val="11"/>
  </w:num>
  <w:num w:numId="33" w16cid:durableId="1992518544">
    <w:abstractNumId w:val="41"/>
  </w:num>
  <w:num w:numId="34" w16cid:durableId="1325429204">
    <w:abstractNumId w:val="25"/>
  </w:num>
  <w:num w:numId="35" w16cid:durableId="246548307">
    <w:abstractNumId w:val="34"/>
  </w:num>
  <w:num w:numId="36" w16cid:durableId="347678512">
    <w:abstractNumId w:val="21"/>
  </w:num>
  <w:num w:numId="37" w16cid:durableId="702174396">
    <w:abstractNumId w:val="53"/>
  </w:num>
  <w:num w:numId="38" w16cid:durableId="360281505">
    <w:abstractNumId w:val="56"/>
  </w:num>
  <w:num w:numId="39" w16cid:durableId="394278690">
    <w:abstractNumId w:val="64"/>
  </w:num>
  <w:num w:numId="40" w16cid:durableId="1826505575">
    <w:abstractNumId w:val="8"/>
  </w:num>
  <w:num w:numId="41" w16cid:durableId="681124103">
    <w:abstractNumId w:val="61"/>
  </w:num>
  <w:num w:numId="42" w16cid:durableId="1129861104">
    <w:abstractNumId w:val="75"/>
  </w:num>
  <w:num w:numId="43" w16cid:durableId="503908768">
    <w:abstractNumId w:val="45"/>
  </w:num>
  <w:num w:numId="44" w16cid:durableId="1647051535">
    <w:abstractNumId w:val="31"/>
  </w:num>
  <w:num w:numId="45" w16cid:durableId="119689434">
    <w:abstractNumId w:val="20"/>
  </w:num>
  <w:num w:numId="46" w16cid:durableId="1525440898">
    <w:abstractNumId w:val="13"/>
  </w:num>
  <w:num w:numId="47" w16cid:durableId="990131945">
    <w:abstractNumId w:val="52"/>
  </w:num>
  <w:num w:numId="48" w16cid:durableId="362829932">
    <w:abstractNumId w:val="85"/>
  </w:num>
  <w:num w:numId="49" w16cid:durableId="1530753652">
    <w:abstractNumId w:val="40"/>
  </w:num>
  <w:num w:numId="50" w16cid:durableId="563956141">
    <w:abstractNumId w:val="30"/>
  </w:num>
  <w:num w:numId="51" w16cid:durableId="12342781">
    <w:abstractNumId w:val="50"/>
  </w:num>
  <w:num w:numId="52" w16cid:durableId="69888565">
    <w:abstractNumId w:val="7"/>
  </w:num>
  <w:num w:numId="53" w16cid:durableId="1144010167">
    <w:abstractNumId w:val="71"/>
  </w:num>
  <w:num w:numId="54" w16cid:durableId="1533029558">
    <w:abstractNumId w:val="1"/>
  </w:num>
  <w:num w:numId="55" w16cid:durableId="5207523">
    <w:abstractNumId w:val="69"/>
  </w:num>
  <w:num w:numId="56" w16cid:durableId="1476146244">
    <w:abstractNumId w:val="79"/>
  </w:num>
  <w:num w:numId="57" w16cid:durableId="864170102">
    <w:abstractNumId w:val="24"/>
  </w:num>
  <w:num w:numId="58" w16cid:durableId="1335525278">
    <w:abstractNumId w:val="35"/>
  </w:num>
  <w:num w:numId="59" w16cid:durableId="176508976">
    <w:abstractNumId w:val="27"/>
  </w:num>
  <w:num w:numId="60" w16cid:durableId="1760756324">
    <w:abstractNumId w:val="84"/>
  </w:num>
  <w:num w:numId="61" w16cid:durableId="530340883">
    <w:abstractNumId w:val="6"/>
  </w:num>
  <w:num w:numId="62" w16cid:durableId="694382275">
    <w:abstractNumId w:val="5"/>
  </w:num>
  <w:num w:numId="63" w16cid:durableId="1727296677">
    <w:abstractNumId w:val="38"/>
  </w:num>
  <w:num w:numId="64" w16cid:durableId="943928283">
    <w:abstractNumId w:val="16"/>
  </w:num>
  <w:num w:numId="65" w16cid:durableId="1441100972">
    <w:abstractNumId w:val="51"/>
  </w:num>
  <w:num w:numId="66" w16cid:durableId="564292554">
    <w:abstractNumId w:val="15"/>
  </w:num>
  <w:num w:numId="67" w16cid:durableId="2043898525">
    <w:abstractNumId w:val="3"/>
  </w:num>
  <w:num w:numId="68" w16cid:durableId="714618988">
    <w:abstractNumId w:val="48"/>
  </w:num>
  <w:num w:numId="69" w16cid:durableId="115493418">
    <w:abstractNumId w:val="91"/>
  </w:num>
  <w:num w:numId="70" w16cid:durableId="1161434023">
    <w:abstractNumId w:val="23"/>
  </w:num>
  <w:num w:numId="71" w16cid:durableId="59865484">
    <w:abstractNumId w:val="43"/>
  </w:num>
  <w:num w:numId="72" w16cid:durableId="590310159">
    <w:abstractNumId w:val="88"/>
  </w:num>
  <w:num w:numId="73" w16cid:durableId="248659195">
    <w:abstractNumId w:val="19"/>
  </w:num>
  <w:num w:numId="74" w16cid:durableId="1054743574">
    <w:abstractNumId w:val="44"/>
  </w:num>
  <w:num w:numId="75" w16cid:durableId="779496590">
    <w:abstractNumId w:val="9"/>
  </w:num>
  <w:num w:numId="76" w16cid:durableId="1003777119">
    <w:abstractNumId w:val="39"/>
  </w:num>
  <w:num w:numId="77" w16cid:durableId="1012414080">
    <w:abstractNumId w:val="12"/>
  </w:num>
  <w:num w:numId="78" w16cid:durableId="957376844">
    <w:abstractNumId w:val="66"/>
  </w:num>
  <w:num w:numId="79" w16cid:durableId="1899046191">
    <w:abstractNumId w:val="36"/>
  </w:num>
  <w:num w:numId="80" w16cid:durableId="945964571">
    <w:abstractNumId w:val="2"/>
  </w:num>
  <w:num w:numId="81" w16cid:durableId="1106852103">
    <w:abstractNumId w:val="10"/>
  </w:num>
  <w:num w:numId="82" w16cid:durableId="1691296078">
    <w:abstractNumId w:val="57"/>
  </w:num>
  <w:num w:numId="83" w16cid:durableId="1289816158">
    <w:abstractNumId w:val="28"/>
  </w:num>
  <w:num w:numId="84" w16cid:durableId="1859537659">
    <w:abstractNumId w:val="17"/>
  </w:num>
  <w:num w:numId="85" w16cid:durableId="1705449004">
    <w:abstractNumId w:val="49"/>
  </w:num>
  <w:num w:numId="86" w16cid:durableId="1862354201">
    <w:abstractNumId w:val="55"/>
  </w:num>
  <w:num w:numId="87" w16cid:durableId="1998339437">
    <w:abstractNumId w:val="74"/>
  </w:num>
  <w:num w:numId="88" w16cid:durableId="941569343">
    <w:abstractNumId w:val="59"/>
  </w:num>
  <w:num w:numId="89" w16cid:durableId="231544467">
    <w:abstractNumId w:val="87"/>
  </w:num>
  <w:num w:numId="90" w16cid:durableId="490676300">
    <w:abstractNumId w:val="4"/>
  </w:num>
  <w:num w:numId="91" w16cid:durableId="1280186113">
    <w:abstractNumId w:val="18"/>
  </w:num>
  <w:num w:numId="92" w16cid:durableId="1711953228">
    <w:abstractNumId w:val="77"/>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doNotDisplayPageBoundaries/>
  <w:printFractionalCharacterWidth/>
  <w:bordersDoNotSurroundHeader/>
  <w:bordersDoNotSurroundFooter/>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0" w:nlCheck="1" w:checkStyle="0"/>
  <w:activeWritingStyle w:appName="MSWord" w:lang="pt-BR" w:vendorID="64" w:dllVersion="0" w:nlCheck="1" w:checkStyle="0"/>
  <w:activeWritingStyle w:appName="MSWord" w:lang="fr-FR"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hdrShapeDefaults>
    <o:shapedefaults v:ext="edit" spidmax="2051">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16"/>
    <w:rsid w:val="00000204"/>
    <w:rsid w:val="000005E7"/>
    <w:rsid w:val="000006CF"/>
    <w:rsid w:val="000006E1"/>
    <w:rsid w:val="000009CE"/>
    <w:rsid w:val="00000EE9"/>
    <w:rsid w:val="000013DA"/>
    <w:rsid w:val="00001657"/>
    <w:rsid w:val="00001C6E"/>
    <w:rsid w:val="00002349"/>
    <w:rsid w:val="000023B2"/>
    <w:rsid w:val="00002499"/>
    <w:rsid w:val="000028D1"/>
    <w:rsid w:val="000029A8"/>
    <w:rsid w:val="00002A37"/>
    <w:rsid w:val="00002AB6"/>
    <w:rsid w:val="00002F66"/>
    <w:rsid w:val="00002F7B"/>
    <w:rsid w:val="00003116"/>
    <w:rsid w:val="000031F2"/>
    <w:rsid w:val="00003826"/>
    <w:rsid w:val="00003AC0"/>
    <w:rsid w:val="00003D22"/>
    <w:rsid w:val="0000429A"/>
    <w:rsid w:val="0000431F"/>
    <w:rsid w:val="00004756"/>
    <w:rsid w:val="0000484E"/>
    <w:rsid w:val="000048B6"/>
    <w:rsid w:val="0000496B"/>
    <w:rsid w:val="00004B13"/>
    <w:rsid w:val="00004E33"/>
    <w:rsid w:val="00004F4F"/>
    <w:rsid w:val="0000505D"/>
    <w:rsid w:val="0000531F"/>
    <w:rsid w:val="0000564C"/>
    <w:rsid w:val="00005CB0"/>
    <w:rsid w:val="00005D3B"/>
    <w:rsid w:val="00005FF9"/>
    <w:rsid w:val="00006062"/>
    <w:rsid w:val="000061F9"/>
    <w:rsid w:val="00006446"/>
    <w:rsid w:val="00006797"/>
    <w:rsid w:val="000067F1"/>
    <w:rsid w:val="00006896"/>
    <w:rsid w:val="0000694F"/>
    <w:rsid w:val="00006C0F"/>
    <w:rsid w:val="00006CFA"/>
    <w:rsid w:val="00006D1E"/>
    <w:rsid w:val="00006EFA"/>
    <w:rsid w:val="00006FA3"/>
    <w:rsid w:val="00007134"/>
    <w:rsid w:val="00007164"/>
    <w:rsid w:val="0000739F"/>
    <w:rsid w:val="00007424"/>
    <w:rsid w:val="00007586"/>
    <w:rsid w:val="0000778B"/>
    <w:rsid w:val="000078CD"/>
    <w:rsid w:val="00007AC9"/>
    <w:rsid w:val="00007B9F"/>
    <w:rsid w:val="00007C62"/>
    <w:rsid w:val="00007CDC"/>
    <w:rsid w:val="00007D9B"/>
    <w:rsid w:val="00010110"/>
    <w:rsid w:val="0001022D"/>
    <w:rsid w:val="00010628"/>
    <w:rsid w:val="0001063E"/>
    <w:rsid w:val="0001071B"/>
    <w:rsid w:val="0001083F"/>
    <w:rsid w:val="000108D6"/>
    <w:rsid w:val="000109F8"/>
    <w:rsid w:val="00010C5E"/>
    <w:rsid w:val="0001121E"/>
    <w:rsid w:val="00011398"/>
    <w:rsid w:val="000114A6"/>
    <w:rsid w:val="000115E8"/>
    <w:rsid w:val="00011959"/>
    <w:rsid w:val="000119A7"/>
    <w:rsid w:val="000119E5"/>
    <w:rsid w:val="00011A43"/>
    <w:rsid w:val="00011A8A"/>
    <w:rsid w:val="00011AF0"/>
    <w:rsid w:val="00011B28"/>
    <w:rsid w:val="00011D4A"/>
    <w:rsid w:val="00012461"/>
    <w:rsid w:val="0001258D"/>
    <w:rsid w:val="00012613"/>
    <w:rsid w:val="00012D0D"/>
    <w:rsid w:val="00013377"/>
    <w:rsid w:val="0001348C"/>
    <w:rsid w:val="0001375A"/>
    <w:rsid w:val="00013A41"/>
    <w:rsid w:val="00013AD3"/>
    <w:rsid w:val="00013B05"/>
    <w:rsid w:val="00013BD4"/>
    <w:rsid w:val="00013C5F"/>
    <w:rsid w:val="00013DEB"/>
    <w:rsid w:val="00013ED2"/>
    <w:rsid w:val="00013EDF"/>
    <w:rsid w:val="00013F7B"/>
    <w:rsid w:val="000140AE"/>
    <w:rsid w:val="00014318"/>
    <w:rsid w:val="00014368"/>
    <w:rsid w:val="000143DA"/>
    <w:rsid w:val="00014464"/>
    <w:rsid w:val="000145DF"/>
    <w:rsid w:val="0001460E"/>
    <w:rsid w:val="00014729"/>
    <w:rsid w:val="0001492C"/>
    <w:rsid w:val="00014BDE"/>
    <w:rsid w:val="00014CD1"/>
    <w:rsid w:val="00014E69"/>
    <w:rsid w:val="000150C9"/>
    <w:rsid w:val="00015647"/>
    <w:rsid w:val="0001569D"/>
    <w:rsid w:val="0001572B"/>
    <w:rsid w:val="00015788"/>
    <w:rsid w:val="000158EC"/>
    <w:rsid w:val="00015A16"/>
    <w:rsid w:val="00015B31"/>
    <w:rsid w:val="00015B3F"/>
    <w:rsid w:val="00015BBB"/>
    <w:rsid w:val="00015D15"/>
    <w:rsid w:val="000161F0"/>
    <w:rsid w:val="00016308"/>
    <w:rsid w:val="0001660E"/>
    <w:rsid w:val="000166E2"/>
    <w:rsid w:val="000168FA"/>
    <w:rsid w:val="00016A17"/>
    <w:rsid w:val="00016BEF"/>
    <w:rsid w:val="00016BFB"/>
    <w:rsid w:val="00016C26"/>
    <w:rsid w:val="0001724C"/>
    <w:rsid w:val="00017606"/>
    <w:rsid w:val="00017620"/>
    <w:rsid w:val="00017DA9"/>
    <w:rsid w:val="00017DBE"/>
    <w:rsid w:val="00017F12"/>
    <w:rsid w:val="00020223"/>
    <w:rsid w:val="000203AC"/>
    <w:rsid w:val="000207E1"/>
    <w:rsid w:val="00020A5F"/>
    <w:rsid w:val="00020A6E"/>
    <w:rsid w:val="00020C43"/>
    <w:rsid w:val="00020CAC"/>
    <w:rsid w:val="00020ED6"/>
    <w:rsid w:val="00020F7F"/>
    <w:rsid w:val="00020FDA"/>
    <w:rsid w:val="00021083"/>
    <w:rsid w:val="000210C1"/>
    <w:rsid w:val="00021120"/>
    <w:rsid w:val="000211D5"/>
    <w:rsid w:val="000219EA"/>
    <w:rsid w:val="00021D62"/>
    <w:rsid w:val="00021E15"/>
    <w:rsid w:val="00021E3B"/>
    <w:rsid w:val="00021EB4"/>
    <w:rsid w:val="000220E1"/>
    <w:rsid w:val="00022337"/>
    <w:rsid w:val="00022365"/>
    <w:rsid w:val="000225BD"/>
    <w:rsid w:val="00022883"/>
    <w:rsid w:val="00022A90"/>
    <w:rsid w:val="00022F5B"/>
    <w:rsid w:val="000231F5"/>
    <w:rsid w:val="000232D7"/>
    <w:rsid w:val="00023BB9"/>
    <w:rsid w:val="00023CC3"/>
    <w:rsid w:val="00023F96"/>
    <w:rsid w:val="000240B5"/>
    <w:rsid w:val="0002444D"/>
    <w:rsid w:val="0002459D"/>
    <w:rsid w:val="0002471C"/>
    <w:rsid w:val="00024846"/>
    <w:rsid w:val="0002484D"/>
    <w:rsid w:val="00024894"/>
    <w:rsid w:val="0002493C"/>
    <w:rsid w:val="00024A45"/>
    <w:rsid w:val="00024B46"/>
    <w:rsid w:val="00024DF2"/>
    <w:rsid w:val="00024EAA"/>
    <w:rsid w:val="000254D1"/>
    <w:rsid w:val="0002562A"/>
    <w:rsid w:val="0002564D"/>
    <w:rsid w:val="00025814"/>
    <w:rsid w:val="000258F7"/>
    <w:rsid w:val="00025ECA"/>
    <w:rsid w:val="000262F7"/>
    <w:rsid w:val="00026457"/>
    <w:rsid w:val="0002675C"/>
    <w:rsid w:val="00026DB5"/>
    <w:rsid w:val="00026F83"/>
    <w:rsid w:val="00027169"/>
    <w:rsid w:val="000271CC"/>
    <w:rsid w:val="00027271"/>
    <w:rsid w:val="00027344"/>
    <w:rsid w:val="00027375"/>
    <w:rsid w:val="000273BF"/>
    <w:rsid w:val="0002740E"/>
    <w:rsid w:val="000274DB"/>
    <w:rsid w:val="000274FD"/>
    <w:rsid w:val="00027749"/>
    <w:rsid w:val="00027751"/>
    <w:rsid w:val="000277EF"/>
    <w:rsid w:val="000279BD"/>
    <w:rsid w:val="00027B2E"/>
    <w:rsid w:val="00027C00"/>
    <w:rsid w:val="00027C3A"/>
    <w:rsid w:val="00027C67"/>
    <w:rsid w:val="00027D2C"/>
    <w:rsid w:val="00027D73"/>
    <w:rsid w:val="000300B6"/>
    <w:rsid w:val="00030105"/>
    <w:rsid w:val="00030134"/>
    <w:rsid w:val="000303FA"/>
    <w:rsid w:val="00030505"/>
    <w:rsid w:val="0003075E"/>
    <w:rsid w:val="000308C1"/>
    <w:rsid w:val="00030A1F"/>
    <w:rsid w:val="00030A9C"/>
    <w:rsid w:val="00030B3E"/>
    <w:rsid w:val="00030C2F"/>
    <w:rsid w:val="00031226"/>
    <w:rsid w:val="00031234"/>
    <w:rsid w:val="00031252"/>
    <w:rsid w:val="000313B7"/>
    <w:rsid w:val="000314FE"/>
    <w:rsid w:val="000316D8"/>
    <w:rsid w:val="00031948"/>
    <w:rsid w:val="00031A54"/>
    <w:rsid w:val="00031BD0"/>
    <w:rsid w:val="00031DE9"/>
    <w:rsid w:val="00031ECF"/>
    <w:rsid w:val="00032484"/>
    <w:rsid w:val="000325B8"/>
    <w:rsid w:val="000327F5"/>
    <w:rsid w:val="000329FF"/>
    <w:rsid w:val="00032AA2"/>
    <w:rsid w:val="00032AEC"/>
    <w:rsid w:val="00032BA2"/>
    <w:rsid w:val="00032CE9"/>
    <w:rsid w:val="00032DD8"/>
    <w:rsid w:val="0003302B"/>
    <w:rsid w:val="0003332F"/>
    <w:rsid w:val="0003333B"/>
    <w:rsid w:val="00033679"/>
    <w:rsid w:val="00033680"/>
    <w:rsid w:val="00033815"/>
    <w:rsid w:val="000338B2"/>
    <w:rsid w:val="00033911"/>
    <w:rsid w:val="00033B5B"/>
    <w:rsid w:val="00033BEF"/>
    <w:rsid w:val="00033D61"/>
    <w:rsid w:val="00033E3F"/>
    <w:rsid w:val="00033F3E"/>
    <w:rsid w:val="00033F64"/>
    <w:rsid w:val="00033FD4"/>
    <w:rsid w:val="00034408"/>
    <w:rsid w:val="00034581"/>
    <w:rsid w:val="0003476C"/>
    <w:rsid w:val="00034855"/>
    <w:rsid w:val="000349BB"/>
    <w:rsid w:val="00034B70"/>
    <w:rsid w:val="00034C15"/>
    <w:rsid w:val="00034C3C"/>
    <w:rsid w:val="000352F8"/>
    <w:rsid w:val="00035749"/>
    <w:rsid w:val="0003585B"/>
    <w:rsid w:val="000358FF"/>
    <w:rsid w:val="00035ABD"/>
    <w:rsid w:val="00035B22"/>
    <w:rsid w:val="00035DE9"/>
    <w:rsid w:val="0003637A"/>
    <w:rsid w:val="000363DB"/>
    <w:rsid w:val="0003647C"/>
    <w:rsid w:val="000367E3"/>
    <w:rsid w:val="00036AC0"/>
    <w:rsid w:val="00036BA1"/>
    <w:rsid w:val="00036C00"/>
    <w:rsid w:val="000370A9"/>
    <w:rsid w:val="000376F2"/>
    <w:rsid w:val="0003795E"/>
    <w:rsid w:val="00037B72"/>
    <w:rsid w:val="00037F56"/>
    <w:rsid w:val="00037FF5"/>
    <w:rsid w:val="00040056"/>
    <w:rsid w:val="0004047A"/>
    <w:rsid w:val="00040A6C"/>
    <w:rsid w:val="00040BDA"/>
    <w:rsid w:val="00040EBB"/>
    <w:rsid w:val="00041299"/>
    <w:rsid w:val="00041336"/>
    <w:rsid w:val="00041B0A"/>
    <w:rsid w:val="00041BAF"/>
    <w:rsid w:val="00041C2F"/>
    <w:rsid w:val="0004209A"/>
    <w:rsid w:val="000420A8"/>
    <w:rsid w:val="000420AF"/>
    <w:rsid w:val="00042115"/>
    <w:rsid w:val="000422E2"/>
    <w:rsid w:val="0004277A"/>
    <w:rsid w:val="00042827"/>
    <w:rsid w:val="0004288D"/>
    <w:rsid w:val="00042946"/>
    <w:rsid w:val="00042C65"/>
    <w:rsid w:val="00042F22"/>
    <w:rsid w:val="0004311E"/>
    <w:rsid w:val="000433AE"/>
    <w:rsid w:val="000434C4"/>
    <w:rsid w:val="000436C1"/>
    <w:rsid w:val="0004399A"/>
    <w:rsid w:val="000439A2"/>
    <w:rsid w:val="00043C0E"/>
    <w:rsid w:val="00043D43"/>
    <w:rsid w:val="00043E10"/>
    <w:rsid w:val="00043E26"/>
    <w:rsid w:val="0004427F"/>
    <w:rsid w:val="000442B1"/>
    <w:rsid w:val="00044393"/>
    <w:rsid w:val="00044436"/>
    <w:rsid w:val="000444AB"/>
    <w:rsid w:val="000444EF"/>
    <w:rsid w:val="000448B8"/>
    <w:rsid w:val="00044925"/>
    <w:rsid w:val="00044A7B"/>
    <w:rsid w:val="00044B6D"/>
    <w:rsid w:val="00044C7D"/>
    <w:rsid w:val="00044CDD"/>
    <w:rsid w:val="00044E1F"/>
    <w:rsid w:val="00045278"/>
    <w:rsid w:val="00045C5D"/>
    <w:rsid w:val="00045DC4"/>
    <w:rsid w:val="00045E5A"/>
    <w:rsid w:val="00046039"/>
    <w:rsid w:val="0004624F"/>
    <w:rsid w:val="000463BF"/>
    <w:rsid w:val="000465F3"/>
    <w:rsid w:val="000466D0"/>
    <w:rsid w:val="00046832"/>
    <w:rsid w:val="000468A7"/>
    <w:rsid w:val="00046903"/>
    <w:rsid w:val="00046D66"/>
    <w:rsid w:val="00046F87"/>
    <w:rsid w:val="000470DC"/>
    <w:rsid w:val="00047205"/>
    <w:rsid w:val="000472E6"/>
    <w:rsid w:val="000472ED"/>
    <w:rsid w:val="00047450"/>
    <w:rsid w:val="0004766D"/>
    <w:rsid w:val="0004784A"/>
    <w:rsid w:val="00047CD3"/>
    <w:rsid w:val="00047EE0"/>
    <w:rsid w:val="000502DF"/>
    <w:rsid w:val="0005056D"/>
    <w:rsid w:val="0005060D"/>
    <w:rsid w:val="000508EC"/>
    <w:rsid w:val="0005098C"/>
    <w:rsid w:val="00050CF7"/>
    <w:rsid w:val="00050E6D"/>
    <w:rsid w:val="00050ED2"/>
    <w:rsid w:val="00050FE1"/>
    <w:rsid w:val="0005153D"/>
    <w:rsid w:val="0005174D"/>
    <w:rsid w:val="00051B44"/>
    <w:rsid w:val="00051DEE"/>
    <w:rsid w:val="00051E18"/>
    <w:rsid w:val="00051FEB"/>
    <w:rsid w:val="000520AA"/>
    <w:rsid w:val="000520EA"/>
    <w:rsid w:val="00052121"/>
    <w:rsid w:val="000521DA"/>
    <w:rsid w:val="000527CF"/>
    <w:rsid w:val="00052891"/>
    <w:rsid w:val="00052923"/>
    <w:rsid w:val="00052A07"/>
    <w:rsid w:val="00052BF4"/>
    <w:rsid w:val="00052D4F"/>
    <w:rsid w:val="00052D5E"/>
    <w:rsid w:val="00052FC2"/>
    <w:rsid w:val="000532FA"/>
    <w:rsid w:val="000534E3"/>
    <w:rsid w:val="00053504"/>
    <w:rsid w:val="00053A80"/>
    <w:rsid w:val="00053B15"/>
    <w:rsid w:val="00053CE1"/>
    <w:rsid w:val="00053DF2"/>
    <w:rsid w:val="00053E70"/>
    <w:rsid w:val="00053E7A"/>
    <w:rsid w:val="00053F0B"/>
    <w:rsid w:val="0005416E"/>
    <w:rsid w:val="000542A0"/>
    <w:rsid w:val="000542C8"/>
    <w:rsid w:val="000543F2"/>
    <w:rsid w:val="000545DE"/>
    <w:rsid w:val="00054711"/>
    <w:rsid w:val="0005479C"/>
    <w:rsid w:val="00054CDE"/>
    <w:rsid w:val="00054EB3"/>
    <w:rsid w:val="000551FF"/>
    <w:rsid w:val="00055349"/>
    <w:rsid w:val="00055376"/>
    <w:rsid w:val="00055436"/>
    <w:rsid w:val="00055736"/>
    <w:rsid w:val="000559D5"/>
    <w:rsid w:val="00055AE5"/>
    <w:rsid w:val="00055B72"/>
    <w:rsid w:val="00055D80"/>
    <w:rsid w:val="00055F94"/>
    <w:rsid w:val="00055FD6"/>
    <w:rsid w:val="0005606A"/>
    <w:rsid w:val="0005668C"/>
    <w:rsid w:val="00056725"/>
    <w:rsid w:val="00056844"/>
    <w:rsid w:val="00056BA9"/>
    <w:rsid w:val="00056C0D"/>
    <w:rsid w:val="00056C64"/>
    <w:rsid w:val="00056E99"/>
    <w:rsid w:val="00056F2A"/>
    <w:rsid w:val="00057117"/>
    <w:rsid w:val="000573E5"/>
    <w:rsid w:val="000573F3"/>
    <w:rsid w:val="000575F3"/>
    <w:rsid w:val="0005771E"/>
    <w:rsid w:val="00057791"/>
    <w:rsid w:val="000577E7"/>
    <w:rsid w:val="00057974"/>
    <w:rsid w:val="00057A80"/>
    <w:rsid w:val="00057EF1"/>
    <w:rsid w:val="00057F34"/>
    <w:rsid w:val="00057FFD"/>
    <w:rsid w:val="00060038"/>
    <w:rsid w:val="00060404"/>
    <w:rsid w:val="00060561"/>
    <w:rsid w:val="000607CA"/>
    <w:rsid w:val="00060D17"/>
    <w:rsid w:val="00061131"/>
    <w:rsid w:val="0006129D"/>
    <w:rsid w:val="000613A9"/>
    <w:rsid w:val="00061463"/>
    <w:rsid w:val="000616E7"/>
    <w:rsid w:val="00061731"/>
    <w:rsid w:val="00061877"/>
    <w:rsid w:val="0006196B"/>
    <w:rsid w:val="0006198D"/>
    <w:rsid w:val="000619BD"/>
    <w:rsid w:val="00061A4F"/>
    <w:rsid w:val="00061B89"/>
    <w:rsid w:val="00061D5D"/>
    <w:rsid w:val="00062447"/>
    <w:rsid w:val="00062537"/>
    <w:rsid w:val="0006255F"/>
    <w:rsid w:val="000627D8"/>
    <w:rsid w:val="00062840"/>
    <w:rsid w:val="00062D1A"/>
    <w:rsid w:val="00062D7D"/>
    <w:rsid w:val="00062E8C"/>
    <w:rsid w:val="00063169"/>
    <w:rsid w:val="000631C1"/>
    <w:rsid w:val="0006322C"/>
    <w:rsid w:val="000633C1"/>
    <w:rsid w:val="0006341C"/>
    <w:rsid w:val="00063531"/>
    <w:rsid w:val="00063551"/>
    <w:rsid w:val="0006368B"/>
    <w:rsid w:val="000636B5"/>
    <w:rsid w:val="00063C44"/>
    <w:rsid w:val="00063F20"/>
    <w:rsid w:val="000640D8"/>
    <w:rsid w:val="000642E9"/>
    <w:rsid w:val="00064338"/>
    <w:rsid w:val="00064545"/>
    <w:rsid w:val="000645A0"/>
    <w:rsid w:val="0006486B"/>
    <w:rsid w:val="0006487E"/>
    <w:rsid w:val="00064919"/>
    <w:rsid w:val="00064AE5"/>
    <w:rsid w:val="00064B22"/>
    <w:rsid w:val="00064C48"/>
    <w:rsid w:val="00064DB2"/>
    <w:rsid w:val="00064E5E"/>
    <w:rsid w:val="000651ED"/>
    <w:rsid w:val="00065251"/>
    <w:rsid w:val="00065325"/>
    <w:rsid w:val="0006536D"/>
    <w:rsid w:val="00065428"/>
    <w:rsid w:val="000657A3"/>
    <w:rsid w:val="000657D0"/>
    <w:rsid w:val="000657FF"/>
    <w:rsid w:val="00065804"/>
    <w:rsid w:val="00065956"/>
    <w:rsid w:val="00065E1A"/>
    <w:rsid w:val="00065EA3"/>
    <w:rsid w:val="0006606B"/>
    <w:rsid w:val="0006619E"/>
    <w:rsid w:val="0006630B"/>
    <w:rsid w:val="000665A5"/>
    <w:rsid w:val="000667AC"/>
    <w:rsid w:val="00066859"/>
    <w:rsid w:val="00066C5F"/>
    <w:rsid w:val="00066CC0"/>
    <w:rsid w:val="00066CC9"/>
    <w:rsid w:val="00066F5A"/>
    <w:rsid w:val="000671A8"/>
    <w:rsid w:val="0006721F"/>
    <w:rsid w:val="000677DD"/>
    <w:rsid w:val="000679EC"/>
    <w:rsid w:val="00067C84"/>
    <w:rsid w:val="00067DFD"/>
    <w:rsid w:val="00067FB1"/>
    <w:rsid w:val="0007016A"/>
    <w:rsid w:val="00070195"/>
    <w:rsid w:val="000701F0"/>
    <w:rsid w:val="00070345"/>
    <w:rsid w:val="0007041E"/>
    <w:rsid w:val="0007052A"/>
    <w:rsid w:val="000709AA"/>
    <w:rsid w:val="00070F83"/>
    <w:rsid w:val="0007129B"/>
    <w:rsid w:val="000713F9"/>
    <w:rsid w:val="0007169A"/>
    <w:rsid w:val="0007186E"/>
    <w:rsid w:val="00071D36"/>
    <w:rsid w:val="00071E16"/>
    <w:rsid w:val="00071E23"/>
    <w:rsid w:val="00071F69"/>
    <w:rsid w:val="0007218D"/>
    <w:rsid w:val="000722F0"/>
    <w:rsid w:val="00072BDD"/>
    <w:rsid w:val="00072E8B"/>
    <w:rsid w:val="00072F06"/>
    <w:rsid w:val="0007302E"/>
    <w:rsid w:val="00073131"/>
    <w:rsid w:val="0007354B"/>
    <w:rsid w:val="0007354E"/>
    <w:rsid w:val="00073678"/>
    <w:rsid w:val="00073688"/>
    <w:rsid w:val="0007370E"/>
    <w:rsid w:val="00073776"/>
    <w:rsid w:val="00073852"/>
    <w:rsid w:val="00073AFA"/>
    <w:rsid w:val="00073BDE"/>
    <w:rsid w:val="00073D65"/>
    <w:rsid w:val="00073E65"/>
    <w:rsid w:val="00074002"/>
    <w:rsid w:val="000741D2"/>
    <w:rsid w:val="000742BE"/>
    <w:rsid w:val="00074375"/>
    <w:rsid w:val="000744D0"/>
    <w:rsid w:val="000745F5"/>
    <w:rsid w:val="000746F2"/>
    <w:rsid w:val="000747E2"/>
    <w:rsid w:val="00074801"/>
    <w:rsid w:val="00074CE9"/>
    <w:rsid w:val="00074E2D"/>
    <w:rsid w:val="00074F02"/>
    <w:rsid w:val="00075312"/>
    <w:rsid w:val="00075438"/>
    <w:rsid w:val="0007578C"/>
    <w:rsid w:val="000757BF"/>
    <w:rsid w:val="0007593C"/>
    <w:rsid w:val="00075BD0"/>
    <w:rsid w:val="00075DAF"/>
    <w:rsid w:val="00076173"/>
    <w:rsid w:val="0007622B"/>
    <w:rsid w:val="0007630A"/>
    <w:rsid w:val="0007650D"/>
    <w:rsid w:val="000765E9"/>
    <w:rsid w:val="0007662B"/>
    <w:rsid w:val="000767F6"/>
    <w:rsid w:val="0007690B"/>
    <w:rsid w:val="0007691C"/>
    <w:rsid w:val="00076C47"/>
    <w:rsid w:val="00076E02"/>
    <w:rsid w:val="0007702A"/>
    <w:rsid w:val="00077058"/>
    <w:rsid w:val="0007748E"/>
    <w:rsid w:val="0007773A"/>
    <w:rsid w:val="00077DC5"/>
    <w:rsid w:val="00077E5F"/>
    <w:rsid w:val="00080086"/>
    <w:rsid w:val="000801B2"/>
    <w:rsid w:val="0008036A"/>
    <w:rsid w:val="0008087B"/>
    <w:rsid w:val="00080DEA"/>
    <w:rsid w:val="00080E9C"/>
    <w:rsid w:val="00081137"/>
    <w:rsid w:val="00081258"/>
    <w:rsid w:val="000812D3"/>
    <w:rsid w:val="0008138B"/>
    <w:rsid w:val="000814BE"/>
    <w:rsid w:val="00081A55"/>
    <w:rsid w:val="00081AE6"/>
    <w:rsid w:val="00081BDF"/>
    <w:rsid w:val="00081D82"/>
    <w:rsid w:val="00081E6C"/>
    <w:rsid w:val="00081EB4"/>
    <w:rsid w:val="00082F12"/>
    <w:rsid w:val="00082F1C"/>
    <w:rsid w:val="00083279"/>
    <w:rsid w:val="00083714"/>
    <w:rsid w:val="00083CA5"/>
    <w:rsid w:val="00083D63"/>
    <w:rsid w:val="00084010"/>
    <w:rsid w:val="00084160"/>
    <w:rsid w:val="000842DD"/>
    <w:rsid w:val="00084388"/>
    <w:rsid w:val="0008442E"/>
    <w:rsid w:val="00084935"/>
    <w:rsid w:val="00084D5D"/>
    <w:rsid w:val="00084E10"/>
    <w:rsid w:val="00084EB9"/>
    <w:rsid w:val="00084FF8"/>
    <w:rsid w:val="0008526F"/>
    <w:rsid w:val="000855BE"/>
    <w:rsid w:val="000855EB"/>
    <w:rsid w:val="0008573E"/>
    <w:rsid w:val="000858BF"/>
    <w:rsid w:val="0008591D"/>
    <w:rsid w:val="00085950"/>
    <w:rsid w:val="00085AA0"/>
    <w:rsid w:val="00085B52"/>
    <w:rsid w:val="00085BC3"/>
    <w:rsid w:val="0008624D"/>
    <w:rsid w:val="00086298"/>
    <w:rsid w:val="00086395"/>
    <w:rsid w:val="00086549"/>
    <w:rsid w:val="000866F2"/>
    <w:rsid w:val="00086771"/>
    <w:rsid w:val="00086B14"/>
    <w:rsid w:val="0008700E"/>
    <w:rsid w:val="00087347"/>
    <w:rsid w:val="00087654"/>
    <w:rsid w:val="00087697"/>
    <w:rsid w:val="0009005D"/>
    <w:rsid w:val="0009009F"/>
    <w:rsid w:val="00090116"/>
    <w:rsid w:val="0009028B"/>
    <w:rsid w:val="000909F8"/>
    <w:rsid w:val="00090E06"/>
    <w:rsid w:val="00090E76"/>
    <w:rsid w:val="00091264"/>
    <w:rsid w:val="00091539"/>
    <w:rsid w:val="00091557"/>
    <w:rsid w:val="000916E2"/>
    <w:rsid w:val="00091772"/>
    <w:rsid w:val="00091924"/>
    <w:rsid w:val="00091AF5"/>
    <w:rsid w:val="00091B86"/>
    <w:rsid w:val="00091BCC"/>
    <w:rsid w:val="00091BE5"/>
    <w:rsid w:val="00091C80"/>
    <w:rsid w:val="00091D02"/>
    <w:rsid w:val="000921C4"/>
    <w:rsid w:val="000924C1"/>
    <w:rsid w:val="000924F0"/>
    <w:rsid w:val="0009288E"/>
    <w:rsid w:val="00092C95"/>
    <w:rsid w:val="00093207"/>
    <w:rsid w:val="0009336A"/>
    <w:rsid w:val="00093474"/>
    <w:rsid w:val="00093614"/>
    <w:rsid w:val="000936E4"/>
    <w:rsid w:val="00093717"/>
    <w:rsid w:val="0009397D"/>
    <w:rsid w:val="00093C75"/>
    <w:rsid w:val="00093CFD"/>
    <w:rsid w:val="00093D86"/>
    <w:rsid w:val="00093EBB"/>
    <w:rsid w:val="00094050"/>
    <w:rsid w:val="000940E1"/>
    <w:rsid w:val="00094221"/>
    <w:rsid w:val="000943C7"/>
    <w:rsid w:val="00094577"/>
    <w:rsid w:val="00094A1B"/>
    <w:rsid w:val="00094B41"/>
    <w:rsid w:val="00094CF7"/>
    <w:rsid w:val="00094F2D"/>
    <w:rsid w:val="0009510F"/>
    <w:rsid w:val="00095459"/>
    <w:rsid w:val="00095636"/>
    <w:rsid w:val="0009586A"/>
    <w:rsid w:val="00095AE4"/>
    <w:rsid w:val="00095FF6"/>
    <w:rsid w:val="00096030"/>
    <w:rsid w:val="000968F7"/>
    <w:rsid w:val="00096926"/>
    <w:rsid w:val="00096B55"/>
    <w:rsid w:val="00096CBF"/>
    <w:rsid w:val="00096EE7"/>
    <w:rsid w:val="00097168"/>
    <w:rsid w:val="0009757A"/>
    <w:rsid w:val="0009779F"/>
    <w:rsid w:val="00097E91"/>
    <w:rsid w:val="000A04EB"/>
    <w:rsid w:val="000A04F8"/>
    <w:rsid w:val="000A05D8"/>
    <w:rsid w:val="000A0B65"/>
    <w:rsid w:val="000A0EE7"/>
    <w:rsid w:val="000A10C1"/>
    <w:rsid w:val="000A1505"/>
    <w:rsid w:val="000A1B7B"/>
    <w:rsid w:val="000A1C49"/>
    <w:rsid w:val="000A1C9E"/>
    <w:rsid w:val="000A1E95"/>
    <w:rsid w:val="000A1EF0"/>
    <w:rsid w:val="000A2296"/>
    <w:rsid w:val="000A2310"/>
    <w:rsid w:val="000A233F"/>
    <w:rsid w:val="000A2496"/>
    <w:rsid w:val="000A26D6"/>
    <w:rsid w:val="000A28E9"/>
    <w:rsid w:val="000A291B"/>
    <w:rsid w:val="000A2CB7"/>
    <w:rsid w:val="000A30DA"/>
    <w:rsid w:val="000A32C6"/>
    <w:rsid w:val="000A32E1"/>
    <w:rsid w:val="000A3358"/>
    <w:rsid w:val="000A33FA"/>
    <w:rsid w:val="000A3588"/>
    <w:rsid w:val="000A3594"/>
    <w:rsid w:val="000A3719"/>
    <w:rsid w:val="000A375D"/>
    <w:rsid w:val="000A3A9C"/>
    <w:rsid w:val="000A3C2E"/>
    <w:rsid w:val="000A3DD7"/>
    <w:rsid w:val="000A3F04"/>
    <w:rsid w:val="000A3F21"/>
    <w:rsid w:val="000A40B7"/>
    <w:rsid w:val="000A426A"/>
    <w:rsid w:val="000A44EF"/>
    <w:rsid w:val="000A463C"/>
    <w:rsid w:val="000A466C"/>
    <w:rsid w:val="000A473F"/>
    <w:rsid w:val="000A476A"/>
    <w:rsid w:val="000A47D3"/>
    <w:rsid w:val="000A487A"/>
    <w:rsid w:val="000A4980"/>
    <w:rsid w:val="000A4B30"/>
    <w:rsid w:val="000A4CF3"/>
    <w:rsid w:val="000A4DC9"/>
    <w:rsid w:val="000A4E18"/>
    <w:rsid w:val="000A4ED4"/>
    <w:rsid w:val="000A4F02"/>
    <w:rsid w:val="000A4F07"/>
    <w:rsid w:val="000A50A8"/>
    <w:rsid w:val="000A51FA"/>
    <w:rsid w:val="000A53CD"/>
    <w:rsid w:val="000A5400"/>
    <w:rsid w:val="000A56F2"/>
    <w:rsid w:val="000A5781"/>
    <w:rsid w:val="000A5838"/>
    <w:rsid w:val="000A598E"/>
    <w:rsid w:val="000A5BCA"/>
    <w:rsid w:val="000A5CD3"/>
    <w:rsid w:val="000A5DBC"/>
    <w:rsid w:val="000A5F23"/>
    <w:rsid w:val="000A607A"/>
    <w:rsid w:val="000A637F"/>
    <w:rsid w:val="000A647A"/>
    <w:rsid w:val="000A65A8"/>
    <w:rsid w:val="000A664E"/>
    <w:rsid w:val="000A6752"/>
    <w:rsid w:val="000A68CD"/>
    <w:rsid w:val="000A6984"/>
    <w:rsid w:val="000A6BB5"/>
    <w:rsid w:val="000A6D35"/>
    <w:rsid w:val="000A6E82"/>
    <w:rsid w:val="000A6F35"/>
    <w:rsid w:val="000A6FA7"/>
    <w:rsid w:val="000A6FC7"/>
    <w:rsid w:val="000A72EE"/>
    <w:rsid w:val="000A7363"/>
    <w:rsid w:val="000A79AB"/>
    <w:rsid w:val="000A7A25"/>
    <w:rsid w:val="000A7B69"/>
    <w:rsid w:val="000A7CA0"/>
    <w:rsid w:val="000A7E9E"/>
    <w:rsid w:val="000A7F5A"/>
    <w:rsid w:val="000B0054"/>
    <w:rsid w:val="000B00CC"/>
    <w:rsid w:val="000B03B1"/>
    <w:rsid w:val="000B0803"/>
    <w:rsid w:val="000B09DC"/>
    <w:rsid w:val="000B0AD6"/>
    <w:rsid w:val="000B1028"/>
    <w:rsid w:val="000B1262"/>
    <w:rsid w:val="000B1278"/>
    <w:rsid w:val="000B129D"/>
    <w:rsid w:val="000B1306"/>
    <w:rsid w:val="000B16EA"/>
    <w:rsid w:val="000B179B"/>
    <w:rsid w:val="000B1861"/>
    <w:rsid w:val="000B1A1A"/>
    <w:rsid w:val="000B1A68"/>
    <w:rsid w:val="000B1D7C"/>
    <w:rsid w:val="000B1D96"/>
    <w:rsid w:val="000B2087"/>
    <w:rsid w:val="000B229B"/>
    <w:rsid w:val="000B25FB"/>
    <w:rsid w:val="000B26F8"/>
    <w:rsid w:val="000B2719"/>
    <w:rsid w:val="000B291F"/>
    <w:rsid w:val="000B2B08"/>
    <w:rsid w:val="000B2B2E"/>
    <w:rsid w:val="000B2FC4"/>
    <w:rsid w:val="000B337B"/>
    <w:rsid w:val="000B357A"/>
    <w:rsid w:val="000B368A"/>
    <w:rsid w:val="000B3767"/>
    <w:rsid w:val="000B386B"/>
    <w:rsid w:val="000B3912"/>
    <w:rsid w:val="000B3A8F"/>
    <w:rsid w:val="000B3D52"/>
    <w:rsid w:val="000B3E77"/>
    <w:rsid w:val="000B415D"/>
    <w:rsid w:val="000B43BF"/>
    <w:rsid w:val="000B43CF"/>
    <w:rsid w:val="000B4A9D"/>
    <w:rsid w:val="000B4AB9"/>
    <w:rsid w:val="000B4F6A"/>
    <w:rsid w:val="000B4F9D"/>
    <w:rsid w:val="000B4FBA"/>
    <w:rsid w:val="000B5305"/>
    <w:rsid w:val="000B547C"/>
    <w:rsid w:val="000B56CE"/>
    <w:rsid w:val="000B58C3"/>
    <w:rsid w:val="000B5B1E"/>
    <w:rsid w:val="000B61E9"/>
    <w:rsid w:val="000B6202"/>
    <w:rsid w:val="000B6356"/>
    <w:rsid w:val="000B63AE"/>
    <w:rsid w:val="000B659A"/>
    <w:rsid w:val="000B65A8"/>
    <w:rsid w:val="000B678E"/>
    <w:rsid w:val="000B67F6"/>
    <w:rsid w:val="000B68FC"/>
    <w:rsid w:val="000B6A9A"/>
    <w:rsid w:val="000B73AD"/>
    <w:rsid w:val="000B747F"/>
    <w:rsid w:val="000B74D9"/>
    <w:rsid w:val="000B7562"/>
    <w:rsid w:val="000B78A7"/>
    <w:rsid w:val="000B7A8B"/>
    <w:rsid w:val="000B7B68"/>
    <w:rsid w:val="000B7E84"/>
    <w:rsid w:val="000B7F07"/>
    <w:rsid w:val="000C01CA"/>
    <w:rsid w:val="000C02B1"/>
    <w:rsid w:val="000C0663"/>
    <w:rsid w:val="000C0767"/>
    <w:rsid w:val="000C0A4F"/>
    <w:rsid w:val="000C0D35"/>
    <w:rsid w:val="000C107C"/>
    <w:rsid w:val="000C128E"/>
    <w:rsid w:val="000C1492"/>
    <w:rsid w:val="000C15B3"/>
    <w:rsid w:val="000C1637"/>
    <w:rsid w:val="000C165A"/>
    <w:rsid w:val="000C1870"/>
    <w:rsid w:val="000C189A"/>
    <w:rsid w:val="000C1A4A"/>
    <w:rsid w:val="000C2034"/>
    <w:rsid w:val="000C216F"/>
    <w:rsid w:val="000C2237"/>
    <w:rsid w:val="000C2557"/>
    <w:rsid w:val="000C2E19"/>
    <w:rsid w:val="000C3361"/>
    <w:rsid w:val="000C33C0"/>
    <w:rsid w:val="000C3631"/>
    <w:rsid w:val="000C3648"/>
    <w:rsid w:val="000C3746"/>
    <w:rsid w:val="000C3909"/>
    <w:rsid w:val="000C3A2D"/>
    <w:rsid w:val="000C3B7B"/>
    <w:rsid w:val="000C3D12"/>
    <w:rsid w:val="000C3D16"/>
    <w:rsid w:val="000C427C"/>
    <w:rsid w:val="000C4328"/>
    <w:rsid w:val="000C43C3"/>
    <w:rsid w:val="000C4578"/>
    <w:rsid w:val="000C45E5"/>
    <w:rsid w:val="000C4A88"/>
    <w:rsid w:val="000C4B2D"/>
    <w:rsid w:val="000C4C2A"/>
    <w:rsid w:val="000C4C7B"/>
    <w:rsid w:val="000C4CC8"/>
    <w:rsid w:val="000C4DAC"/>
    <w:rsid w:val="000C4FED"/>
    <w:rsid w:val="000C50A2"/>
    <w:rsid w:val="000C51E1"/>
    <w:rsid w:val="000C536E"/>
    <w:rsid w:val="000C53FE"/>
    <w:rsid w:val="000C54AE"/>
    <w:rsid w:val="000C57EF"/>
    <w:rsid w:val="000C5D67"/>
    <w:rsid w:val="000C5F9F"/>
    <w:rsid w:val="000C614B"/>
    <w:rsid w:val="000C631B"/>
    <w:rsid w:val="000C643A"/>
    <w:rsid w:val="000C663C"/>
    <w:rsid w:val="000C671D"/>
    <w:rsid w:val="000C6EDA"/>
    <w:rsid w:val="000C6EEE"/>
    <w:rsid w:val="000C6F62"/>
    <w:rsid w:val="000C723B"/>
    <w:rsid w:val="000C736D"/>
    <w:rsid w:val="000C73AC"/>
    <w:rsid w:val="000C73BD"/>
    <w:rsid w:val="000C7481"/>
    <w:rsid w:val="000C76B4"/>
    <w:rsid w:val="000C775E"/>
    <w:rsid w:val="000C77A4"/>
    <w:rsid w:val="000C780B"/>
    <w:rsid w:val="000D0439"/>
    <w:rsid w:val="000D04C5"/>
    <w:rsid w:val="000D0613"/>
    <w:rsid w:val="000D08F0"/>
    <w:rsid w:val="000D0A43"/>
    <w:rsid w:val="000D0ABD"/>
    <w:rsid w:val="000D0B7E"/>
    <w:rsid w:val="000D0D07"/>
    <w:rsid w:val="000D0F08"/>
    <w:rsid w:val="000D0F47"/>
    <w:rsid w:val="000D1096"/>
    <w:rsid w:val="000D124C"/>
    <w:rsid w:val="000D157E"/>
    <w:rsid w:val="000D15F9"/>
    <w:rsid w:val="000D1784"/>
    <w:rsid w:val="000D1814"/>
    <w:rsid w:val="000D1897"/>
    <w:rsid w:val="000D1976"/>
    <w:rsid w:val="000D1D2C"/>
    <w:rsid w:val="000D1D5E"/>
    <w:rsid w:val="000D1EC2"/>
    <w:rsid w:val="000D1FCC"/>
    <w:rsid w:val="000D1FCD"/>
    <w:rsid w:val="000D22B1"/>
    <w:rsid w:val="000D2548"/>
    <w:rsid w:val="000D279A"/>
    <w:rsid w:val="000D2EED"/>
    <w:rsid w:val="000D31C0"/>
    <w:rsid w:val="000D3295"/>
    <w:rsid w:val="000D3412"/>
    <w:rsid w:val="000D3561"/>
    <w:rsid w:val="000D3716"/>
    <w:rsid w:val="000D387F"/>
    <w:rsid w:val="000D398C"/>
    <w:rsid w:val="000D39F5"/>
    <w:rsid w:val="000D3A0D"/>
    <w:rsid w:val="000D3B37"/>
    <w:rsid w:val="000D3E58"/>
    <w:rsid w:val="000D3FD7"/>
    <w:rsid w:val="000D40BF"/>
    <w:rsid w:val="000D41C7"/>
    <w:rsid w:val="000D4229"/>
    <w:rsid w:val="000D4797"/>
    <w:rsid w:val="000D4C9B"/>
    <w:rsid w:val="000D4F63"/>
    <w:rsid w:val="000D4FDA"/>
    <w:rsid w:val="000D5008"/>
    <w:rsid w:val="000D5059"/>
    <w:rsid w:val="000D50D0"/>
    <w:rsid w:val="000D5137"/>
    <w:rsid w:val="000D5347"/>
    <w:rsid w:val="000D5540"/>
    <w:rsid w:val="000D5BD6"/>
    <w:rsid w:val="000D5C1D"/>
    <w:rsid w:val="000D5D16"/>
    <w:rsid w:val="000D5D82"/>
    <w:rsid w:val="000D5F4C"/>
    <w:rsid w:val="000D605D"/>
    <w:rsid w:val="000D611C"/>
    <w:rsid w:val="000D624D"/>
    <w:rsid w:val="000D66EB"/>
    <w:rsid w:val="000D673C"/>
    <w:rsid w:val="000D677B"/>
    <w:rsid w:val="000D67F0"/>
    <w:rsid w:val="000D698C"/>
    <w:rsid w:val="000D6A51"/>
    <w:rsid w:val="000D6BB9"/>
    <w:rsid w:val="000D6C1D"/>
    <w:rsid w:val="000D6ED9"/>
    <w:rsid w:val="000D71EA"/>
    <w:rsid w:val="000D761A"/>
    <w:rsid w:val="000D7C7C"/>
    <w:rsid w:val="000D7DC9"/>
    <w:rsid w:val="000D7E35"/>
    <w:rsid w:val="000D7E91"/>
    <w:rsid w:val="000D7EEE"/>
    <w:rsid w:val="000D7F28"/>
    <w:rsid w:val="000E0527"/>
    <w:rsid w:val="000E0B61"/>
    <w:rsid w:val="000E0D31"/>
    <w:rsid w:val="000E0DA6"/>
    <w:rsid w:val="000E0F92"/>
    <w:rsid w:val="000E1012"/>
    <w:rsid w:val="000E101F"/>
    <w:rsid w:val="000E1288"/>
    <w:rsid w:val="000E17DF"/>
    <w:rsid w:val="000E1B3A"/>
    <w:rsid w:val="000E1B77"/>
    <w:rsid w:val="000E1C03"/>
    <w:rsid w:val="000E1C7E"/>
    <w:rsid w:val="000E1E92"/>
    <w:rsid w:val="000E1EE7"/>
    <w:rsid w:val="000E220C"/>
    <w:rsid w:val="000E223F"/>
    <w:rsid w:val="000E22D6"/>
    <w:rsid w:val="000E27A9"/>
    <w:rsid w:val="000E2835"/>
    <w:rsid w:val="000E285E"/>
    <w:rsid w:val="000E293B"/>
    <w:rsid w:val="000E299C"/>
    <w:rsid w:val="000E2D47"/>
    <w:rsid w:val="000E2DCC"/>
    <w:rsid w:val="000E2ED6"/>
    <w:rsid w:val="000E3039"/>
    <w:rsid w:val="000E33ED"/>
    <w:rsid w:val="000E34B5"/>
    <w:rsid w:val="000E367C"/>
    <w:rsid w:val="000E3824"/>
    <w:rsid w:val="000E388F"/>
    <w:rsid w:val="000E39F0"/>
    <w:rsid w:val="000E3AF7"/>
    <w:rsid w:val="000E3BB8"/>
    <w:rsid w:val="000E3DD6"/>
    <w:rsid w:val="000E46CF"/>
    <w:rsid w:val="000E484D"/>
    <w:rsid w:val="000E490D"/>
    <w:rsid w:val="000E49ED"/>
    <w:rsid w:val="000E4A74"/>
    <w:rsid w:val="000E4B6A"/>
    <w:rsid w:val="000E4CAB"/>
    <w:rsid w:val="000E51C7"/>
    <w:rsid w:val="000E5AC5"/>
    <w:rsid w:val="000E6024"/>
    <w:rsid w:val="000E6351"/>
    <w:rsid w:val="000E6359"/>
    <w:rsid w:val="000E6591"/>
    <w:rsid w:val="000E68A3"/>
    <w:rsid w:val="000E6AE8"/>
    <w:rsid w:val="000E6D18"/>
    <w:rsid w:val="000E6E62"/>
    <w:rsid w:val="000E6FAF"/>
    <w:rsid w:val="000E7046"/>
    <w:rsid w:val="000E709B"/>
    <w:rsid w:val="000E7150"/>
    <w:rsid w:val="000E7484"/>
    <w:rsid w:val="000E769F"/>
    <w:rsid w:val="000E76D4"/>
    <w:rsid w:val="000E7747"/>
    <w:rsid w:val="000E7962"/>
    <w:rsid w:val="000E796B"/>
    <w:rsid w:val="000E7CDF"/>
    <w:rsid w:val="000E7D07"/>
    <w:rsid w:val="000E7D2E"/>
    <w:rsid w:val="000E7E5B"/>
    <w:rsid w:val="000F03D1"/>
    <w:rsid w:val="000F0529"/>
    <w:rsid w:val="000F06D6"/>
    <w:rsid w:val="000F0747"/>
    <w:rsid w:val="000F07DA"/>
    <w:rsid w:val="000F084D"/>
    <w:rsid w:val="000F0A4F"/>
    <w:rsid w:val="000F0B7E"/>
    <w:rsid w:val="000F0D02"/>
    <w:rsid w:val="000F0DE4"/>
    <w:rsid w:val="000F0EB1"/>
    <w:rsid w:val="000F1106"/>
    <w:rsid w:val="000F1399"/>
    <w:rsid w:val="000F1551"/>
    <w:rsid w:val="000F1567"/>
    <w:rsid w:val="000F158A"/>
    <w:rsid w:val="000F1881"/>
    <w:rsid w:val="000F1BEA"/>
    <w:rsid w:val="000F1DBB"/>
    <w:rsid w:val="000F25BA"/>
    <w:rsid w:val="000F27C0"/>
    <w:rsid w:val="000F2828"/>
    <w:rsid w:val="000F2D91"/>
    <w:rsid w:val="000F2E7B"/>
    <w:rsid w:val="000F2F18"/>
    <w:rsid w:val="000F32A3"/>
    <w:rsid w:val="000F3376"/>
    <w:rsid w:val="000F33F4"/>
    <w:rsid w:val="000F37DD"/>
    <w:rsid w:val="000F38D2"/>
    <w:rsid w:val="000F3AEB"/>
    <w:rsid w:val="000F3BDA"/>
    <w:rsid w:val="000F3BE9"/>
    <w:rsid w:val="000F3F6C"/>
    <w:rsid w:val="000F436B"/>
    <w:rsid w:val="000F499C"/>
    <w:rsid w:val="000F4A0B"/>
    <w:rsid w:val="000F4DA6"/>
    <w:rsid w:val="000F4F98"/>
    <w:rsid w:val="000F4FE1"/>
    <w:rsid w:val="000F510A"/>
    <w:rsid w:val="000F52AC"/>
    <w:rsid w:val="000F52B2"/>
    <w:rsid w:val="000F53C6"/>
    <w:rsid w:val="000F5564"/>
    <w:rsid w:val="000F55B3"/>
    <w:rsid w:val="000F56AC"/>
    <w:rsid w:val="000F58E7"/>
    <w:rsid w:val="000F5C5C"/>
    <w:rsid w:val="000F5D86"/>
    <w:rsid w:val="000F5D94"/>
    <w:rsid w:val="000F5E93"/>
    <w:rsid w:val="000F5F93"/>
    <w:rsid w:val="000F6083"/>
    <w:rsid w:val="000F6643"/>
    <w:rsid w:val="000F6935"/>
    <w:rsid w:val="000F6DF3"/>
    <w:rsid w:val="000F6FF3"/>
    <w:rsid w:val="000F73E2"/>
    <w:rsid w:val="000F7548"/>
    <w:rsid w:val="000F763F"/>
    <w:rsid w:val="000F77DF"/>
    <w:rsid w:val="000F78DD"/>
    <w:rsid w:val="000F7973"/>
    <w:rsid w:val="000F7B0E"/>
    <w:rsid w:val="000F7B7E"/>
    <w:rsid w:val="000F7C1C"/>
    <w:rsid w:val="000F7D8D"/>
    <w:rsid w:val="000F7D97"/>
    <w:rsid w:val="000F7DF5"/>
    <w:rsid w:val="00100168"/>
    <w:rsid w:val="001005FF"/>
    <w:rsid w:val="00100E32"/>
    <w:rsid w:val="00101165"/>
    <w:rsid w:val="001017B6"/>
    <w:rsid w:val="00101800"/>
    <w:rsid w:val="001019AF"/>
    <w:rsid w:val="001019D1"/>
    <w:rsid w:val="00101A0E"/>
    <w:rsid w:val="00101B55"/>
    <w:rsid w:val="00101C7F"/>
    <w:rsid w:val="00101D70"/>
    <w:rsid w:val="00101DDB"/>
    <w:rsid w:val="00101EFE"/>
    <w:rsid w:val="001022BC"/>
    <w:rsid w:val="00102583"/>
    <w:rsid w:val="00102693"/>
    <w:rsid w:val="00102764"/>
    <w:rsid w:val="00102923"/>
    <w:rsid w:val="001029EE"/>
    <w:rsid w:val="00102BED"/>
    <w:rsid w:val="00102C90"/>
    <w:rsid w:val="00102E67"/>
    <w:rsid w:val="00102F27"/>
    <w:rsid w:val="00103000"/>
    <w:rsid w:val="001030AC"/>
    <w:rsid w:val="0010314C"/>
    <w:rsid w:val="00103186"/>
    <w:rsid w:val="001031B3"/>
    <w:rsid w:val="00103440"/>
    <w:rsid w:val="001035E7"/>
    <w:rsid w:val="0010379A"/>
    <w:rsid w:val="001037A0"/>
    <w:rsid w:val="001037B9"/>
    <w:rsid w:val="001037BA"/>
    <w:rsid w:val="00103B58"/>
    <w:rsid w:val="00103C7C"/>
    <w:rsid w:val="00104023"/>
    <w:rsid w:val="001045A7"/>
    <w:rsid w:val="001045B7"/>
    <w:rsid w:val="001045C5"/>
    <w:rsid w:val="001048F5"/>
    <w:rsid w:val="001049E1"/>
    <w:rsid w:val="00104B22"/>
    <w:rsid w:val="00104BCC"/>
    <w:rsid w:val="00104E0A"/>
    <w:rsid w:val="00104E92"/>
    <w:rsid w:val="001050DF"/>
    <w:rsid w:val="0010515A"/>
    <w:rsid w:val="0010522B"/>
    <w:rsid w:val="001054E2"/>
    <w:rsid w:val="00105521"/>
    <w:rsid w:val="00105616"/>
    <w:rsid w:val="0010586A"/>
    <w:rsid w:val="00105B9C"/>
    <w:rsid w:val="001062FB"/>
    <w:rsid w:val="001063C8"/>
    <w:rsid w:val="001063E6"/>
    <w:rsid w:val="0010681B"/>
    <w:rsid w:val="00106A55"/>
    <w:rsid w:val="00106AC9"/>
    <w:rsid w:val="00106C78"/>
    <w:rsid w:val="00106C83"/>
    <w:rsid w:val="00106D40"/>
    <w:rsid w:val="00106FFA"/>
    <w:rsid w:val="0010708E"/>
    <w:rsid w:val="00107B24"/>
    <w:rsid w:val="00107D44"/>
    <w:rsid w:val="0011008C"/>
    <w:rsid w:val="0011022B"/>
    <w:rsid w:val="00110435"/>
    <w:rsid w:val="0011070A"/>
    <w:rsid w:val="001108AD"/>
    <w:rsid w:val="00110A01"/>
    <w:rsid w:val="00110BDC"/>
    <w:rsid w:val="00110BFC"/>
    <w:rsid w:val="00110C55"/>
    <w:rsid w:val="00110DBC"/>
    <w:rsid w:val="00110EC3"/>
    <w:rsid w:val="00110EF4"/>
    <w:rsid w:val="00110F99"/>
    <w:rsid w:val="00111687"/>
    <w:rsid w:val="001118D4"/>
    <w:rsid w:val="00111BA6"/>
    <w:rsid w:val="00111CB5"/>
    <w:rsid w:val="0011218E"/>
    <w:rsid w:val="0011233F"/>
    <w:rsid w:val="001123D0"/>
    <w:rsid w:val="00112697"/>
    <w:rsid w:val="00112923"/>
    <w:rsid w:val="0011296F"/>
    <w:rsid w:val="00112C3B"/>
    <w:rsid w:val="00112E42"/>
    <w:rsid w:val="00113328"/>
    <w:rsid w:val="001134A3"/>
    <w:rsid w:val="001134AD"/>
    <w:rsid w:val="0011357F"/>
    <w:rsid w:val="00113938"/>
    <w:rsid w:val="0011394E"/>
    <w:rsid w:val="00113C43"/>
    <w:rsid w:val="00113CF4"/>
    <w:rsid w:val="00113DA0"/>
    <w:rsid w:val="00113DBD"/>
    <w:rsid w:val="00113DD6"/>
    <w:rsid w:val="00113ED3"/>
    <w:rsid w:val="00113EF6"/>
    <w:rsid w:val="00113F49"/>
    <w:rsid w:val="001140C3"/>
    <w:rsid w:val="001143D3"/>
    <w:rsid w:val="0011440B"/>
    <w:rsid w:val="001144BB"/>
    <w:rsid w:val="001145C6"/>
    <w:rsid w:val="001153EA"/>
    <w:rsid w:val="00115643"/>
    <w:rsid w:val="00115702"/>
    <w:rsid w:val="00115E9C"/>
    <w:rsid w:val="0011607E"/>
    <w:rsid w:val="00116194"/>
    <w:rsid w:val="00116227"/>
    <w:rsid w:val="00116307"/>
    <w:rsid w:val="001163E6"/>
    <w:rsid w:val="001164CC"/>
    <w:rsid w:val="001165C6"/>
    <w:rsid w:val="00116765"/>
    <w:rsid w:val="00116A44"/>
    <w:rsid w:val="00116A69"/>
    <w:rsid w:val="00116A80"/>
    <w:rsid w:val="00116C20"/>
    <w:rsid w:val="00116F51"/>
    <w:rsid w:val="00117054"/>
    <w:rsid w:val="001174E7"/>
    <w:rsid w:val="0011752C"/>
    <w:rsid w:val="001176B0"/>
    <w:rsid w:val="001177CB"/>
    <w:rsid w:val="00117C0F"/>
    <w:rsid w:val="00117C1D"/>
    <w:rsid w:val="00117E1F"/>
    <w:rsid w:val="00120073"/>
    <w:rsid w:val="001201C9"/>
    <w:rsid w:val="001205CA"/>
    <w:rsid w:val="001205D4"/>
    <w:rsid w:val="001206EF"/>
    <w:rsid w:val="00120861"/>
    <w:rsid w:val="00120A1F"/>
    <w:rsid w:val="00120C81"/>
    <w:rsid w:val="00120FC5"/>
    <w:rsid w:val="0012104E"/>
    <w:rsid w:val="0012123B"/>
    <w:rsid w:val="0012123C"/>
    <w:rsid w:val="0012149C"/>
    <w:rsid w:val="0012166A"/>
    <w:rsid w:val="001219F5"/>
    <w:rsid w:val="00121A20"/>
    <w:rsid w:val="00121C56"/>
    <w:rsid w:val="00121D61"/>
    <w:rsid w:val="00121FA9"/>
    <w:rsid w:val="001220B7"/>
    <w:rsid w:val="001220F5"/>
    <w:rsid w:val="001221A9"/>
    <w:rsid w:val="001222F1"/>
    <w:rsid w:val="001225C6"/>
    <w:rsid w:val="00122BC8"/>
    <w:rsid w:val="00123082"/>
    <w:rsid w:val="00123454"/>
    <w:rsid w:val="00123480"/>
    <w:rsid w:val="00123731"/>
    <w:rsid w:val="0012377F"/>
    <w:rsid w:val="0012390C"/>
    <w:rsid w:val="00123924"/>
    <w:rsid w:val="00123942"/>
    <w:rsid w:val="00123AD5"/>
    <w:rsid w:val="00124314"/>
    <w:rsid w:val="001243E8"/>
    <w:rsid w:val="001244FB"/>
    <w:rsid w:val="00124524"/>
    <w:rsid w:val="00124AB5"/>
    <w:rsid w:val="00124C9D"/>
    <w:rsid w:val="00124FBC"/>
    <w:rsid w:val="00125432"/>
    <w:rsid w:val="00125646"/>
    <w:rsid w:val="001256EF"/>
    <w:rsid w:val="00125CC2"/>
    <w:rsid w:val="00125FD1"/>
    <w:rsid w:val="001260BB"/>
    <w:rsid w:val="001267ED"/>
    <w:rsid w:val="0012699D"/>
    <w:rsid w:val="00126B4A"/>
    <w:rsid w:val="001274B5"/>
    <w:rsid w:val="00127B13"/>
    <w:rsid w:val="001301EE"/>
    <w:rsid w:val="0013022F"/>
    <w:rsid w:val="00130337"/>
    <w:rsid w:val="00130552"/>
    <w:rsid w:val="001306B6"/>
    <w:rsid w:val="00130716"/>
    <w:rsid w:val="001308E8"/>
    <w:rsid w:val="00130ABF"/>
    <w:rsid w:val="00130DEC"/>
    <w:rsid w:val="00130E58"/>
    <w:rsid w:val="0013107A"/>
    <w:rsid w:val="0013130B"/>
    <w:rsid w:val="0013140B"/>
    <w:rsid w:val="0013166B"/>
    <w:rsid w:val="00131677"/>
    <w:rsid w:val="00131818"/>
    <w:rsid w:val="00131D31"/>
    <w:rsid w:val="00131E0A"/>
    <w:rsid w:val="0013219F"/>
    <w:rsid w:val="001321ED"/>
    <w:rsid w:val="001322C3"/>
    <w:rsid w:val="00132369"/>
    <w:rsid w:val="0013238B"/>
    <w:rsid w:val="0013291C"/>
    <w:rsid w:val="00132CFC"/>
    <w:rsid w:val="00132DFD"/>
    <w:rsid w:val="00132E14"/>
    <w:rsid w:val="00132FD0"/>
    <w:rsid w:val="00133062"/>
    <w:rsid w:val="001331D1"/>
    <w:rsid w:val="00133363"/>
    <w:rsid w:val="001335BC"/>
    <w:rsid w:val="00133624"/>
    <w:rsid w:val="001337AC"/>
    <w:rsid w:val="001339BB"/>
    <w:rsid w:val="00133BC3"/>
    <w:rsid w:val="00133E52"/>
    <w:rsid w:val="00133E56"/>
    <w:rsid w:val="00133E64"/>
    <w:rsid w:val="00133F00"/>
    <w:rsid w:val="00133FAF"/>
    <w:rsid w:val="001340C2"/>
    <w:rsid w:val="001341D6"/>
    <w:rsid w:val="0013426F"/>
    <w:rsid w:val="001342FA"/>
    <w:rsid w:val="001344C0"/>
    <w:rsid w:val="001346FA"/>
    <w:rsid w:val="00134831"/>
    <w:rsid w:val="00134855"/>
    <w:rsid w:val="001348F0"/>
    <w:rsid w:val="001348FD"/>
    <w:rsid w:val="00134991"/>
    <w:rsid w:val="00134998"/>
    <w:rsid w:val="001349EE"/>
    <w:rsid w:val="00134AF0"/>
    <w:rsid w:val="00134BC3"/>
    <w:rsid w:val="00134CBC"/>
    <w:rsid w:val="00134D6D"/>
    <w:rsid w:val="001351E6"/>
    <w:rsid w:val="00135252"/>
    <w:rsid w:val="001354A0"/>
    <w:rsid w:val="001355D3"/>
    <w:rsid w:val="001356ED"/>
    <w:rsid w:val="0013582C"/>
    <w:rsid w:val="00135BCA"/>
    <w:rsid w:val="001360C4"/>
    <w:rsid w:val="00136496"/>
    <w:rsid w:val="0013649C"/>
    <w:rsid w:val="00136B93"/>
    <w:rsid w:val="00136C99"/>
    <w:rsid w:val="00136C9A"/>
    <w:rsid w:val="00136EBD"/>
    <w:rsid w:val="001370FA"/>
    <w:rsid w:val="00137269"/>
    <w:rsid w:val="00137293"/>
    <w:rsid w:val="00137AB5"/>
    <w:rsid w:val="00137D20"/>
    <w:rsid w:val="00137E0D"/>
    <w:rsid w:val="00137F0B"/>
    <w:rsid w:val="001400E7"/>
    <w:rsid w:val="0014018A"/>
    <w:rsid w:val="0014023F"/>
    <w:rsid w:val="001403D5"/>
    <w:rsid w:val="001403F8"/>
    <w:rsid w:val="0014074F"/>
    <w:rsid w:val="00140800"/>
    <w:rsid w:val="001408EE"/>
    <w:rsid w:val="00140979"/>
    <w:rsid w:val="00140C6A"/>
    <w:rsid w:val="00140E25"/>
    <w:rsid w:val="00140EC4"/>
    <w:rsid w:val="0014105D"/>
    <w:rsid w:val="00141143"/>
    <w:rsid w:val="0014118F"/>
    <w:rsid w:val="001411CC"/>
    <w:rsid w:val="0014122A"/>
    <w:rsid w:val="00141310"/>
    <w:rsid w:val="00141700"/>
    <w:rsid w:val="001419B5"/>
    <w:rsid w:val="00141ED5"/>
    <w:rsid w:val="00141EEE"/>
    <w:rsid w:val="00142097"/>
    <w:rsid w:val="0014209D"/>
    <w:rsid w:val="00142331"/>
    <w:rsid w:val="001425F1"/>
    <w:rsid w:val="00142810"/>
    <w:rsid w:val="00142A84"/>
    <w:rsid w:val="00142D69"/>
    <w:rsid w:val="00143015"/>
    <w:rsid w:val="001431CD"/>
    <w:rsid w:val="001438B1"/>
    <w:rsid w:val="001438B7"/>
    <w:rsid w:val="00143939"/>
    <w:rsid w:val="00143A09"/>
    <w:rsid w:val="00143A27"/>
    <w:rsid w:val="00143BA7"/>
    <w:rsid w:val="00143FBD"/>
    <w:rsid w:val="001440EA"/>
    <w:rsid w:val="00144254"/>
    <w:rsid w:val="001443E2"/>
    <w:rsid w:val="0014441D"/>
    <w:rsid w:val="001446DC"/>
    <w:rsid w:val="00144869"/>
    <w:rsid w:val="00144C80"/>
    <w:rsid w:val="0014536F"/>
    <w:rsid w:val="001453EE"/>
    <w:rsid w:val="001457C3"/>
    <w:rsid w:val="00145942"/>
    <w:rsid w:val="00145966"/>
    <w:rsid w:val="00145967"/>
    <w:rsid w:val="00145B86"/>
    <w:rsid w:val="00145F79"/>
    <w:rsid w:val="00145FDD"/>
    <w:rsid w:val="00146006"/>
    <w:rsid w:val="0014601B"/>
    <w:rsid w:val="001461A4"/>
    <w:rsid w:val="00146317"/>
    <w:rsid w:val="00146433"/>
    <w:rsid w:val="0014645F"/>
    <w:rsid w:val="001467FA"/>
    <w:rsid w:val="001468AD"/>
    <w:rsid w:val="001468C1"/>
    <w:rsid w:val="00146A50"/>
    <w:rsid w:val="00146B05"/>
    <w:rsid w:val="00146BAE"/>
    <w:rsid w:val="00146CA8"/>
    <w:rsid w:val="00146CC6"/>
    <w:rsid w:val="00146E21"/>
    <w:rsid w:val="00146F01"/>
    <w:rsid w:val="001472CA"/>
    <w:rsid w:val="00147F56"/>
    <w:rsid w:val="0015010E"/>
    <w:rsid w:val="00150341"/>
    <w:rsid w:val="001505D6"/>
    <w:rsid w:val="001509EA"/>
    <w:rsid w:val="00150A57"/>
    <w:rsid w:val="00150AD2"/>
    <w:rsid w:val="00150AF2"/>
    <w:rsid w:val="00150B59"/>
    <w:rsid w:val="00151025"/>
    <w:rsid w:val="00151257"/>
    <w:rsid w:val="001513C8"/>
    <w:rsid w:val="001513E2"/>
    <w:rsid w:val="001514B9"/>
    <w:rsid w:val="001514BA"/>
    <w:rsid w:val="00151646"/>
    <w:rsid w:val="00151A1D"/>
    <w:rsid w:val="00151A96"/>
    <w:rsid w:val="00151D80"/>
    <w:rsid w:val="00151E23"/>
    <w:rsid w:val="00151EC8"/>
    <w:rsid w:val="001520B1"/>
    <w:rsid w:val="001523AE"/>
    <w:rsid w:val="00152498"/>
    <w:rsid w:val="001526E0"/>
    <w:rsid w:val="001527AF"/>
    <w:rsid w:val="00152A5B"/>
    <w:rsid w:val="00152DED"/>
    <w:rsid w:val="0015375A"/>
    <w:rsid w:val="001538AB"/>
    <w:rsid w:val="0015397E"/>
    <w:rsid w:val="00153A20"/>
    <w:rsid w:val="00153C9D"/>
    <w:rsid w:val="00153E4D"/>
    <w:rsid w:val="00154004"/>
    <w:rsid w:val="00154106"/>
    <w:rsid w:val="00154170"/>
    <w:rsid w:val="001541CE"/>
    <w:rsid w:val="001543DF"/>
    <w:rsid w:val="00154401"/>
    <w:rsid w:val="001547AE"/>
    <w:rsid w:val="001549E2"/>
    <w:rsid w:val="001549FE"/>
    <w:rsid w:val="00154DD1"/>
    <w:rsid w:val="00154E22"/>
    <w:rsid w:val="00154F22"/>
    <w:rsid w:val="001551B5"/>
    <w:rsid w:val="0015543C"/>
    <w:rsid w:val="0015556A"/>
    <w:rsid w:val="0015582A"/>
    <w:rsid w:val="00155AFE"/>
    <w:rsid w:val="00155B77"/>
    <w:rsid w:val="00155EA2"/>
    <w:rsid w:val="00155F12"/>
    <w:rsid w:val="001563E3"/>
    <w:rsid w:val="001565B7"/>
    <w:rsid w:val="0015692B"/>
    <w:rsid w:val="00156AC5"/>
    <w:rsid w:val="00156E16"/>
    <w:rsid w:val="00157167"/>
    <w:rsid w:val="001571B6"/>
    <w:rsid w:val="001572CD"/>
    <w:rsid w:val="001576BA"/>
    <w:rsid w:val="001578B2"/>
    <w:rsid w:val="001578BC"/>
    <w:rsid w:val="001579F7"/>
    <w:rsid w:val="00160174"/>
    <w:rsid w:val="0016082C"/>
    <w:rsid w:val="00160B09"/>
    <w:rsid w:val="00160DFA"/>
    <w:rsid w:val="00161088"/>
    <w:rsid w:val="001613D2"/>
    <w:rsid w:val="00161856"/>
    <w:rsid w:val="00161878"/>
    <w:rsid w:val="001619D0"/>
    <w:rsid w:val="00161B1F"/>
    <w:rsid w:val="00161FCA"/>
    <w:rsid w:val="0016220D"/>
    <w:rsid w:val="001624FC"/>
    <w:rsid w:val="0016256E"/>
    <w:rsid w:val="001626CC"/>
    <w:rsid w:val="00162766"/>
    <w:rsid w:val="00162799"/>
    <w:rsid w:val="00162E3A"/>
    <w:rsid w:val="00162FAB"/>
    <w:rsid w:val="001630B6"/>
    <w:rsid w:val="00163103"/>
    <w:rsid w:val="0016322C"/>
    <w:rsid w:val="00163388"/>
    <w:rsid w:val="00163477"/>
    <w:rsid w:val="001636E1"/>
    <w:rsid w:val="0016375F"/>
    <w:rsid w:val="00163D75"/>
    <w:rsid w:val="00163FA3"/>
    <w:rsid w:val="00164430"/>
    <w:rsid w:val="00164435"/>
    <w:rsid w:val="001644EA"/>
    <w:rsid w:val="001645F1"/>
    <w:rsid w:val="00164B42"/>
    <w:rsid w:val="00164BA7"/>
    <w:rsid w:val="00164CF3"/>
    <w:rsid w:val="00164DE5"/>
    <w:rsid w:val="00164F1E"/>
    <w:rsid w:val="00164F97"/>
    <w:rsid w:val="001658B0"/>
    <w:rsid w:val="001659C1"/>
    <w:rsid w:val="00165C23"/>
    <w:rsid w:val="00165C9D"/>
    <w:rsid w:val="00165D2B"/>
    <w:rsid w:val="00165E2A"/>
    <w:rsid w:val="00165FDE"/>
    <w:rsid w:val="001662B5"/>
    <w:rsid w:val="0016635C"/>
    <w:rsid w:val="001664B3"/>
    <w:rsid w:val="001667B3"/>
    <w:rsid w:val="00166A54"/>
    <w:rsid w:val="00166C5E"/>
    <w:rsid w:val="00166F82"/>
    <w:rsid w:val="001674FB"/>
    <w:rsid w:val="00167870"/>
    <w:rsid w:val="00167AF1"/>
    <w:rsid w:val="00167F02"/>
    <w:rsid w:val="00167F10"/>
    <w:rsid w:val="001700DA"/>
    <w:rsid w:val="0017025F"/>
    <w:rsid w:val="001703DF"/>
    <w:rsid w:val="0017051D"/>
    <w:rsid w:val="0017053E"/>
    <w:rsid w:val="0017056D"/>
    <w:rsid w:val="001706EB"/>
    <w:rsid w:val="00170977"/>
    <w:rsid w:val="00170B0E"/>
    <w:rsid w:val="00170CEA"/>
    <w:rsid w:val="00170D82"/>
    <w:rsid w:val="00170DF1"/>
    <w:rsid w:val="00170EC0"/>
    <w:rsid w:val="00170EC3"/>
    <w:rsid w:val="00170F80"/>
    <w:rsid w:val="00171257"/>
    <w:rsid w:val="001714A5"/>
    <w:rsid w:val="00171556"/>
    <w:rsid w:val="001715F3"/>
    <w:rsid w:val="00171937"/>
    <w:rsid w:val="0017199B"/>
    <w:rsid w:val="00171B9E"/>
    <w:rsid w:val="00171BBF"/>
    <w:rsid w:val="00171EE6"/>
    <w:rsid w:val="001720CA"/>
    <w:rsid w:val="00172462"/>
    <w:rsid w:val="001726B3"/>
    <w:rsid w:val="001727C0"/>
    <w:rsid w:val="00172AB1"/>
    <w:rsid w:val="00172B19"/>
    <w:rsid w:val="00172C24"/>
    <w:rsid w:val="00172F1B"/>
    <w:rsid w:val="001736DA"/>
    <w:rsid w:val="001738F6"/>
    <w:rsid w:val="00173A8E"/>
    <w:rsid w:val="00173C42"/>
    <w:rsid w:val="00173CFD"/>
    <w:rsid w:val="00173D31"/>
    <w:rsid w:val="00173E28"/>
    <w:rsid w:val="00173F25"/>
    <w:rsid w:val="00173F93"/>
    <w:rsid w:val="00174393"/>
    <w:rsid w:val="00174646"/>
    <w:rsid w:val="001746A3"/>
    <w:rsid w:val="00174744"/>
    <w:rsid w:val="00174CBD"/>
    <w:rsid w:val="00174D82"/>
    <w:rsid w:val="00174E1F"/>
    <w:rsid w:val="0017502C"/>
    <w:rsid w:val="00175447"/>
    <w:rsid w:val="001754E1"/>
    <w:rsid w:val="001755BB"/>
    <w:rsid w:val="00175659"/>
    <w:rsid w:val="001758DC"/>
    <w:rsid w:val="00175A8A"/>
    <w:rsid w:val="00175B6F"/>
    <w:rsid w:val="00175C10"/>
    <w:rsid w:val="00175ED1"/>
    <w:rsid w:val="00175F38"/>
    <w:rsid w:val="0017610F"/>
    <w:rsid w:val="00176149"/>
    <w:rsid w:val="00176673"/>
    <w:rsid w:val="00176738"/>
    <w:rsid w:val="00176852"/>
    <w:rsid w:val="00176D7C"/>
    <w:rsid w:val="00176FC5"/>
    <w:rsid w:val="00177187"/>
    <w:rsid w:val="00177250"/>
    <w:rsid w:val="0017734E"/>
    <w:rsid w:val="00177B2B"/>
    <w:rsid w:val="00177DD8"/>
    <w:rsid w:val="00177FB4"/>
    <w:rsid w:val="00180071"/>
    <w:rsid w:val="0018019D"/>
    <w:rsid w:val="001801E5"/>
    <w:rsid w:val="00180687"/>
    <w:rsid w:val="00180767"/>
    <w:rsid w:val="0018083D"/>
    <w:rsid w:val="0018099A"/>
    <w:rsid w:val="00180B04"/>
    <w:rsid w:val="00180E8B"/>
    <w:rsid w:val="0018106C"/>
    <w:rsid w:val="00181193"/>
    <w:rsid w:val="001811E5"/>
    <w:rsid w:val="001813C7"/>
    <w:rsid w:val="0018143F"/>
    <w:rsid w:val="001815E7"/>
    <w:rsid w:val="001817C7"/>
    <w:rsid w:val="0018196F"/>
    <w:rsid w:val="001819D7"/>
    <w:rsid w:val="001819DD"/>
    <w:rsid w:val="00181B0D"/>
    <w:rsid w:val="00181FF8"/>
    <w:rsid w:val="0018238D"/>
    <w:rsid w:val="001823FE"/>
    <w:rsid w:val="0018265F"/>
    <w:rsid w:val="001826F3"/>
    <w:rsid w:val="00182829"/>
    <w:rsid w:val="001828E5"/>
    <w:rsid w:val="00182A7C"/>
    <w:rsid w:val="00182AD4"/>
    <w:rsid w:val="00182EE6"/>
    <w:rsid w:val="00182F17"/>
    <w:rsid w:val="00183249"/>
    <w:rsid w:val="0018328F"/>
    <w:rsid w:val="0018350D"/>
    <w:rsid w:val="00183654"/>
    <w:rsid w:val="00183695"/>
    <w:rsid w:val="001836E7"/>
    <w:rsid w:val="00183A5B"/>
    <w:rsid w:val="00183B75"/>
    <w:rsid w:val="00183BE0"/>
    <w:rsid w:val="00183C26"/>
    <w:rsid w:val="00183CD4"/>
    <w:rsid w:val="00184438"/>
    <w:rsid w:val="001844FD"/>
    <w:rsid w:val="00184601"/>
    <w:rsid w:val="00184761"/>
    <w:rsid w:val="001848D6"/>
    <w:rsid w:val="00184CFA"/>
    <w:rsid w:val="00184D17"/>
    <w:rsid w:val="00184DE3"/>
    <w:rsid w:val="00184DEE"/>
    <w:rsid w:val="001850A9"/>
    <w:rsid w:val="00185160"/>
    <w:rsid w:val="001852E3"/>
    <w:rsid w:val="0018542C"/>
    <w:rsid w:val="00185549"/>
    <w:rsid w:val="00185558"/>
    <w:rsid w:val="00185A0B"/>
    <w:rsid w:val="00185D6D"/>
    <w:rsid w:val="00185EB4"/>
    <w:rsid w:val="001861D3"/>
    <w:rsid w:val="00186440"/>
    <w:rsid w:val="0018649C"/>
    <w:rsid w:val="001865C8"/>
    <w:rsid w:val="001865D5"/>
    <w:rsid w:val="00186654"/>
    <w:rsid w:val="0018677E"/>
    <w:rsid w:val="001867E1"/>
    <w:rsid w:val="00186892"/>
    <w:rsid w:val="00186B6D"/>
    <w:rsid w:val="00186E7A"/>
    <w:rsid w:val="00187119"/>
    <w:rsid w:val="00187B5E"/>
    <w:rsid w:val="00187B6A"/>
    <w:rsid w:val="00187B8D"/>
    <w:rsid w:val="00187C00"/>
    <w:rsid w:val="00187C54"/>
    <w:rsid w:val="00187DCF"/>
    <w:rsid w:val="00190203"/>
    <w:rsid w:val="00190277"/>
    <w:rsid w:val="00190398"/>
    <w:rsid w:val="00190889"/>
    <w:rsid w:val="0019091F"/>
    <w:rsid w:val="00190A0C"/>
    <w:rsid w:val="00190AC1"/>
    <w:rsid w:val="00190C04"/>
    <w:rsid w:val="00190DF4"/>
    <w:rsid w:val="001915AB"/>
    <w:rsid w:val="001917DE"/>
    <w:rsid w:val="00191A47"/>
    <w:rsid w:val="00191F2C"/>
    <w:rsid w:val="001922A8"/>
    <w:rsid w:val="001922FA"/>
    <w:rsid w:val="001923F2"/>
    <w:rsid w:val="0019243B"/>
    <w:rsid w:val="0019248B"/>
    <w:rsid w:val="001927D6"/>
    <w:rsid w:val="00192A2B"/>
    <w:rsid w:val="00192D26"/>
    <w:rsid w:val="00192D62"/>
    <w:rsid w:val="00192FC8"/>
    <w:rsid w:val="00193084"/>
    <w:rsid w:val="0019341A"/>
    <w:rsid w:val="001935EB"/>
    <w:rsid w:val="0019369A"/>
    <w:rsid w:val="001938AA"/>
    <w:rsid w:val="001938F7"/>
    <w:rsid w:val="00193B2B"/>
    <w:rsid w:val="00193C41"/>
    <w:rsid w:val="00193CDF"/>
    <w:rsid w:val="00193F43"/>
    <w:rsid w:val="00193FFB"/>
    <w:rsid w:val="0019400A"/>
    <w:rsid w:val="001942D0"/>
    <w:rsid w:val="001947C8"/>
    <w:rsid w:val="00194877"/>
    <w:rsid w:val="00194913"/>
    <w:rsid w:val="00194B5B"/>
    <w:rsid w:val="00194DA1"/>
    <w:rsid w:val="0019500B"/>
    <w:rsid w:val="001950DF"/>
    <w:rsid w:val="00195482"/>
    <w:rsid w:val="0019578F"/>
    <w:rsid w:val="001960EE"/>
    <w:rsid w:val="0019618F"/>
    <w:rsid w:val="0019624E"/>
    <w:rsid w:val="0019630A"/>
    <w:rsid w:val="001963D7"/>
    <w:rsid w:val="001964F5"/>
    <w:rsid w:val="00196787"/>
    <w:rsid w:val="001968B8"/>
    <w:rsid w:val="001968C9"/>
    <w:rsid w:val="00196919"/>
    <w:rsid w:val="00196A48"/>
    <w:rsid w:val="00196B41"/>
    <w:rsid w:val="00197085"/>
    <w:rsid w:val="0019722C"/>
    <w:rsid w:val="001972A9"/>
    <w:rsid w:val="001973A4"/>
    <w:rsid w:val="00197436"/>
    <w:rsid w:val="001974CB"/>
    <w:rsid w:val="0019752A"/>
    <w:rsid w:val="0019765C"/>
    <w:rsid w:val="001976DC"/>
    <w:rsid w:val="001976F4"/>
    <w:rsid w:val="00197872"/>
    <w:rsid w:val="00197886"/>
    <w:rsid w:val="001978E7"/>
    <w:rsid w:val="00197A4F"/>
    <w:rsid w:val="00197D67"/>
    <w:rsid w:val="00197DF0"/>
    <w:rsid w:val="00197DF9"/>
    <w:rsid w:val="001A0226"/>
    <w:rsid w:val="001A02F9"/>
    <w:rsid w:val="001A031B"/>
    <w:rsid w:val="001A0568"/>
    <w:rsid w:val="001A08C9"/>
    <w:rsid w:val="001A09E1"/>
    <w:rsid w:val="001A0C37"/>
    <w:rsid w:val="001A0C51"/>
    <w:rsid w:val="001A0D8D"/>
    <w:rsid w:val="001A0DBF"/>
    <w:rsid w:val="001A0DFD"/>
    <w:rsid w:val="001A1078"/>
    <w:rsid w:val="001A1486"/>
    <w:rsid w:val="001A1518"/>
    <w:rsid w:val="001A15FB"/>
    <w:rsid w:val="001A1610"/>
    <w:rsid w:val="001A170A"/>
    <w:rsid w:val="001A18B3"/>
    <w:rsid w:val="001A1987"/>
    <w:rsid w:val="001A19F4"/>
    <w:rsid w:val="001A1A1A"/>
    <w:rsid w:val="001A1EAA"/>
    <w:rsid w:val="001A2088"/>
    <w:rsid w:val="001A2157"/>
    <w:rsid w:val="001A2250"/>
    <w:rsid w:val="001A2449"/>
    <w:rsid w:val="001A24E0"/>
    <w:rsid w:val="001A2525"/>
    <w:rsid w:val="001A2564"/>
    <w:rsid w:val="001A25A4"/>
    <w:rsid w:val="001A26D2"/>
    <w:rsid w:val="001A2B42"/>
    <w:rsid w:val="001A3185"/>
    <w:rsid w:val="001A3230"/>
    <w:rsid w:val="001A3677"/>
    <w:rsid w:val="001A36F1"/>
    <w:rsid w:val="001A3784"/>
    <w:rsid w:val="001A3922"/>
    <w:rsid w:val="001A398B"/>
    <w:rsid w:val="001A39BE"/>
    <w:rsid w:val="001A3ECF"/>
    <w:rsid w:val="001A45F4"/>
    <w:rsid w:val="001A4860"/>
    <w:rsid w:val="001A48E1"/>
    <w:rsid w:val="001A4B00"/>
    <w:rsid w:val="001A4BA3"/>
    <w:rsid w:val="001A4C4C"/>
    <w:rsid w:val="001A4E4B"/>
    <w:rsid w:val="001A5251"/>
    <w:rsid w:val="001A55AE"/>
    <w:rsid w:val="001A574F"/>
    <w:rsid w:val="001A5BC7"/>
    <w:rsid w:val="001A5D79"/>
    <w:rsid w:val="001A6173"/>
    <w:rsid w:val="001A6452"/>
    <w:rsid w:val="001A648D"/>
    <w:rsid w:val="001A6AD9"/>
    <w:rsid w:val="001A6AFD"/>
    <w:rsid w:val="001A6CAF"/>
    <w:rsid w:val="001A6CBA"/>
    <w:rsid w:val="001A6F85"/>
    <w:rsid w:val="001A71A2"/>
    <w:rsid w:val="001A71D8"/>
    <w:rsid w:val="001A71F0"/>
    <w:rsid w:val="001A738E"/>
    <w:rsid w:val="001A7596"/>
    <w:rsid w:val="001A75F1"/>
    <w:rsid w:val="001A79F5"/>
    <w:rsid w:val="001B0005"/>
    <w:rsid w:val="001B0184"/>
    <w:rsid w:val="001B03A8"/>
    <w:rsid w:val="001B04F0"/>
    <w:rsid w:val="001B0522"/>
    <w:rsid w:val="001B0533"/>
    <w:rsid w:val="001B0909"/>
    <w:rsid w:val="001B0B29"/>
    <w:rsid w:val="001B0D97"/>
    <w:rsid w:val="001B0E78"/>
    <w:rsid w:val="001B0F2D"/>
    <w:rsid w:val="001B0F57"/>
    <w:rsid w:val="001B1312"/>
    <w:rsid w:val="001B1764"/>
    <w:rsid w:val="001B17D0"/>
    <w:rsid w:val="001B19D2"/>
    <w:rsid w:val="001B1A4D"/>
    <w:rsid w:val="001B1C52"/>
    <w:rsid w:val="001B1CCC"/>
    <w:rsid w:val="001B1F2F"/>
    <w:rsid w:val="001B22E5"/>
    <w:rsid w:val="001B260F"/>
    <w:rsid w:val="001B26CA"/>
    <w:rsid w:val="001B2890"/>
    <w:rsid w:val="001B28A7"/>
    <w:rsid w:val="001B2B14"/>
    <w:rsid w:val="001B3131"/>
    <w:rsid w:val="001B31F3"/>
    <w:rsid w:val="001B322F"/>
    <w:rsid w:val="001B33FE"/>
    <w:rsid w:val="001B360B"/>
    <w:rsid w:val="001B3C71"/>
    <w:rsid w:val="001B41D7"/>
    <w:rsid w:val="001B4597"/>
    <w:rsid w:val="001B45A0"/>
    <w:rsid w:val="001B4644"/>
    <w:rsid w:val="001B46C7"/>
    <w:rsid w:val="001B48CD"/>
    <w:rsid w:val="001B4B23"/>
    <w:rsid w:val="001B4B4F"/>
    <w:rsid w:val="001B4DAC"/>
    <w:rsid w:val="001B4E95"/>
    <w:rsid w:val="001B51A8"/>
    <w:rsid w:val="001B5298"/>
    <w:rsid w:val="001B575F"/>
    <w:rsid w:val="001B5895"/>
    <w:rsid w:val="001B5A5D"/>
    <w:rsid w:val="001B5C58"/>
    <w:rsid w:val="001B5D8F"/>
    <w:rsid w:val="001B5F20"/>
    <w:rsid w:val="001B608A"/>
    <w:rsid w:val="001B60F7"/>
    <w:rsid w:val="001B6534"/>
    <w:rsid w:val="001B65E4"/>
    <w:rsid w:val="001B6627"/>
    <w:rsid w:val="001B6641"/>
    <w:rsid w:val="001B6E69"/>
    <w:rsid w:val="001B6E6A"/>
    <w:rsid w:val="001B711B"/>
    <w:rsid w:val="001B7420"/>
    <w:rsid w:val="001B7620"/>
    <w:rsid w:val="001B76D0"/>
    <w:rsid w:val="001B7740"/>
    <w:rsid w:val="001B7894"/>
    <w:rsid w:val="001B7984"/>
    <w:rsid w:val="001B7B96"/>
    <w:rsid w:val="001C010F"/>
    <w:rsid w:val="001C02C0"/>
    <w:rsid w:val="001C03AD"/>
    <w:rsid w:val="001C0DF6"/>
    <w:rsid w:val="001C0E2E"/>
    <w:rsid w:val="001C1054"/>
    <w:rsid w:val="001C1293"/>
    <w:rsid w:val="001C1396"/>
    <w:rsid w:val="001C181F"/>
    <w:rsid w:val="001C19D5"/>
    <w:rsid w:val="001C1BA9"/>
    <w:rsid w:val="001C1CE5"/>
    <w:rsid w:val="001C1ED6"/>
    <w:rsid w:val="001C1EE3"/>
    <w:rsid w:val="001C1EED"/>
    <w:rsid w:val="001C2014"/>
    <w:rsid w:val="001C23C9"/>
    <w:rsid w:val="001C261C"/>
    <w:rsid w:val="001C26C2"/>
    <w:rsid w:val="001C29C6"/>
    <w:rsid w:val="001C2AB9"/>
    <w:rsid w:val="001C2B98"/>
    <w:rsid w:val="001C2C1F"/>
    <w:rsid w:val="001C2DBE"/>
    <w:rsid w:val="001C2F47"/>
    <w:rsid w:val="001C2F52"/>
    <w:rsid w:val="001C3367"/>
    <w:rsid w:val="001C3494"/>
    <w:rsid w:val="001C34FA"/>
    <w:rsid w:val="001C36BE"/>
    <w:rsid w:val="001C371C"/>
    <w:rsid w:val="001C3D2A"/>
    <w:rsid w:val="001C4025"/>
    <w:rsid w:val="001C40B7"/>
    <w:rsid w:val="001C44B9"/>
    <w:rsid w:val="001C44C7"/>
    <w:rsid w:val="001C463D"/>
    <w:rsid w:val="001C470D"/>
    <w:rsid w:val="001C47F7"/>
    <w:rsid w:val="001C481F"/>
    <w:rsid w:val="001C50FE"/>
    <w:rsid w:val="001C538A"/>
    <w:rsid w:val="001C55D9"/>
    <w:rsid w:val="001C5899"/>
    <w:rsid w:val="001C5978"/>
    <w:rsid w:val="001C5A83"/>
    <w:rsid w:val="001C5AD8"/>
    <w:rsid w:val="001C5BAA"/>
    <w:rsid w:val="001C5CC3"/>
    <w:rsid w:val="001C5D87"/>
    <w:rsid w:val="001C5DA0"/>
    <w:rsid w:val="001C5F94"/>
    <w:rsid w:val="001C5FD5"/>
    <w:rsid w:val="001C60B0"/>
    <w:rsid w:val="001C62E7"/>
    <w:rsid w:val="001C62F9"/>
    <w:rsid w:val="001C6455"/>
    <w:rsid w:val="001C6714"/>
    <w:rsid w:val="001C6826"/>
    <w:rsid w:val="001C68F6"/>
    <w:rsid w:val="001C69FE"/>
    <w:rsid w:val="001C6D31"/>
    <w:rsid w:val="001C6D8A"/>
    <w:rsid w:val="001C7625"/>
    <w:rsid w:val="001C7891"/>
    <w:rsid w:val="001C791F"/>
    <w:rsid w:val="001C7C0E"/>
    <w:rsid w:val="001C7F41"/>
    <w:rsid w:val="001D0429"/>
    <w:rsid w:val="001D06C4"/>
    <w:rsid w:val="001D081D"/>
    <w:rsid w:val="001D0847"/>
    <w:rsid w:val="001D0A2F"/>
    <w:rsid w:val="001D0AF3"/>
    <w:rsid w:val="001D0B60"/>
    <w:rsid w:val="001D0C43"/>
    <w:rsid w:val="001D0D63"/>
    <w:rsid w:val="001D0DA3"/>
    <w:rsid w:val="001D12D9"/>
    <w:rsid w:val="001D1582"/>
    <w:rsid w:val="001D1822"/>
    <w:rsid w:val="001D2132"/>
    <w:rsid w:val="001D213D"/>
    <w:rsid w:val="001D283A"/>
    <w:rsid w:val="001D287F"/>
    <w:rsid w:val="001D2903"/>
    <w:rsid w:val="001D2EC9"/>
    <w:rsid w:val="001D311E"/>
    <w:rsid w:val="001D31FD"/>
    <w:rsid w:val="001D3306"/>
    <w:rsid w:val="001D3606"/>
    <w:rsid w:val="001D39D2"/>
    <w:rsid w:val="001D3B43"/>
    <w:rsid w:val="001D3B57"/>
    <w:rsid w:val="001D3DFA"/>
    <w:rsid w:val="001D3E0A"/>
    <w:rsid w:val="001D3E96"/>
    <w:rsid w:val="001D44BA"/>
    <w:rsid w:val="001D46D5"/>
    <w:rsid w:val="001D4703"/>
    <w:rsid w:val="001D4773"/>
    <w:rsid w:val="001D4796"/>
    <w:rsid w:val="001D4951"/>
    <w:rsid w:val="001D4980"/>
    <w:rsid w:val="001D4E3A"/>
    <w:rsid w:val="001D51BA"/>
    <w:rsid w:val="001D5310"/>
    <w:rsid w:val="001D5354"/>
    <w:rsid w:val="001D53E7"/>
    <w:rsid w:val="001D5785"/>
    <w:rsid w:val="001D57A4"/>
    <w:rsid w:val="001D595D"/>
    <w:rsid w:val="001D59C1"/>
    <w:rsid w:val="001D5AE5"/>
    <w:rsid w:val="001D5C30"/>
    <w:rsid w:val="001D5D2E"/>
    <w:rsid w:val="001D6342"/>
    <w:rsid w:val="001D6B0E"/>
    <w:rsid w:val="001D6C1C"/>
    <w:rsid w:val="001D6D53"/>
    <w:rsid w:val="001D6DA3"/>
    <w:rsid w:val="001D6F3F"/>
    <w:rsid w:val="001D713E"/>
    <w:rsid w:val="001D7583"/>
    <w:rsid w:val="001D77E5"/>
    <w:rsid w:val="001D7AD4"/>
    <w:rsid w:val="001D7FA4"/>
    <w:rsid w:val="001D7FEB"/>
    <w:rsid w:val="001E00CF"/>
    <w:rsid w:val="001E0120"/>
    <w:rsid w:val="001E03F7"/>
    <w:rsid w:val="001E0474"/>
    <w:rsid w:val="001E0A64"/>
    <w:rsid w:val="001E0ACB"/>
    <w:rsid w:val="001E0B9D"/>
    <w:rsid w:val="001E0D19"/>
    <w:rsid w:val="001E0E81"/>
    <w:rsid w:val="001E0F61"/>
    <w:rsid w:val="001E1151"/>
    <w:rsid w:val="001E119A"/>
    <w:rsid w:val="001E127B"/>
    <w:rsid w:val="001E12DD"/>
    <w:rsid w:val="001E15CF"/>
    <w:rsid w:val="001E1630"/>
    <w:rsid w:val="001E1744"/>
    <w:rsid w:val="001E1C10"/>
    <w:rsid w:val="001E1EF3"/>
    <w:rsid w:val="001E2072"/>
    <w:rsid w:val="001E22DF"/>
    <w:rsid w:val="001E234F"/>
    <w:rsid w:val="001E2468"/>
    <w:rsid w:val="001E2683"/>
    <w:rsid w:val="001E272C"/>
    <w:rsid w:val="001E274F"/>
    <w:rsid w:val="001E2B61"/>
    <w:rsid w:val="001E2D84"/>
    <w:rsid w:val="001E3130"/>
    <w:rsid w:val="001E3135"/>
    <w:rsid w:val="001E3137"/>
    <w:rsid w:val="001E3176"/>
    <w:rsid w:val="001E3227"/>
    <w:rsid w:val="001E338A"/>
    <w:rsid w:val="001E3402"/>
    <w:rsid w:val="001E3B26"/>
    <w:rsid w:val="001E3BC9"/>
    <w:rsid w:val="001E3D75"/>
    <w:rsid w:val="001E3F3B"/>
    <w:rsid w:val="001E41B6"/>
    <w:rsid w:val="001E44D4"/>
    <w:rsid w:val="001E47ED"/>
    <w:rsid w:val="001E49D3"/>
    <w:rsid w:val="001E49F3"/>
    <w:rsid w:val="001E4A57"/>
    <w:rsid w:val="001E4A58"/>
    <w:rsid w:val="001E4A5A"/>
    <w:rsid w:val="001E4AEF"/>
    <w:rsid w:val="001E4CBB"/>
    <w:rsid w:val="001E4E86"/>
    <w:rsid w:val="001E50B1"/>
    <w:rsid w:val="001E54D5"/>
    <w:rsid w:val="001E58E2"/>
    <w:rsid w:val="001E59F7"/>
    <w:rsid w:val="001E5B63"/>
    <w:rsid w:val="001E5DB5"/>
    <w:rsid w:val="001E5FD2"/>
    <w:rsid w:val="001E6001"/>
    <w:rsid w:val="001E601F"/>
    <w:rsid w:val="001E6663"/>
    <w:rsid w:val="001E66E7"/>
    <w:rsid w:val="001E6711"/>
    <w:rsid w:val="001E6858"/>
    <w:rsid w:val="001E6891"/>
    <w:rsid w:val="001E69AE"/>
    <w:rsid w:val="001E69D4"/>
    <w:rsid w:val="001E6B99"/>
    <w:rsid w:val="001E6C9A"/>
    <w:rsid w:val="001E6DC5"/>
    <w:rsid w:val="001E6EDE"/>
    <w:rsid w:val="001E74CF"/>
    <w:rsid w:val="001E7514"/>
    <w:rsid w:val="001E7534"/>
    <w:rsid w:val="001E7824"/>
    <w:rsid w:val="001E7AED"/>
    <w:rsid w:val="001F0148"/>
    <w:rsid w:val="001F0242"/>
    <w:rsid w:val="001F075E"/>
    <w:rsid w:val="001F07C3"/>
    <w:rsid w:val="001F0CAA"/>
    <w:rsid w:val="001F1681"/>
    <w:rsid w:val="001F17D6"/>
    <w:rsid w:val="001F1836"/>
    <w:rsid w:val="001F197A"/>
    <w:rsid w:val="001F197C"/>
    <w:rsid w:val="001F1AF6"/>
    <w:rsid w:val="001F1BAE"/>
    <w:rsid w:val="001F1BFA"/>
    <w:rsid w:val="001F2132"/>
    <w:rsid w:val="001F2248"/>
    <w:rsid w:val="001F238F"/>
    <w:rsid w:val="001F244C"/>
    <w:rsid w:val="001F29B0"/>
    <w:rsid w:val="001F29CD"/>
    <w:rsid w:val="001F2C8F"/>
    <w:rsid w:val="001F2DFF"/>
    <w:rsid w:val="001F32C7"/>
    <w:rsid w:val="001F337D"/>
    <w:rsid w:val="001F379C"/>
    <w:rsid w:val="001F37E5"/>
    <w:rsid w:val="001F3916"/>
    <w:rsid w:val="001F3938"/>
    <w:rsid w:val="001F3B72"/>
    <w:rsid w:val="001F3BD9"/>
    <w:rsid w:val="001F3E66"/>
    <w:rsid w:val="001F412E"/>
    <w:rsid w:val="001F4263"/>
    <w:rsid w:val="001F433B"/>
    <w:rsid w:val="001F440A"/>
    <w:rsid w:val="001F4412"/>
    <w:rsid w:val="001F463D"/>
    <w:rsid w:val="001F46E8"/>
    <w:rsid w:val="001F4973"/>
    <w:rsid w:val="001F49A2"/>
    <w:rsid w:val="001F4A3E"/>
    <w:rsid w:val="001F508D"/>
    <w:rsid w:val="001F522E"/>
    <w:rsid w:val="001F5272"/>
    <w:rsid w:val="001F54C5"/>
    <w:rsid w:val="001F5791"/>
    <w:rsid w:val="001F58D3"/>
    <w:rsid w:val="001F592E"/>
    <w:rsid w:val="001F608F"/>
    <w:rsid w:val="001F62D2"/>
    <w:rsid w:val="001F64AE"/>
    <w:rsid w:val="001F65EA"/>
    <w:rsid w:val="001F661F"/>
    <w:rsid w:val="001F662C"/>
    <w:rsid w:val="001F6687"/>
    <w:rsid w:val="001F6850"/>
    <w:rsid w:val="001F699A"/>
    <w:rsid w:val="001F6B5B"/>
    <w:rsid w:val="001F6C13"/>
    <w:rsid w:val="001F6FCD"/>
    <w:rsid w:val="001F7074"/>
    <w:rsid w:val="001F72CA"/>
    <w:rsid w:val="001F748B"/>
    <w:rsid w:val="001F7924"/>
    <w:rsid w:val="001F7AAF"/>
    <w:rsid w:val="001F7BE2"/>
    <w:rsid w:val="001F7D93"/>
    <w:rsid w:val="001F7E91"/>
    <w:rsid w:val="00200361"/>
    <w:rsid w:val="00200416"/>
    <w:rsid w:val="00200490"/>
    <w:rsid w:val="00200670"/>
    <w:rsid w:val="00200728"/>
    <w:rsid w:val="00200A27"/>
    <w:rsid w:val="00200B8A"/>
    <w:rsid w:val="00200EB6"/>
    <w:rsid w:val="002010FE"/>
    <w:rsid w:val="00201273"/>
    <w:rsid w:val="00201402"/>
    <w:rsid w:val="002015E1"/>
    <w:rsid w:val="002016A9"/>
    <w:rsid w:val="00201948"/>
    <w:rsid w:val="00201C66"/>
    <w:rsid w:val="00201CEC"/>
    <w:rsid w:val="00201F3A"/>
    <w:rsid w:val="00201F66"/>
    <w:rsid w:val="00201FA2"/>
    <w:rsid w:val="0020218D"/>
    <w:rsid w:val="002021E7"/>
    <w:rsid w:val="002022C0"/>
    <w:rsid w:val="002022CD"/>
    <w:rsid w:val="002023E3"/>
    <w:rsid w:val="0020245A"/>
    <w:rsid w:val="002024BB"/>
    <w:rsid w:val="002025EF"/>
    <w:rsid w:val="002026C2"/>
    <w:rsid w:val="002028FF"/>
    <w:rsid w:val="00202953"/>
    <w:rsid w:val="0020295A"/>
    <w:rsid w:val="002029C1"/>
    <w:rsid w:val="00202D2A"/>
    <w:rsid w:val="00202D39"/>
    <w:rsid w:val="00202E8A"/>
    <w:rsid w:val="00202F7D"/>
    <w:rsid w:val="0020312A"/>
    <w:rsid w:val="002034BA"/>
    <w:rsid w:val="002037E1"/>
    <w:rsid w:val="00203864"/>
    <w:rsid w:val="00203915"/>
    <w:rsid w:val="0020394E"/>
    <w:rsid w:val="002039B8"/>
    <w:rsid w:val="00203F96"/>
    <w:rsid w:val="00203FF7"/>
    <w:rsid w:val="0020413D"/>
    <w:rsid w:val="0020429B"/>
    <w:rsid w:val="00204314"/>
    <w:rsid w:val="00204337"/>
    <w:rsid w:val="00204528"/>
    <w:rsid w:val="00204B0E"/>
    <w:rsid w:val="00204C39"/>
    <w:rsid w:val="00204CAD"/>
    <w:rsid w:val="00204D42"/>
    <w:rsid w:val="00204D64"/>
    <w:rsid w:val="00204F71"/>
    <w:rsid w:val="0020500E"/>
    <w:rsid w:val="00205603"/>
    <w:rsid w:val="0020571F"/>
    <w:rsid w:val="00205870"/>
    <w:rsid w:val="00205CD1"/>
    <w:rsid w:val="00205F01"/>
    <w:rsid w:val="00205F34"/>
    <w:rsid w:val="0020607B"/>
    <w:rsid w:val="0020670D"/>
    <w:rsid w:val="00206766"/>
    <w:rsid w:val="002067F6"/>
    <w:rsid w:val="0020698D"/>
    <w:rsid w:val="002069B2"/>
    <w:rsid w:val="00206DF6"/>
    <w:rsid w:val="00206EA1"/>
    <w:rsid w:val="00207160"/>
    <w:rsid w:val="002071C1"/>
    <w:rsid w:val="0020731E"/>
    <w:rsid w:val="002073B4"/>
    <w:rsid w:val="0020780A"/>
    <w:rsid w:val="002079E3"/>
    <w:rsid w:val="00207B7A"/>
    <w:rsid w:val="00207C60"/>
    <w:rsid w:val="00207CDB"/>
    <w:rsid w:val="00207E60"/>
    <w:rsid w:val="00207FA3"/>
    <w:rsid w:val="00210117"/>
    <w:rsid w:val="002102F8"/>
    <w:rsid w:val="0021051B"/>
    <w:rsid w:val="0021095E"/>
    <w:rsid w:val="0021097B"/>
    <w:rsid w:val="00210A33"/>
    <w:rsid w:val="00210A94"/>
    <w:rsid w:val="00210C4B"/>
    <w:rsid w:val="00210D94"/>
    <w:rsid w:val="0021105A"/>
    <w:rsid w:val="00211116"/>
    <w:rsid w:val="00211287"/>
    <w:rsid w:val="00211394"/>
    <w:rsid w:val="0021149F"/>
    <w:rsid w:val="00211572"/>
    <w:rsid w:val="002116F4"/>
    <w:rsid w:val="002118CE"/>
    <w:rsid w:val="00211AFE"/>
    <w:rsid w:val="00211F0D"/>
    <w:rsid w:val="00211F42"/>
    <w:rsid w:val="00211FF6"/>
    <w:rsid w:val="002124A4"/>
    <w:rsid w:val="0021277B"/>
    <w:rsid w:val="00213182"/>
    <w:rsid w:val="002131E3"/>
    <w:rsid w:val="002133CF"/>
    <w:rsid w:val="00213529"/>
    <w:rsid w:val="00213DF4"/>
    <w:rsid w:val="00213F2D"/>
    <w:rsid w:val="00213F69"/>
    <w:rsid w:val="002141A1"/>
    <w:rsid w:val="002141B7"/>
    <w:rsid w:val="00214A8B"/>
    <w:rsid w:val="00214CAD"/>
    <w:rsid w:val="00214DA8"/>
    <w:rsid w:val="00214FB8"/>
    <w:rsid w:val="00215073"/>
    <w:rsid w:val="002150A2"/>
    <w:rsid w:val="00215233"/>
    <w:rsid w:val="00215423"/>
    <w:rsid w:val="00215587"/>
    <w:rsid w:val="0021582C"/>
    <w:rsid w:val="002158FA"/>
    <w:rsid w:val="0021594D"/>
    <w:rsid w:val="00215B5B"/>
    <w:rsid w:val="002160E4"/>
    <w:rsid w:val="002162FC"/>
    <w:rsid w:val="002163E9"/>
    <w:rsid w:val="002163F0"/>
    <w:rsid w:val="00216545"/>
    <w:rsid w:val="002166E8"/>
    <w:rsid w:val="00216884"/>
    <w:rsid w:val="00216D9D"/>
    <w:rsid w:val="00216ECF"/>
    <w:rsid w:val="00216FFF"/>
    <w:rsid w:val="002170DB"/>
    <w:rsid w:val="0021710F"/>
    <w:rsid w:val="0021731A"/>
    <w:rsid w:val="00217372"/>
    <w:rsid w:val="002173CD"/>
    <w:rsid w:val="0021753D"/>
    <w:rsid w:val="002175F5"/>
    <w:rsid w:val="00217631"/>
    <w:rsid w:val="00217991"/>
    <w:rsid w:val="00217A82"/>
    <w:rsid w:val="00217C6D"/>
    <w:rsid w:val="0022023A"/>
    <w:rsid w:val="00220247"/>
    <w:rsid w:val="0022033A"/>
    <w:rsid w:val="002203EA"/>
    <w:rsid w:val="002204F7"/>
    <w:rsid w:val="00220600"/>
    <w:rsid w:val="00220841"/>
    <w:rsid w:val="0022094E"/>
    <w:rsid w:val="00220955"/>
    <w:rsid w:val="002209E4"/>
    <w:rsid w:val="00220A27"/>
    <w:rsid w:val="00220D63"/>
    <w:rsid w:val="00220F4A"/>
    <w:rsid w:val="00220F90"/>
    <w:rsid w:val="002210E6"/>
    <w:rsid w:val="00221248"/>
    <w:rsid w:val="0022128B"/>
    <w:rsid w:val="00221398"/>
    <w:rsid w:val="002213AC"/>
    <w:rsid w:val="002214B1"/>
    <w:rsid w:val="002215E1"/>
    <w:rsid w:val="0022163D"/>
    <w:rsid w:val="0022171F"/>
    <w:rsid w:val="002218C6"/>
    <w:rsid w:val="00221CB0"/>
    <w:rsid w:val="00221D60"/>
    <w:rsid w:val="00221D75"/>
    <w:rsid w:val="00221F07"/>
    <w:rsid w:val="002221F6"/>
    <w:rsid w:val="002224DB"/>
    <w:rsid w:val="002225DC"/>
    <w:rsid w:val="00222811"/>
    <w:rsid w:val="00222947"/>
    <w:rsid w:val="00222CCD"/>
    <w:rsid w:val="00222D69"/>
    <w:rsid w:val="00222FEE"/>
    <w:rsid w:val="002231E5"/>
    <w:rsid w:val="00223435"/>
    <w:rsid w:val="002235AE"/>
    <w:rsid w:val="002238C6"/>
    <w:rsid w:val="00223906"/>
    <w:rsid w:val="00223A5B"/>
    <w:rsid w:val="00223BFC"/>
    <w:rsid w:val="00223D1A"/>
    <w:rsid w:val="00223D91"/>
    <w:rsid w:val="00223DA2"/>
    <w:rsid w:val="00223F53"/>
    <w:rsid w:val="00223FCB"/>
    <w:rsid w:val="00223FEA"/>
    <w:rsid w:val="00224515"/>
    <w:rsid w:val="0022455F"/>
    <w:rsid w:val="00224705"/>
    <w:rsid w:val="00224791"/>
    <w:rsid w:val="0022486B"/>
    <w:rsid w:val="002248CF"/>
    <w:rsid w:val="00224BE6"/>
    <w:rsid w:val="00224CE2"/>
    <w:rsid w:val="002250D6"/>
    <w:rsid w:val="0022513F"/>
    <w:rsid w:val="002252C3"/>
    <w:rsid w:val="0022549B"/>
    <w:rsid w:val="0022578F"/>
    <w:rsid w:val="00225950"/>
    <w:rsid w:val="00225B30"/>
    <w:rsid w:val="00225BA9"/>
    <w:rsid w:val="00225C54"/>
    <w:rsid w:val="00225F40"/>
    <w:rsid w:val="00226049"/>
    <w:rsid w:val="00226277"/>
    <w:rsid w:val="002262F9"/>
    <w:rsid w:val="0022639C"/>
    <w:rsid w:val="00226651"/>
    <w:rsid w:val="002267FA"/>
    <w:rsid w:val="00226B72"/>
    <w:rsid w:val="00226C5F"/>
    <w:rsid w:val="00226FF6"/>
    <w:rsid w:val="002273BE"/>
    <w:rsid w:val="002276BF"/>
    <w:rsid w:val="0022791E"/>
    <w:rsid w:val="00227B70"/>
    <w:rsid w:val="00227B7F"/>
    <w:rsid w:val="00227C0C"/>
    <w:rsid w:val="00227C16"/>
    <w:rsid w:val="00230765"/>
    <w:rsid w:val="00230819"/>
    <w:rsid w:val="00230A08"/>
    <w:rsid w:val="00230D18"/>
    <w:rsid w:val="0023154F"/>
    <w:rsid w:val="00231820"/>
    <w:rsid w:val="002319E4"/>
    <w:rsid w:val="00231EBF"/>
    <w:rsid w:val="00232217"/>
    <w:rsid w:val="00232298"/>
    <w:rsid w:val="002323AA"/>
    <w:rsid w:val="00232955"/>
    <w:rsid w:val="00232A20"/>
    <w:rsid w:val="00232ABA"/>
    <w:rsid w:val="00232C0B"/>
    <w:rsid w:val="00232ECD"/>
    <w:rsid w:val="00232FD7"/>
    <w:rsid w:val="002332ED"/>
    <w:rsid w:val="00233326"/>
    <w:rsid w:val="00233600"/>
    <w:rsid w:val="00233630"/>
    <w:rsid w:val="0023368D"/>
    <w:rsid w:val="002336ED"/>
    <w:rsid w:val="002337D0"/>
    <w:rsid w:val="00233A73"/>
    <w:rsid w:val="00233AE8"/>
    <w:rsid w:val="00233AF9"/>
    <w:rsid w:val="00233BCD"/>
    <w:rsid w:val="00233D62"/>
    <w:rsid w:val="00233E1A"/>
    <w:rsid w:val="00233E95"/>
    <w:rsid w:val="00233F7B"/>
    <w:rsid w:val="002340EA"/>
    <w:rsid w:val="002345EB"/>
    <w:rsid w:val="00234D9D"/>
    <w:rsid w:val="002352F7"/>
    <w:rsid w:val="002354AB"/>
    <w:rsid w:val="002354F5"/>
    <w:rsid w:val="00235632"/>
    <w:rsid w:val="002356A2"/>
    <w:rsid w:val="00235872"/>
    <w:rsid w:val="00235D35"/>
    <w:rsid w:val="00235DA1"/>
    <w:rsid w:val="00235F21"/>
    <w:rsid w:val="00235F7E"/>
    <w:rsid w:val="00235FFE"/>
    <w:rsid w:val="0023616D"/>
    <w:rsid w:val="0023646F"/>
    <w:rsid w:val="00236550"/>
    <w:rsid w:val="0023669B"/>
    <w:rsid w:val="00236931"/>
    <w:rsid w:val="00236D5B"/>
    <w:rsid w:val="00236E1D"/>
    <w:rsid w:val="00236E65"/>
    <w:rsid w:val="00236F5C"/>
    <w:rsid w:val="002371A0"/>
    <w:rsid w:val="00237517"/>
    <w:rsid w:val="0023760F"/>
    <w:rsid w:val="00237A6C"/>
    <w:rsid w:val="00237BB8"/>
    <w:rsid w:val="00237C82"/>
    <w:rsid w:val="00237CAD"/>
    <w:rsid w:val="00237D32"/>
    <w:rsid w:val="0024024E"/>
    <w:rsid w:val="00240334"/>
    <w:rsid w:val="0024057A"/>
    <w:rsid w:val="00240643"/>
    <w:rsid w:val="002407F4"/>
    <w:rsid w:val="00240980"/>
    <w:rsid w:val="00240BDF"/>
    <w:rsid w:val="00240F7D"/>
    <w:rsid w:val="00241016"/>
    <w:rsid w:val="00241054"/>
    <w:rsid w:val="00241370"/>
    <w:rsid w:val="0024148B"/>
    <w:rsid w:val="00241559"/>
    <w:rsid w:val="0024155C"/>
    <w:rsid w:val="00241587"/>
    <w:rsid w:val="002417DA"/>
    <w:rsid w:val="00241948"/>
    <w:rsid w:val="00241E04"/>
    <w:rsid w:val="00241F28"/>
    <w:rsid w:val="002422D4"/>
    <w:rsid w:val="0024230A"/>
    <w:rsid w:val="00242391"/>
    <w:rsid w:val="002423DA"/>
    <w:rsid w:val="00242510"/>
    <w:rsid w:val="00242911"/>
    <w:rsid w:val="00242AD7"/>
    <w:rsid w:val="00242C65"/>
    <w:rsid w:val="00242C71"/>
    <w:rsid w:val="00242F67"/>
    <w:rsid w:val="00243198"/>
    <w:rsid w:val="0024320C"/>
    <w:rsid w:val="002432CB"/>
    <w:rsid w:val="002435B3"/>
    <w:rsid w:val="00243666"/>
    <w:rsid w:val="0024391B"/>
    <w:rsid w:val="00243D7B"/>
    <w:rsid w:val="00243F1F"/>
    <w:rsid w:val="00243FB3"/>
    <w:rsid w:val="00243FB9"/>
    <w:rsid w:val="00243FFA"/>
    <w:rsid w:val="0024434B"/>
    <w:rsid w:val="002443B4"/>
    <w:rsid w:val="00244463"/>
    <w:rsid w:val="00244534"/>
    <w:rsid w:val="002448E4"/>
    <w:rsid w:val="00244918"/>
    <w:rsid w:val="00244C94"/>
    <w:rsid w:val="00244CDE"/>
    <w:rsid w:val="00244F55"/>
    <w:rsid w:val="002451B4"/>
    <w:rsid w:val="00245263"/>
    <w:rsid w:val="00245335"/>
    <w:rsid w:val="002453DE"/>
    <w:rsid w:val="002458EB"/>
    <w:rsid w:val="0024628A"/>
    <w:rsid w:val="0024634D"/>
    <w:rsid w:val="0024666D"/>
    <w:rsid w:val="0024673E"/>
    <w:rsid w:val="00246BC6"/>
    <w:rsid w:val="002471E6"/>
    <w:rsid w:val="0024730D"/>
    <w:rsid w:val="0024740B"/>
    <w:rsid w:val="002476C2"/>
    <w:rsid w:val="002478CC"/>
    <w:rsid w:val="002478EE"/>
    <w:rsid w:val="00247AAD"/>
    <w:rsid w:val="00247C3B"/>
    <w:rsid w:val="00247C76"/>
    <w:rsid w:val="00247EA9"/>
    <w:rsid w:val="00247F0C"/>
    <w:rsid w:val="002500C8"/>
    <w:rsid w:val="002505AD"/>
    <w:rsid w:val="00250773"/>
    <w:rsid w:val="002507D4"/>
    <w:rsid w:val="00250BBE"/>
    <w:rsid w:val="00250EA3"/>
    <w:rsid w:val="002513BF"/>
    <w:rsid w:val="002515B6"/>
    <w:rsid w:val="002518E1"/>
    <w:rsid w:val="002519D4"/>
    <w:rsid w:val="00251B19"/>
    <w:rsid w:val="00251B6B"/>
    <w:rsid w:val="00252069"/>
    <w:rsid w:val="00252197"/>
    <w:rsid w:val="00252340"/>
    <w:rsid w:val="002526DE"/>
    <w:rsid w:val="00252986"/>
    <w:rsid w:val="00252988"/>
    <w:rsid w:val="00253103"/>
    <w:rsid w:val="00253112"/>
    <w:rsid w:val="00253305"/>
    <w:rsid w:val="0025330E"/>
    <w:rsid w:val="0025345D"/>
    <w:rsid w:val="0025350B"/>
    <w:rsid w:val="0025390D"/>
    <w:rsid w:val="00253E02"/>
    <w:rsid w:val="00253E1B"/>
    <w:rsid w:val="002541E9"/>
    <w:rsid w:val="0025450B"/>
    <w:rsid w:val="002545B0"/>
    <w:rsid w:val="00254645"/>
    <w:rsid w:val="002547BD"/>
    <w:rsid w:val="00254994"/>
    <w:rsid w:val="00254E37"/>
    <w:rsid w:val="00255018"/>
    <w:rsid w:val="002550D1"/>
    <w:rsid w:val="0025511F"/>
    <w:rsid w:val="00255384"/>
    <w:rsid w:val="0025590A"/>
    <w:rsid w:val="00255C39"/>
    <w:rsid w:val="00255CFC"/>
    <w:rsid w:val="00255F4F"/>
    <w:rsid w:val="002561DF"/>
    <w:rsid w:val="00256287"/>
    <w:rsid w:val="0025652A"/>
    <w:rsid w:val="00256658"/>
    <w:rsid w:val="0025682E"/>
    <w:rsid w:val="00256A3E"/>
    <w:rsid w:val="00256D8D"/>
    <w:rsid w:val="00256EC2"/>
    <w:rsid w:val="0025706B"/>
    <w:rsid w:val="00257543"/>
    <w:rsid w:val="00257619"/>
    <w:rsid w:val="00257671"/>
    <w:rsid w:val="00257870"/>
    <w:rsid w:val="00257C21"/>
    <w:rsid w:val="00257CDB"/>
    <w:rsid w:val="00257D6F"/>
    <w:rsid w:val="00257F7E"/>
    <w:rsid w:val="0026059A"/>
    <w:rsid w:val="002606DA"/>
    <w:rsid w:val="00260909"/>
    <w:rsid w:val="00260BF1"/>
    <w:rsid w:val="00260C50"/>
    <w:rsid w:val="00260F00"/>
    <w:rsid w:val="002617E7"/>
    <w:rsid w:val="00261A27"/>
    <w:rsid w:val="00261CDB"/>
    <w:rsid w:val="00262081"/>
    <w:rsid w:val="0026228B"/>
    <w:rsid w:val="0026242C"/>
    <w:rsid w:val="002624C6"/>
    <w:rsid w:val="002626FE"/>
    <w:rsid w:val="0026283F"/>
    <w:rsid w:val="002629B9"/>
    <w:rsid w:val="00262A81"/>
    <w:rsid w:val="00262BDE"/>
    <w:rsid w:val="00263310"/>
    <w:rsid w:val="00263605"/>
    <w:rsid w:val="00263636"/>
    <w:rsid w:val="00263735"/>
    <w:rsid w:val="00263F3D"/>
    <w:rsid w:val="00264065"/>
    <w:rsid w:val="0026420F"/>
    <w:rsid w:val="00264228"/>
    <w:rsid w:val="00264334"/>
    <w:rsid w:val="002645E1"/>
    <w:rsid w:val="0026464D"/>
    <w:rsid w:val="0026473E"/>
    <w:rsid w:val="0026478F"/>
    <w:rsid w:val="002647A7"/>
    <w:rsid w:val="002647B1"/>
    <w:rsid w:val="002648DF"/>
    <w:rsid w:val="00264A86"/>
    <w:rsid w:val="00264E64"/>
    <w:rsid w:val="0026549D"/>
    <w:rsid w:val="002655EA"/>
    <w:rsid w:val="002659D8"/>
    <w:rsid w:val="00265B82"/>
    <w:rsid w:val="00265CD5"/>
    <w:rsid w:val="00265EE4"/>
    <w:rsid w:val="00266214"/>
    <w:rsid w:val="0026647B"/>
    <w:rsid w:val="00266723"/>
    <w:rsid w:val="00266A0B"/>
    <w:rsid w:val="00266C06"/>
    <w:rsid w:val="00266DF3"/>
    <w:rsid w:val="00266E69"/>
    <w:rsid w:val="00266EDD"/>
    <w:rsid w:val="00267023"/>
    <w:rsid w:val="0026710A"/>
    <w:rsid w:val="00267259"/>
    <w:rsid w:val="0026725E"/>
    <w:rsid w:val="00267324"/>
    <w:rsid w:val="00267481"/>
    <w:rsid w:val="00267540"/>
    <w:rsid w:val="00267552"/>
    <w:rsid w:val="0026798A"/>
    <w:rsid w:val="00267C83"/>
    <w:rsid w:val="0027021F"/>
    <w:rsid w:val="002704C7"/>
    <w:rsid w:val="002704E5"/>
    <w:rsid w:val="00270543"/>
    <w:rsid w:val="0027078F"/>
    <w:rsid w:val="0027080F"/>
    <w:rsid w:val="002709F8"/>
    <w:rsid w:val="00270B02"/>
    <w:rsid w:val="00270D1E"/>
    <w:rsid w:val="00270E7E"/>
    <w:rsid w:val="00270F9A"/>
    <w:rsid w:val="00270FE0"/>
    <w:rsid w:val="00271095"/>
    <w:rsid w:val="0027144F"/>
    <w:rsid w:val="00271477"/>
    <w:rsid w:val="002717A4"/>
    <w:rsid w:val="002717F0"/>
    <w:rsid w:val="00271813"/>
    <w:rsid w:val="00271CDD"/>
    <w:rsid w:val="00271F3A"/>
    <w:rsid w:val="00271F9D"/>
    <w:rsid w:val="002722EF"/>
    <w:rsid w:val="00272493"/>
    <w:rsid w:val="00272790"/>
    <w:rsid w:val="00272839"/>
    <w:rsid w:val="00272B18"/>
    <w:rsid w:val="00272BAF"/>
    <w:rsid w:val="00272C6E"/>
    <w:rsid w:val="00272DC2"/>
    <w:rsid w:val="0027325D"/>
    <w:rsid w:val="00273278"/>
    <w:rsid w:val="00273390"/>
    <w:rsid w:val="002733D3"/>
    <w:rsid w:val="002737F4"/>
    <w:rsid w:val="002738A6"/>
    <w:rsid w:val="0027395A"/>
    <w:rsid w:val="00274288"/>
    <w:rsid w:val="0027444A"/>
    <w:rsid w:val="002746CF"/>
    <w:rsid w:val="0027481C"/>
    <w:rsid w:val="002748BB"/>
    <w:rsid w:val="00274A09"/>
    <w:rsid w:val="00274B28"/>
    <w:rsid w:val="00274DE8"/>
    <w:rsid w:val="00275042"/>
    <w:rsid w:val="0027504F"/>
    <w:rsid w:val="00275375"/>
    <w:rsid w:val="002755A5"/>
    <w:rsid w:val="002755B3"/>
    <w:rsid w:val="002756BB"/>
    <w:rsid w:val="002757B1"/>
    <w:rsid w:val="0027593D"/>
    <w:rsid w:val="002759C9"/>
    <w:rsid w:val="00275C33"/>
    <w:rsid w:val="002760AF"/>
    <w:rsid w:val="00276159"/>
    <w:rsid w:val="0027631F"/>
    <w:rsid w:val="00276426"/>
    <w:rsid w:val="002767E8"/>
    <w:rsid w:val="00276862"/>
    <w:rsid w:val="00276C56"/>
    <w:rsid w:val="00276F1E"/>
    <w:rsid w:val="00277268"/>
    <w:rsid w:val="002773B7"/>
    <w:rsid w:val="00277441"/>
    <w:rsid w:val="002774CA"/>
    <w:rsid w:val="002776C6"/>
    <w:rsid w:val="002777E1"/>
    <w:rsid w:val="00277AD9"/>
    <w:rsid w:val="00277B56"/>
    <w:rsid w:val="00277C1D"/>
    <w:rsid w:val="002805F5"/>
    <w:rsid w:val="00280751"/>
    <w:rsid w:val="002808F3"/>
    <w:rsid w:val="00280BE7"/>
    <w:rsid w:val="00280D2C"/>
    <w:rsid w:val="00280F9E"/>
    <w:rsid w:val="00281239"/>
    <w:rsid w:val="0028148E"/>
    <w:rsid w:val="002815DE"/>
    <w:rsid w:val="0028169C"/>
    <w:rsid w:val="002819CB"/>
    <w:rsid w:val="00281D1F"/>
    <w:rsid w:val="00281F80"/>
    <w:rsid w:val="00281FC5"/>
    <w:rsid w:val="00282046"/>
    <w:rsid w:val="00282334"/>
    <w:rsid w:val="00282420"/>
    <w:rsid w:val="002825E0"/>
    <w:rsid w:val="00282628"/>
    <w:rsid w:val="00282636"/>
    <w:rsid w:val="0028280A"/>
    <w:rsid w:val="0028284C"/>
    <w:rsid w:val="0028288E"/>
    <w:rsid w:val="00282AEC"/>
    <w:rsid w:val="00282FFE"/>
    <w:rsid w:val="0028316B"/>
    <w:rsid w:val="002831BD"/>
    <w:rsid w:val="00283690"/>
    <w:rsid w:val="002839EF"/>
    <w:rsid w:val="00283A6B"/>
    <w:rsid w:val="00283BCD"/>
    <w:rsid w:val="00283E15"/>
    <w:rsid w:val="0028400E"/>
    <w:rsid w:val="00284292"/>
    <w:rsid w:val="0028435A"/>
    <w:rsid w:val="00284695"/>
    <w:rsid w:val="002847C9"/>
    <w:rsid w:val="002849A2"/>
    <w:rsid w:val="00284D4F"/>
    <w:rsid w:val="002850E0"/>
    <w:rsid w:val="002850E5"/>
    <w:rsid w:val="002851F8"/>
    <w:rsid w:val="002853F1"/>
    <w:rsid w:val="0028564E"/>
    <w:rsid w:val="0028584F"/>
    <w:rsid w:val="00285853"/>
    <w:rsid w:val="00285855"/>
    <w:rsid w:val="00285A1C"/>
    <w:rsid w:val="00285AA2"/>
    <w:rsid w:val="00285CFB"/>
    <w:rsid w:val="00285E37"/>
    <w:rsid w:val="00286153"/>
    <w:rsid w:val="002865D2"/>
    <w:rsid w:val="00286710"/>
    <w:rsid w:val="00286770"/>
    <w:rsid w:val="002867BC"/>
    <w:rsid w:val="002868A8"/>
    <w:rsid w:val="002868B2"/>
    <w:rsid w:val="00286ACD"/>
    <w:rsid w:val="00286C29"/>
    <w:rsid w:val="00286C97"/>
    <w:rsid w:val="00286CF5"/>
    <w:rsid w:val="00287193"/>
    <w:rsid w:val="0028731E"/>
    <w:rsid w:val="002873E5"/>
    <w:rsid w:val="00287495"/>
    <w:rsid w:val="00287838"/>
    <w:rsid w:val="00287A21"/>
    <w:rsid w:val="00287B59"/>
    <w:rsid w:val="00287D23"/>
    <w:rsid w:val="00287DDC"/>
    <w:rsid w:val="00287E98"/>
    <w:rsid w:val="00287EE2"/>
    <w:rsid w:val="002900FF"/>
    <w:rsid w:val="002906EF"/>
    <w:rsid w:val="00290770"/>
    <w:rsid w:val="002907B5"/>
    <w:rsid w:val="00290A6C"/>
    <w:rsid w:val="00290ADC"/>
    <w:rsid w:val="00290C12"/>
    <w:rsid w:val="00290D43"/>
    <w:rsid w:val="00290E90"/>
    <w:rsid w:val="00291123"/>
    <w:rsid w:val="00291709"/>
    <w:rsid w:val="0029185B"/>
    <w:rsid w:val="00291C37"/>
    <w:rsid w:val="00291C89"/>
    <w:rsid w:val="00291D91"/>
    <w:rsid w:val="002924DE"/>
    <w:rsid w:val="00292938"/>
    <w:rsid w:val="00292C49"/>
    <w:rsid w:val="00292EB7"/>
    <w:rsid w:val="00293226"/>
    <w:rsid w:val="0029360D"/>
    <w:rsid w:val="002938DE"/>
    <w:rsid w:val="00294168"/>
    <w:rsid w:val="00294368"/>
    <w:rsid w:val="00294413"/>
    <w:rsid w:val="00294660"/>
    <w:rsid w:val="002949D3"/>
    <w:rsid w:val="00294DCF"/>
    <w:rsid w:val="00295350"/>
    <w:rsid w:val="002955B9"/>
    <w:rsid w:val="002957C7"/>
    <w:rsid w:val="00295ACB"/>
    <w:rsid w:val="00295D57"/>
    <w:rsid w:val="00295E8E"/>
    <w:rsid w:val="00295ED8"/>
    <w:rsid w:val="002960F1"/>
    <w:rsid w:val="00296155"/>
    <w:rsid w:val="00296227"/>
    <w:rsid w:val="002965E0"/>
    <w:rsid w:val="002966C4"/>
    <w:rsid w:val="002968AC"/>
    <w:rsid w:val="00296A85"/>
    <w:rsid w:val="00296E2A"/>
    <w:rsid w:val="00296F44"/>
    <w:rsid w:val="00297377"/>
    <w:rsid w:val="0029777D"/>
    <w:rsid w:val="002978C5"/>
    <w:rsid w:val="0029796F"/>
    <w:rsid w:val="00297C91"/>
    <w:rsid w:val="00297CDC"/>
    <w:rsid w:val="00297F0B"/>
    <w:rsid w:val="00297F8A"/>
    <w:rsid w:val="00297FBE"/>
    <w:rsid w:val="002A0089"/>
    <w:rsid w:val="002A00A1"/>
    <w:rsid w:val="002A055E"/>
    <w:rsid w:val="002A09DC"/>
    <w:rsid w:val="002A0A74"/>
    <w:rsid w:val="002A0AA3"/>
    <w:rsid w:val="002A0CD8"/>
    <w:rsid w:val="002A0E45"/>
    <w:rsid w:val="002A0EB3"/>
    <w:rsid w:val="002A1409"/>
    <w:rsid w:val="002A1516"/>
    <w:rsid w:val="002A16E4"/>
    <w:rsid w:val="002A17D3"/>
    <w:rsid w:val="002A181D"/>
    <w:rsid w:val="002A189A"/>
    <w:rsid w:val="002A18EE"/>
    <w:rsid w:val="002A1AFF"/>
    <w:rsid w:val="002A1C0D"/>
    <w:rsid w:val="002A1C50"/>
    <w:rsid w:val="002A1D4E"/>
    <w:rsid w:val="002A1DC7"/>
    <w:rsid w:val="002A1E3C"/>
    <w:rsid w:val="002A209A"/>
    <w:rsid w:val="002A2294"/>
    <w:rsid w:val="002A25C7"/>
    <w:rsid w:val="002A2869"/>
    <w:rsid w:val="002A2C31"/>
    <w:rsid w:val="002A2EC1"/>
    <w:rsid w:val="002A2F9F"/>
    <w:rsid w:val="002A3008"/>
    <w:rsid w:val="002A3024"/>
    <w:rsid w:val="002A33D5"/>
    <w:rsid w:val="002A38D2"/>
    <w:rsid w:val="002A3979"/>
    <w:rsid w:val="002A3AF4"/>
    <w:rsid w:val="002A3AFC"/>
    <w:rsid w:val="002A3DE1"/>
    <w:rsid w:val="002A3EE5"/>
    <w:rsid w:val="002A41ED"/>
    <w:rsid w:val="002A43F3"/>
    <w:rsid w:val="002A4706"/>
    <w:rsid w:val="002A4986"/>
    <w:rsid w:val="002A4A1C"/>
    <w:rsid w:val="002A4A29"/>
    <w:rsid w:val="002A4AC1"/>
    <w:rsid w:val="002A4E1A"/>
    <w:rsid w:val="002A4E7E"/>
    <w:rsid w:val="002A4F63"/>
    <w:rsid w:val="002A4FC5"/>
    <w:rsid w:val="002A5007"/>
    <w:rsid w:val="002A50D1"/>
    <w:rsid w:val="002A54CF"/>
    <w:rsid w:val="002A5581"/>
    <w:rsid w:val="002A5669"/>
    <w:rsid w:val="002A5732"/>
    <w:rsid w:val="002A57C6"/>
    <w:rsid w:val="002A58D3"/>
    <w:rsid w:val="002A59C0"/>
    <w:rsid w:val="002A59D7"/>
    <w:rsid w:val="002A5AC0"/>
    <w:rsid w:val="002A5CA8"/>
    <w:rsid w:val="002A5E21"/>
    <w:rsid w:val="002A5E4F"/>
    <w:rsid w:val="002A632F"/>
    <w:rsid w:val="002A6384"/>
    <w:rsid w:val="002A65D4"/>
    <w:rsid w:val="002A6868"/>
    <w:rsid w:val="002A6D41"/>
    <w:rsid w:val="002A6EDA"/>
    <w:rsid w:val="002A6FA0"/>
    <w:rsid w:val="002A7181"/>
    <w:rsid w:val="002A74FF"/>
    <w:rsid w:val="002A7916"/>
    <w:rsid w:val="002A7ADF"/>
    <w:rsid w:val="002A7C6C"/>
    <w:rsid w:val="002A7DE3"/>
    <w:rsid w:val="002A7E46"/>
    <w:rsid w:val="002A7E8A"/>
    <w:rsid w:val="002A7FE6"/>
    <w:rsid w:val="002A7FFC"/>
    <w:rsid w:val="002B0121"/>
    <w:rsid w:val="002B01C9"/>
    <w:rsid w:val="002B041E"/>
    <w:rsid w:val="002B04A8"/>
    <w:rsid w:val="002B04BC"/>
    <w:rsid w:val="002B0628"/>
    <w:rsid w:val="002B0964"/>
    <w:rsid w:val="002B0DF5"/>
    <w:rsid w:val="002B0DFD"/>
    <w:rsid w:val="002B0EC4"/>
    <w:rsid w:val="002B0EEF"/>
    <w:rsid w:val="002B129F"/>
    <w:rsid w:val="002B1500"/>
    <w:rsid w:val="002B164A"/>
    <w:rsid w:val="002B1A9D"/>
    <w:rsid w:val="002B1AED"/>
    <w:rsid w:val="002B1B69"/>
    <w:rsid w:val="002B22DE"/>
    <w:rsid w:val="002B23B7"/>
    <w:rsid w:val="002B23D3"/>
    <w:rsid w:val="002B241F"/>
    <w:rsid w:val="002B2483"/>
    <w:rsid w:val="002B24D6"/>
    <w:rsid w:val="002B27A0"/>
    <w:rsid w:val="002B285B"/>
    <w:rsid w:val="002B2A1A"/>
    <w:rsid w:val="002B2B0A"/>
    <w:rsid w:val="002B2B5B"/>
    <w:rsid w:val="002B2B96"/>
    <w:rsid w:val="002B2C56"/>
    <w:rsid w:val="002B2D33"/>
    <w:rsid w:val="002B2D96"/>
    <w:rsid w:val="002B2FCF"/>
    <w:rsid w:val="002B3129"/>
    <w:rsid w:val="002B3180"/>
    <w:rsid w:val="002B3623"/>
    <w:rsid w:val="002B3779"/>
    <w:rsid w:val="002B39AE"/>
    <w:rsid w:val="002B3AB8"/>
    <w:rsid w:val="002B3BD9"/>
    <w:rsid w:val="002B3E7B"/>
    <w:rsid w:val="002B3F98"/>
    <w:rsid w:val="002B40B2"/>
    <w:rsid w:val="002B4351"/>
    <w:rsid w:val="002B450E"/>
    <w:rsid w:val="002B4572"/>
    <w:rsid w:val="002B4747"/>
    <w:rsid w:val="002B4777"/>
    <w:rsid w:val="002B47CE"/>
    <w:rsid w:val="002B4914"/>
    <w:rsid w:val="002B4A2D"/>
    <w:rsid w:val="002B4B66"/>
    <w:rsid w:val="002B4EA2"/>
    <w:rsid w:val="002B502E"/>
    <w:rsid w:val="002B550B"/>
    <w:rsid w:val="002B58F9"/>
    <w:rsid w:val="002B5F5B"/>
    <w:rsid w:val="002B62F7"/>
    <w:rsid w:val="002B65AA"/>
    <w:rsid w:val="002B6658"/>
    <w:rsid w:val="002B66D3"/>
    <w:rsid w:val="002B6833"/>
    <w:rsid w:val="002B68E1"/>
    <w:rsid w:val="002B6929"/>
    <w:rsid w:val="002B6E74"/>
    <w:rsid w:val="002B6FC9"/>
    <w:rsid w:val="002B704A"/>
    <w:rsid w:val="002B7270"/>
    <w:rsid w:val="002B73FA"/>
    <w:rsid w:val="002B7DC9"/>
    <w:rsid w:val="002B7E30"/>
    <w:rsid w:val="002C0451"/>
    <w:rsid w:val="002C050E"/>
    <w:rsid w:val="002C0929"/>
    <w:rsid w:val="002C0A2A"/>
    <w:rsid w:val="002C0C78"/>
    <w:rsid w:val="002C0CBC"/>
    <w:rsid w:val="002C0CD5"/>
    <w:rsid w:val="002C0DC3"/>
    <w:rsid w:val="002C0F1D"/>
    <w:rsid w:val="002C0FF4"/>
    <w:rsid w:val="002C1254"/>
    <w:rsid w:val="002C1272"/>
    <w:rsid w:val="002C1445"/>
    <w:rsid w:val="002C14E6"/>
    <w:rsid w:val="002C158C"/>
    <w:rsid w:val="002C181D"/>
    <w:rsid w:val="002C1993"/>
    <w:rsid w:val="002C1A6E"/>
    <w:rsid w:val="002C1DAE"/>
    <w:rsid w:val="002C1F19"/>
    <w:rsid w:val="002C2006"/>
    <w:rsid w:val="002C21F0"/>
    <w:rsid w:val="002C2212"/>
    <w:rsid w:val="002C257E"/>
    <w:rsid w:val="002C25BD"/>
    <w:rsid w:val="002C278C"/>
    <w:rsid w:val="002C27F9"/>
    <w:rsid w:val="002C284A"/>
    <w:rsid w:val="002C287A"/>
    <w:rsid w:val="002C291A"/>
    <w:rsid w:val="002C2F05"/>
    <w:rsid w:val="002C2FC8"/>
    <w:rsid w:val="002C30B3"/>
    <w:rsid w:val="002C3181"/>
    <w:rsid w:val="002C33D9"/>
    <w:rsid w:val="002C34AE"/>
    <w:rsid w:val="002C36C9"/>
    <w:rsid w:val="002C3928"/>
    <w:rsid w:val="002C3B1C"/>
    <w:rsid w:val="002C3C73"/>
    <w:rsid w:val="002C3CA6"/>
    <w:rsid w:val="002C41E6"/>
    <w:rsid w:val="002C4341"/>
    <w:rsid w:val="002C4568"/>
    <w:rsid w:val="002C4637"/>
    <w:rsid w:val="002C465D"/>
    <w:rsid w:val="002C4685"/>
    <w:rsid w:val="002C48A3"/>
    <w:rsid w:val="002C4943"/>
    <w:rsid w:val="002C495A"/>
    <w:rsid w:val="002C4A3D"/>
    <w:rsid w:val="002C4A51"/>
    <w:rsid w:val="002C4C95"/>
    <w:rsid w:val="002C4E72"/>
    <w:rsid w:val="002C50E6"/>
    <w:rsid w:val="002C51F6"/>
    <w:rsid w:val="002C5281"/>
    <w:rsid w:val="002C52A1"/>
    <w:rsid w:val="002C55E6"/>
    <w:rsid w:val="002C571C"/>
    <w:rsid w:val="002C5D5B"/>
    <w:rsid w:val="002C6501"/>
    <w:rsid w:val="002C654E"/>
    <w:rsid w:val="002C664E"/>
    <w:rsid w:val="002C66CD"/>
    <w:rsid w:val="002C688F"/>
    <w:rsid w:val="002C6AA1"/>
    <w:rsid w:val="002C6B16"/>
    <w:rsid w:val="002C6BA1"/>
    <w:rsid w:val="002C6D4A"/>
    <w:rsid w:val="002C6E01"/>
    <w:rsid w:val="002C6EB1"/>
    <w:rsid w:val="002C6EDB"/>
    <w:rsid w:val="002C729D"/>
    <w:rsid w:val="002C72C1"/>
    <w:rsid w:val="002C7531"/>
    <w:rsid w:val="002D0011"/>
    <w:rsid w:val="002D0108"/>
    <w:rsid w:val="002D0223"/>
    <w:rsid w:val="002D0244"/>
    <w:rsid w:val="002D05B9"/>
    <w:rsid w:val="002D071A"/>
    <w:rsid w:val="002D0797"/>
    <w:rsid w:val="002D0BB1"/>
    <w:rsid w:val="002D0E51"/>
    <w:rsid w:val="002D1128"/>
    <w:rsid w:val="002D1142"/>
    <w:rsid w:val="002D14DA"/>
    <w:rsid w:val="002D1505"/>
    <w:rsid w:val="002D1521"/>
    <w:rsid w:val="002D1523"/>
    <w:rsid w:val="002D156C"/>
    <w:rsid w:val="002D1808"/>
    <w:rsid w:val="002D1994"/>
    <w:rsid w:val="002D19C5"/>
    <w:rsid w:val="002D1A43"/>
    <w:rsid w:val="002D1F50"/>
    <w:rsid w:val="002D1FB0"/>
    <w:rsid w:val="002D231D"/>
    <w:rsid w:val="002D2659"/>
    <w:rsid w:val="002D266F"/>
    <w:rsid w:val="002D297C"/>
    <w:rsid w:val="002D29B0"/>
    <w:rsid w:val="002D2ACD"/>
    <w:rsid w:val="002D2D5F"/>
    <w:rsid w:val="002D2E3F"/>
    <w:rsid w:val="002D2F4A"/>
    <w:rsid w:val="002D2FA6"/>
    <w:rsid w:val="002D3091"/>
    <w:rsid w:val="002D31D8"/>
    <w:rsid w:val="002D3205"/>
    <w:rsid w:val="002D3207"/>
    <w:rsid w:val="002D34B2"/>
    <w:rsid w:val="002D3544"/>
    <w:rsid w:val="002D3645"/>
    <w:rsid w:val="002D3848"/>
    <w:rsid w:val="002D3879"/>
    <w:rsid w:val="002D3D13"/>
    <w:rsid w:val="002D3F2B"/>
    <w:rsid w:val="002D437D"/>
    <w:rsid w:val="002D4521"/>
    <w:rsid w:val="002D48B0"/>
    <w:rsid w:val="002D4DE4"/>
    <w:rsid w:val="002D51B2"/>
    <w:rsid w:val="002D52B3"/>
    <w:rsid w:val="002D52B7"/>
    <w:rsid w:val="002D52FB"/>
    <w:rsid w:val="002D5306"/>
    <w:rsid w:val="002D56D2"/>
    <w:rsid w:val="002D57D3"/>
    <w:rsid w:val="002D5912"/>
    <w:rsid w:val="002D5AC9"/>
    <w:rsid w:val="002D5B37"/>
    <w:rsid w:val="002D5C18"/>
    <w:rsid w:val="002D5C90"/>
    <w:rsid w:val="002D5F18"/>
    <w:rsid w:val="002D6078"/>
    <w:rsid w:val="002D6564"/>
    <w:rsid w:val="002D66D5"/>
    <w:rsid w:val="002D6794"/>
    <w:rsid w:val="002D68F6"/>
    <w:rsid w:val="002D696B"/>
    <w:rsid w:val="002D6B34"/>
    <w:rsid w:val="002D6CC6"/>
    <w:rsid w:val="002D6EAC"/>
    <w:rsid w:val="002D7071"/>
    <w:rsid w:val="002D7218"/>
    <w:rsid w:val="002D726E"/>
    <w:rsid w:val="002D7590"/>
    <w:rsid w:val="002D7637"/>
    <w:rsid w:val="002D78BF"/>
    <w:rsid w:val="002D7AEA"/>
    <w:rsid w:val="002D7CCF"/>
    <w:rsid w:val="002D7D0A"/>
    <w:rsid w:val="002D7D8F"/>
    <w:rsid w:val="002D7DA6"/>
    <w:rsid w:val="002E02B2"/>
    <w:rsid w:val="002E0F18"/>
    <w:rsid w:val="002E0FB5"/>
    <w:rsid w:val="002E141A"/>
    <w:rsid w:val="002E1507"/>
    <w:rsid w:val="002E17C9"/>
    <w:rsid w:val="002E17F2"/>
    <w:rsid w:val="002E1A8B"/>
    <w:rsid w:val="002E1AEB"/>
    <w:rsid w:val="002E1FAC"/>
    <w:rsid w:val="002E2054"/>
    <w:rsid w:val="002E2180"/>
    <w:rsid w:val="002E2645"/>
    <w:rsid w:val="002E2BA3"/>
    <w:rsid w:val="002E2F1B"/>
    <w:rsid w:val="002E2F95"/>
    <w:rsid w:val="002E3408"/>
    <w:rsid w:val="002E34A3"/>
    <w:rsid w:val="002E34D2"/>
    <w:rsid w:val="002E36E9"/>
    <w:rsid w:val="002E3AD6"/>
    <w:rsid w:val="002E3C45"/>
    <w:rsid w:val="002E3D12"/>
    <w:rsid w:val="002E3D8F"/>
    <w:rsid w:val="002E3FDF"/>
    <w:rsid w:val="002E409D"/>
    <w:rsid w:val="002E4115"/>
    <w:rsid w:val="002E43B7"/>
    <w:rsid w:val="002E4406"/>
    <w:rsid w:val="002E45C7"/>
    <w:rsid w:val="002E479C"/>
    <w:rsid w:val="002E4A5E"/>
    <w:rsid w:val="002E4A89"/>
    <w:rsid w:val="002E4A93"/>
    <w:rsid w:val="002E4DC9"/>
    <w:rsid w:val="002E4E53"/>
    <w:rsid w:val="002E5195"/>
    <w:rsid w:val="002E5298"/>
    <w:rsid w:val="002E530D"/>
    <w:rsid w:val="002E5508"/>
    <w:rsid w:val="002E559E"/>
    <w:rsid w:val="002E55A5"/>
    <w:rsid w:val="002E571F"/>
    <w:rsid w:val="002E5888"/>
    <w:rsid w:val="002E5900"/>
    <w:rsid w:val="002E59ED"/>
    <w:rsid w:val="002E5A67"/>
    <w:rsid w:val="002E5D04"/>
    <w:rsid w:val="002E5E97"/>
    <w:rsid w:val="002E5EEF"/>
    <w:rsid w:val="002E5F9E"/>
    <w:rsid w:val="002E6135"/>
    <w:rsid w:val="002E62F9"/>
    <w:rsid w:val="002E6351"/>
    <w:rsid w:val="002E6724"/>
    <w:rsid w:val="002E6A20"/>
    <w:rsid w:val="002E6C3C"/>
    <w:rsid w:val="002E6EB0"/>
    <w:rsid w:val="002E6F76"/>
    <w:rsid w:val="002E711D"/>
    <w:rsid w:val="002E721B"/>
    <w:rsid w:val="002E7336"/>
    <w:rsid w:val="002E735F"/>
    <w:rsid w:val="002E73D2"/>
    <w:rsid w:val="002E7486"/>
    <w:rsid w:val="002E77D5"/>
    <w:rsid w:val="002E79CB"/>
    <w:rsid w:val="002E7CAE"/>
    <w:rsid w:val="002E7E2C"/>
    <w:rsid w:val="002F011B"/>
    <w:rsid w:val="002F01BF"/>
    <w:rsid w:val="002F055A"/>
    <w:rsid w:val="002F0624"/>
    <w:rsid w:val="002F06E9"/>
    <w:rsid w:val="002F0B00"/>
    <w:rsid w:val="002F0E62"/>
    <w:rsid w:val="002F1168"/>
    <w:rsid w:val="002F11AE"/>
    <w:rsid w:val="002F1236"/>
    <w:rsid w:val="002F132E"/>
    <w:rsid w:val="002F1742"/>
    <w:rsid w:val="002F1A3A"/>
    <w:rsid w:val="002F1DC4"/>
    <w:rsid w:val="002F1F68"/>
    <w:rsid w:val="002F206E"/>
    <w:rsid w:val="002F21B7"/>
    <w:rsid w:val="002F22B4"/>
    <w:rsid w:val="002F231C"/>
    <w:rsid w:val="002F23ED"/>
    <w:rsid w:val="002F248F"/>
    <w:rsid w:val="002F2771"/>
    <w:rsid w:val="002F2857"/>
    <w:rsid w:val="002F2864"/>
    <w:rsid w:val="002F29D5"/>
    <w:rsid w:val="002F2EE1"/>
    <w:rsid w:val="002F2F4E"/>
    <w:rsid w:val="002F30C4"/>
    <w:rsid w:val="002F31F3"/>
    <w:rsid w:val="002F3596"/>
    <w:rsid w:val="002F36BB"/>
    <w:rsid w:val="002F37A9"/>
    <w:rsid w:val="002F3814"/>
    <w:rsid w:val="002F3979"/>
    <w:rsid w:val="002F3CA7"/>
    <w:rsid w:val="002F3DE6"/>
    <w:rsid w:val="002F3EBB"/>
    <w:rsid w:val="002F431D"/>
    <w:rsid w:val="002F435E"/>
    <w:rsid w:val="002F48EE"/>
    <w:rsid w:val="002F4ACA"/>
    <w:rsid w:val="002F4D5D"/>
    <w:rsid w:val="002F4EF0"/>
    <w:rsid w:val="002F524E"/>
    <w:rsid w:val="002F5444"/>
    <w:rsid w:val="002F5445"/>
    <w:rsid w:val="002F5651"/>
    <w:rsid w:val="002F5701"/>
    <w:rsid w:val="002F5999"/>
    <w:rsid w:val="002F5BE8"/>
    <w:rsid w:val="002F5FF3"/>
    <w:rsid w:val="002F60B4"/>
    <w:rsid w:val="002F6140"/>
    <w:rsid w:val="002F62DC"/>
    <w:rsid w:val="002F67A7"/>
    <w:rsid w:val="002F6B6F"/>
    <w:rsid w:val="002F6F66"/>
    <w:rsid w:val="002F79AE"/>
    <w:rsid w:val="002F7DD6"/>
    <w:rsid w:val="00300205"/>
    <w:rsid w:val="003002A8"/>
    <w:rsid w:val="00300794"/>
    <w:rsid w:val="003008FC"/>
    <w:rsid w:val="0030093C"/>
    <w:rsid w:val="00300C42"/>
    <w:rsid w:val="00300D86"/>
    <w:rsid w:val="00300DEF"/>
    <w:rsid w:val="00301015"/>
    <w:rsid w:val="003011E1"/>
    <w:rsid w:val="00301259"/>
    <w:rsid w:val="0030169D"/>
    <w:rsid w:val="00301B57"/>
    <w:rsid w:val="00301CE6"/>
    <w:rsid w:val="00301DFD"/>
    <w:rsid w:val="003022CC"/>
    <w:rsid w:val="0030256B"/>
    <w:rsid w:val="00302638"/>
    <w:rsid w:val="003026AA"/>
    <w:rsid w:val="003029FB"/>
    <w:rsid w:val="00302A36"/>
    <w:rsid w:val="00302BA3"/>
    <w:rsid w:val="00302DA9"/>
    <w:rsid w:val="00302EBE"/>
    <w:rsid w:val="00302F65"/>
    <w:rsid w:val="0030305B"/>
    <w:rsid w:val="0030334C"/>
    <w:rsid w:val="00303551"/>
    <w:rsid w:val="00303704"/>
    <w:rsid w:val="00303740"/>
    <w:rsid w:val="003039C9"/>
    <w:rsid w:val="00303A93"/>
    <w:rsid w:val="00303B61"/>
    <w:rsid w:val="00303CAD"/>
    <w:rsid w:val="0030474F"/>
    <w:rsid w:val="003047D6"/>
    <w:rsid w:val="00304957"/>
    <w:rsid w:val="00304A49"/>
    <w:rsid w:val="00304A53"/>
    <w:rsid w:val="0030501F"/>
    <w:rsid w:val="003051C0"/>
    <w:rsid w:val="003051DB"/>
    <w:rsid w:val="0030561B"/>
    <w:rsid w:val="0030569A"/>
    <w:rsid w:val="003056DE"/>
    <w:rsid w:val="00305864"/>
    <w:rsid w:val="00305BD4"/>
    <w:rsid w:val="00305EF9"/>
    <w:rsid w:val="00305EFC"/>
    <w:rsid w:val="00305F7A"/>
    <w:rsid w:val="00305FEC"/>
    <w:rsid w:val="00306013"/>
    <w:rsid w:val="003063C5"/>
    <w:rsid w:val="0030648C"/>
    <w:rsid w:val="003068D6"/>
    <w:rsid w:val="00306980"/>
    <w:rsid w:val="00306A4F"/>
    <w:rsid w:val="00306B9F"/>
    <w:rsid w:val="00306BC2"/>
    <w:rsid w:val="00306DC1"/>
    <w:rsid w:val="00306DE7"/>
    <w:rsid w:val="00306F0D"/>
    <w:rsid w:val="003071C9"/>
    <w:rsid w:val="00307384"/>
    <w:rsid w:val="003074CA"/>
    <w:rsid w:val="0030769E"/>
    <w:rsid w:val="00307735"/>
    <w:rsid w:val="003079DB"/>
    <w:rsid w:val="00307A0B"/>
    <w:rsid w:val="00307BA1"/>
    <w:rsid w:val="00307FD2"/>
    <w:rsid w:val="003101B3"/>
    <w:rsid w:val="00310317"/>
    <w:rsid w:val="003108CB"/>
    <w:rsid w:val="00310AA0"/>
    <w:rsid w:val="00310FEA"/>
    <w:rsid w:val="00311280"/>
    <w:rsid w:val="003112C0"/>
    <w:rsid w:val="0031134A"/>
    <w:rsid w:val="003113A4"/>
    <w:rsid w:val="00311702"/>
    <w:rsid w:val="00311A00"/>
    <w:rsid w:val="00311C48"/>
    <w:rsid w:val="00311D69"/>
    <w:rsid w:val="00311E82"/>
    <w:rsid w:val="00311F80"/>
    <w:rsid w:val="00311FE8"/>
    <w:rsid w:val="003124A7"/>
    <w:rsid w:val="00312748"/>
    <w:rsid w:val="0031288B"/>
    <w:rsid w:val="003129B3"/>
    <w:rsid w:val="00312D00"/>
    <w:rsid w:val="003131A8"/>
    <w:rsid w:val="003134A5"/>
    <w:rsid w:val="0031359F"/>
    <w:rsid w:val="00313EB0"/>
    <w:rsid w:val="00313F30"/>
    <w:rsid w:val="00313FD6"/>
    <w:rsid w:val="003140C9"/>
    <w:rsid w:val="00314215"/>
    <w:rsid w:val="003143BD"/>
    <w:rsid w:val="00314958"/>
    <w:rsid w:val="003149AB"/>
    <w:rsid w:val="00314AA4"/>
    <w:rsid w:val="00314B75"/>
    <w:rsid w:val="00314D80"/>
    <w:rsid w:val="00314E74"/>
    <w:rsid w:val="003152CA"/>
    <w:rsid w:val="00315363"/>
    <w:rsid w:val="00315411"/>
    <w:rsid w:val="003154B9"/>
    <w:rsid w:val="0031558E"/>
    <w:rsid w:val="0031581C"/>
    <w:rsid w:val="0031594E"/>
    <w:rsid w:val="00315CBB"/>
    <w:rsid w:val="00315D77"/>
    <w:rsid w:val="00315DA7"/>
    <w:rsid w:val="00316113"/>
    <w:rsid w:val="00316293"/>
    <w:rsid w:val="0031674C"/>
    <w:rsid w:val="00316852"/>
    <w:rsid w:val="00316863"/>
    <w:rsid w:val="0031686A"/>
    <w:rsid w:val="00316AC6"/>
    <w:rsid w:val="00316E42"/>
    <w:rsid w:val="003170A9"/>
    <w:rsid w:val="00317256"/>
    <w:rsid w:val="003175C2"/>
    <w:rsid w:val="003175DC"/>
    <w:rsid w:val="00317A33"/>
    <w:rsid w:val="00317B94"/>
    <w:rsid w:val="00317B96"/>
    <w:rsid w:val="00317FF4"/>
    <w:rsid w:val="00320062"/>
    <w:rsid w:val="0032007D"/>
    <w:rsid w:val="00320096"/>
    <w:rsid w:val="003203ED"/>
    <w:rsid w:val="003204D3"/>
    <w:rsid w:val="00320804"/>
    <w:rsid w:val="003208E4"/>
    <w:rsid w:val="00320C3D"/>
    <w:rsid w:val="00320D91"/>
    <w:rsid w:val="00321217"/>
    <w:rsid w:val="003213A0"/>
    <w:rsid w:val="003215B3"/>
    <w:rsid w:val="003216C2"/>
    <w:rsid w:val="003217C5"/>
    <w:rsid w:val="003217F2"/>
    <w:rsid w:val="0032184F"/>
    <w:rsid w:val="00321A03"/>
    <w:rsid w:val="00321BB3"/>
    <w:rsid w:val="00321C16"/>
    <w:rsid w:val="00321C5A"/>
    <w:rsid w:val="00321DBF"/>
    <w:rsid w:val="00321EA0"/>
    <w:rsid w:val="003220D9"/>
    <w:rsid w:val="00322311"/>
    <w:rsid w:val="00322635"/>
    <w:rsid w:val="003226FA"/>
    <w:rsid w:val="00322C9F"/>
    <w:rsid w:val="00322D61"/>
    <w:rsid w:val="00322E06"/>
    <w:rsid w:val="00322E45"/>
    <w:rsid w:val="00322E63"/>
    <w:rsid w:val="00322F16"/>
    <w:rsid w:val="0032324F"/>
    <w:rsid w:val="00323254"/>
    <w:rsid w:val="003234B2"/>
    <w:rsid w:val="003234E8"/>
    <w:rsid w:val="0032355F"/>
    <w:rsid w:val="0032360B"/>
    <w:rsid w:val="00323704"/>
    <w:rsid w:val="0032386F"/>
    <w:rsid w:val="00323C8B"/>
    <w:rsid w:val="00323D87"/>
    <w:rsid w:val="003240C4"/>
    <w:rsid w:val="003240C6"/>
    <w:rsid w:val="003244E2"/>
    <w:rsid w:val="00324626"/>
    <w:rsid w:val="0032489D"/>
    <w:rsid w:val="003249C1"/>
    <w:rsid w:val="00324ADA"/>
    <w:rsid w:val="00324CC2"/>
    <w:rsid w:val="00324D23"/>
    <w:rsid w:val="00324DF2"/>
    <w:rsid w:val="00324EB9"/>
    <w:rsid w:val="00324F29"/>
    <w:rsid w:val="003252D4"/>
    <w:rsid w:val="0032554F"/>
    <w:rsid w:val="003255AE"/>
    <w:rsid w:val="003257D3"/>
    <w:rsid w:val="0032584F"/>
    <w:rsid w:val="00325CCB"/>
    <w:rsid w:val="00325E6C"/>
    <w:rsid w:val="00325E6F"/>
    <w:rsid w:val="0032606A"/>
    <w:rsid w:val="00326917"/>
    <w:rsid w:val="00326951"/>
    <w:rsid w:val="00326AF6"/>
    <w:rsid w:val="00326C25"/>
    <w:rsid w:val="00326D79"/>
    <w:rsid w:val="0032708E"/>
    <w:rsid w:val="0032775F"/>
    <w:rsid w:val="00327873"/>
    <w:rsid w:val="003279C5"/>
    <w:rsid w:val="00327A54"/>
    <w:rsid w:val="00327A7D"/>
    <w:rsid w:val="00327E2B"/>
    <w:rsid w:val="00327E5B"/>
    <w:rsid w:val="00327ED6"/>
    <w:rsid w:val="003302CB"/>
    <w:rsid w:val="0033064A"/>
    <w:rsid w:val="003306B4"/>
    <w:rsid w:val="003309A2"/>
    <w:rsid w:val="00331002"/>
    <w:rsid w:val="00331115"/>
    <w:rsid w:val="00331325"/>
    <w:rsid w:val="003313F8"/>
    <w:rsid w:val="00331458"/>
    <w:rsid w:val="00331666"/>
    <w:rsid w:val="003316D7"/>
    <w:rsid w:val="00331751"/>
    <w:rsid w:val="003318A5"/>
    <w:rsid w:val="003319D5"/>
    <w:rsid w:val="00331C0A"/>
    <w:rsid w:val="00331C98"/>
    <w:rsid w:val="00331F37"/>
    <w:rsid w:val="003324CE"/>
    <w:rsid w:val="0033259C"/>
    <w:rsid w:val="003326E4"/>
    <w:rsid w:val="00332775"/>
    <w:rsid w:val="003327FE"/>
    <w:rsid w:val="00332865"/>
    <w:rsid w:val="003333EF"/>
    <w:rsid w:val="003334BF"/>
    <w:rsid w:val="003334EB"/>
    <w:rsid w:val="0033361D"/>
    <w:rsid w:val="003337AB"/>
    <w:rsid w:val="00333A69"/>
    <w:rsid w:val="00333AA1"/>
    <w:rsid w:val="00333D77"/>
    <w:rsid w:val="00334433"/>
    <w:rsid w:val="00334579"/>
    <w:rsid w:val="00334B86"/>
    <w:rsid w:val="00334C29"/>
    <w:rsid w:val="00334DC8"/>
    <w:rsid w:val="00334E63"/>
    <w:rsid w:val="00335094"/>
    <w:rsid w:val="00335410"/>
    <w:rsid w:val="00335484"/>
    <w:rsid w:val="00335554"/>
    <w:rsid w:val="0033574B"/>
    <w:rsid w:val="00335858"/>
    <w:rsid w:val="00335D76"/>
    <w:rsid w:val="00335DDC"/>
    <w:rsid w:val="00335E26"/>
    <w:rsid w:val="00335F5F"/>
    <w:rsid w:val="00335FB5"/>
    <w:rsid w:val="00336087"/>
    <w:rsid w:val="003363FD"/>
    <w:rsid w:val="003365D2"/>
    <w:rsid w:val="00336883"/>
    <w:rsid w:val="00336BDA"/>
    <w:rsid w:val="00336E56"/>
    <w:rsid w:val="00336EAB"/>
    <w:rsid w:val="00337373"/>
    <w:rsid w:val="00337478"/>
    <w:rsid w:val="003374DC"/>
    <w:rsid w:val="00337775"/>
    <w:rsid w:val="00337778"/>
    <w:rsid w:val="003377A8"/>
    <w:rsid w:val="003378A8"/>
    <w:rsid w:val="00337A38"/>
    <w:rsid w:val="00337C3E"/>
    <w:rsid w:val="00337D21"/>
    <w:rsid w:val="00337DE6"/>
    <w:rsid w:val="00337F3F"/>
    <w:rsid w:val="00340014"/>
    <w:rsid w:val="00340103"/>
    <w:rsid w:val="00340174"/>
    <w:rsid w:val="00340347"/>
    <w:rsid w:val="0034037F"/>
    <w:rsid w:val="00340575"/>
    <w:rsid w:val="003405D1"/>
    <w:rsid w:val="0034076A"/>
    <w:rsid w:val="00340833"/>
    <w:rsid w:val="0034088C"/>
    <w:rsid w:val="00340E85"/>
    <w:rsid w:val="00341265"/>
    <w:rsid w:val="00341377"/>
    <w:rsid w:val="0034172D"/>
    <w:rsid w:val="003418B9"/>
    <w:rsid w:val="00341B65"/>
    <w:rsid w:val="00341B98"/>
    <w:rsid w:val="00341C96"/>
    <w:rsid w:val="00341DA3"/>
    <w:rsid w:val="00341E6A"/>
    <w:rsid w:val="00341EE1"/>
    <w:rsid w:val="00341FB4"/>
    <w:rsid w:val="003424F4"/>
    <w:rsid w:val="003426DF"/>
    <w:rsid w:val="00342828"/>
    <w:rsid w:val="00342AFE"/>
    <w:rsid w:val="00342B91"/>
    <w:rsid w:val="00342BD7"/>
    <w:rsid w:val="00342CEB"/>
    <w:rsid w:val="00342D27"/>
    <w:rsid w:val="00342F06"/>
    <w:rsid w:val="00343346"/>
    <w:rsid w:val="00343814"/>
    <w:rsid w:val="003438B7"/>
    <w:rsid w:val="00343CEC"/>
    <w:rsid w:val="00344522"/>
    <w:rsid w:val="00344762"/>
    <w:rsid w:val="00344A0A"/>
    <w:rsid w:val="00344DE9"/>
    <w:rsid w:val="00344EC1"/>
    <w:rsid w:val="00345062"/>
    <w:rsid w:val="00345070"/>
    <w:rsid w:val="003453D5"/>
    <w:rsid w:val="0034560B"/>
    <w:rsid w:val="003456CC"/>
    <w:rsid w:val="003458AF"/>
    <w:rsid w:val="00345924"/>
    <w:rsid w:val="00345981"/>
    <w:rsid w:val="00345BE5"/>
    <w:rsid w:val="00345CC4"/>
    <w:rsid w:val="00346221"/>
    <w:rsid w:val="00346424"/>
    <w:rsid w:val="00346976"/>
    <w:rsid w:val="00346DB5"/>
    <w:rsid w:val="00346F67"/>
    <w:rsid w:val="003470D6"/>
    <w:rsid w:val="003470E8"/>
    <w:rsid w:val="00347104"/>
    <w:rsid w:val="00347617"/>
    <w:rsid w:val="00347683"/>
    <w:rsid w:val="003476CC"/>
    <w:rsid w:val="003477B1"/>
    <w:rsid w:val="0034787A"/>
    <w:rsid w:val="003478F9"/>
    <w:rsid w:val="00347AE6"/>
    <w:rsid w:val="00347EE6"/>
    <w:rsid w:val="00347FE0"/>
    <w:rsid w:val="00350144"/>
    <w:rsid w:val="003501D4"/>
    <w:rsid w:val="0035031F"/>
    <w:rsid w:val="00350936"/>
    <w:rsid w:val="00350AAE"/>
    <w:rsid w:val="00350AEC"/>
    <w:rsid w:val="00350B33"/>
    <w:rsid w:val="00350C15"/>
    <w:rsid w:val="00350E26"/>
    <w:rsid w:val="00350EA0"/>
    <w:rsid w:val="00350FC3"/>
    <w:rsid w:val="00351104"/>
    <w:rsid w:val="00351170"/>
    <w:rsid w:val="003511D5"/>
    <w:rsid w:val="0035129C"/>
    <w:rsid w:val="00351800"/>
    <w:rsid w:val="00352422"/>
    <w:rsid w:val="0035246F"/>
    <w:rsid w:val="00352B6C"/>
    <w:rsid w:val="00352C87"/>
    <w:rsid w:val="00352F97"/>
    <w:rsid w:val="00352FA3"/>
    <w:rsid w:val="003531A7"/>
    <w:rsid w:val="00353495"/>
    <w:rsid w:val="003537B5"/>
    <w:rsid w:val="00353B08"/>
    <w:rsid w:val="00353D97"/>
    <w:rsid w:val="00353FA4"/>
    <w:rsid w:val="00353FBA"/>
    <w:rsid w:val="00354085"/>
    <w:rsid w:val="0035415D"/>
    <w:rsid w:val="003542F3"/>
    <w:rsid w:val="003546FE"/>
    <w:rsid w:val="00354B31"/>
    <w:rsid w:val="00354EC7"/>
    <w:rsid w:val="003551AC"/>
    <w:rsid w:val="0035529B"/>
    <w:rsid w:val="003552AA"/>
    <w:rsid w:val="003554DD"/>
    <w:rsid w:val="0035560F"/>
    <w:rsid w:val="0035588E"/>
    <w:rsid w:val="003558E8"/>
    <w:rsid w:val="00355B88"/>
    <w:rsid w:val="00356160"/>
    <w:rsid w:val="003562B1"/>
    <w:rsid w:val="0035675A"/>
    <w:rsid w:val="0035689E"/>
    <w:rsid w:val="0035692A"/>
    <w:rsid w:val="00356948"/>
    <w:rsid w:val="00356964"/>
    <w:rsid w:val="0035698B"/>
    <w:rsid w:val="00356A85"/>
    <w:rsid w:val="00356B47"/>
    <w:rsid w:val="00356CEC"/>
    <w:rsid w:val="00357380"/>
    <w:rsid w:val="00357396"/>
    <w:rsid w:val="00357833"/>
    <w:rsid w:val="00357C0B"/>
    <w:rsid w:val="00357C13"/>
    <w:rsid w:val="00357C92"/>
    <w:rsid w:val="00357DE1"/>
    <w:rsid w:val="00360256"/>
    <w:rsid w:val="003602C9"/>
    <w:rsid w:val="003602D9"/>
    <w:rsid w:val="003604CE"/>
    <w:rsid w:val="00360528"/>
    <w:rsid w:val="00360599"/>
    <w:rsid w:val="003605CA"/>
    <w:rsid w:val="003605F8"/>
    <w:rsid w:val="00360698"/>
    <w:rsid w:val="0036078A"/>
    <w:rsid w:val="00360810"/>
    <w:rsid w:val="0036094E"/>
    <w:rsid w:val="00360BB7"/>
    <w:rsid w:val="00360C6C"/>
    <w:rsid w:val="003611DD"/>
    <w:rsid w:val="003611FF"/>
    <w:rsid w:val="003612F4"/>
    <w:rsid w:val="003613B1"/>
    <w:rsid w:val="003618DD"/>
    <w:rsid w:val="00361A5E"/>
    <w:rsid w:val="00361ADF"/>
    <w:rsid w:val="00361D1E"/>
    <w:rsid w:val="00361D75"/>
    <w:rsid w:val="00361DBF"/>
    <w:rsid w:val="0036206E"/>
    <w:rsid w:val="0036250F"/>
    <w:rsid w:val="00362752"/>
    <w:rsid w:val="00362C1E"/>
    <w:rsid w:val="00362F09"/>
    <w:rsid w:val="00362FB2"/>
    <w:rsid w:val="003630A4"/>
    <w:rsid w:val="0036335F"/>
    <w:rsid w:val="0036352A"/>
    <w:rsid w:val="00363552"/>
    <w:rsid w:val="0036364D"/>
    <w:rsid w:val="003637D8"/>
    <w:rsid w:val="00363A13"/>
    <w:rsid w:val="00363B9A"/>
    <w:rsid w:val="00363CC4"/>
    <w:rsid w:val="00363D30"/>
    <w:rsid w:val="00363EA7"/>
    <w:rsid w:val="00363F8C"/>
    <w:rsid w:val="003641B4"/>
    <w:rsid w:val="00364605"/>
    <w:rsid w:val="003646F4"/>
    <w:rsid w:val="00364BB0"/>
    <w:rsid w:val="00364EF9"/>
    <w:rsid w:val="00364F9A"/>
    <w:rsid w:val="0036532A"/>
    <w:rsid w:val="003653E0"/>
    <w:rsid w:val="0036544F"/>
    <w:rsid w:val="00365680"/>
    <w:rsid w:val="00365696"/>
    <w:rsid w:val="003658CF"/>
    <w:rsid w:val="00365A2B"/>
    <w:rsid w:val="00365B4D"/>
    <w:rsid w:val="00365B95"/>
    <w:rsid w:val="00365D01"/>
    <w:rsid w:val="00365DFB"/>
    <w:rsid w:val="00365EC1"/>
    <w:rsid w:val="00366144"/>
    <w:rsid w:val="003663CC"/>
    <w:rsid w:val="003663F4"/>
    <w:rsid w:val="00366598"/>
    <w:rsid w:val="003665BB"/>
    <w:rsid w:val="00366887"/>
    <w:rsid w:val="00366A06"/>
    <w:rsid w:val="00366D21"/>
    <w:rsid w:val="00366EB4"/>
    <w:rsid w:val="00367130"/>
    <w:rsid w:val="0036714A"/>
    <w:rsid w:val="00367303"/>
    <w:rsid w:val="0036744A"/>
    <w:rsid w:val="00367536"/>
    <w:rsid w:val="0036774D"/>
    <w:rsid w:val="00367A5D"/>
    <w:rsid w:val="00367B0D"/>
    <w:rsid w:val="00367BDB"/>
    <w:rsid w:val="00367C65"/>
    <w:rsid w:val="00367F75"/>
    <w:rsid w:val="00370065"/>
    <w:rsid w:val="00370068"/>
    <w:rsid w:val="0037006E"/>
    <w:rsid w:val="00370399"/>
    <w:rsid w:val="0037048F"/>
    <w:rsid w:val="003704EA"/>
    <w:rsid w:val="00370767"/>
    <w:rsid w:val="00370A63"/>
    <w:rsid w:val="00370BF1"/>
    <w:rsid w:val="00370D6F"/>
    <w:rsid w:val="00370E47"/>
    <w:rsid w:val="00371378"/>
    <w:rsid w:val="003713EC"/>
    <w:rsid w:val="0037183E"/>
    <w:rsid w:val="003718C5"/>
    <w:rsid w:val="00371A90"/>
    <w:rsid w:val="00371EC0"/>
    <w:rsid w:val="0037209C"/>
    <w:rsid w:val="003720CA"/>
    <w:rsid w:val="003723B7"/>
    <w:rsid w:val="003728F7"/>
    <w:rsid w:val="0037298B"/>
    <w:rsid w:val="00372D01"/>
    <w:rsid w:val="00372F97"/>
    <w:rsid w:val="0037333A"/>
    <w:rsid w:val="00373428"/>
    <w:rsid w:val="00373430"/>
    <w:rsid w:val="00373705"/>
    <w:rsid w:val="003737A7"/>
    <w:rsid w:val="00373C0E"/>
    <w:rsid w:val="00373E9B"/>
    <w:rsid w:val="00374034"/>
    <w:rsid w:val="003742AC"/>
    <w:rsid w:val="00374522"/>
    <w:rsid w:val="003746AA"/>
    <w:rsid w:val="003749B1"/>
    <w:rsid w:val="00374B12"/>
    <w:rsid w:val="00374BC4"/>
    <w:rsid w:val="00374E34"/>
    <w:rsid w:val="003758BA"/>
    <w:rsid w:val="003758CB"/>
    <w:rsid w:val="0037590B"/>
    <w:rsid w:val="00375910"/>
    <w:rsid w:val="003759A0"/>
    <w:rsid w:val="00375CE8"/>
    <w:rsid w:val="00375E9E"/>
    <w:rsid w:val="00376843"/>
    <w:rsid w:val="00376846"/>
    <w:rsid w:val="00376BEA"/>
    <w:rsid w:val="00376C6A"/>
    <w:rsid w:val="00376F43"/>
    <w:rsid w:val="003770E2"/>
    <w:rsid w:val="003777D2"/>
    <w:rsid w:val="00377C6C"/>
    <w:rsid w:val="00377CE1"/>
    <w:rsid w:val="00377D22"/>
    <w:rsid w:val="00377E7C"/>
    <w:rsid w:val="003802FC"/>
    <w:rsid w:val="00380314"/>
    <w:rsid w:val="00380341"/>
    <w:rsid w:val="00380409"/>
    <w:rsid w:val="00380782"/>
    <w:rsid w:val="0038088B"/>
    <w:rsid w:val="00380EE5"/>
    <w:rsid w:val="00380F15"/>
    <w:rsid w:val="00380F93"/>
    <w:rsid w:val="00381020"/>
    <w:rsid w:val="003811DF"/>
    <w:rsid w:val="003813AD"/>
    <w:rsid w:val="003814E3"/>
    <w:rsid w:val="003814F5"/>
    <w:rsid w:val="00381505"/>
    <w:rsid w:val="0038156E"/>
    <w:rsid w:val="003819C2"/>
    <w:rsid w:val="00381A60"/>
    <w:rsid w:val="00381AEA"/>
    <w:rsid w:val="00381B77"/>
    <w:rsid w:val="00381BA9"/>
    <w:rsid w:val="00381BBA"/>
    <w:rsid w:val="00381FEB"/>
    <w:rsid w:val="00382028"/>
    <w:rsid w:val="003820CE"/>
    <w:rsid w:val="0038211B"/>
    <w:rsid w:val="00382386"/>
    <w:rsid w:val="00382929"/>
    <w:rsid w:val="003829DB"/>
    <w:rsid w:val="00382A23"/>
    <w:rsid w:val="00382A26"/>
    <w:rsid w:val="00382A32"/>
    <w:rsid w:val="00382C52"/>
    <w:rsid w:val="00382D16"/>
    <w:rsid w:val="00382E75"/>
    <w:rsid w:val="00382FA5"/>
    <w:rsid w:val="003831DE"/>
    <w:rsid w:val="00383257"/>
    <w:rsid w:val="003833CA"/>
    <w:rsid w:val="00383E62"/>
    <w:rsid w:val="00383FE7"/>
    <w:rsid w:val="00384020"/>
    <w:rsid w:val="0038419B"/>
    <w:rsid w:val="003843D9"/>
    <w:rsid w:val="00384413"/>
    <w:rsid w:val="003844A0"/>
    <w:rsid w:val="00384523"/>
    <w:rsid w:val="00384589"/>
    <w:rsid w:val="00384B1D"/>
    <w:rsid w:val="00384B9D"/>
    <w:rsid w:val="00384D77"/>
    <w:rsid w:val="00385286"/>
    <w:rsid w:val="0038529E"/>
    <w:rsid w:val="00385539"/>
    <w:rsid w:val="00385995"/>
    <w:rsid w:val="003859DE"/>
    <w:rsid w:val="00385B7B"/>
    <w:rsid w:val="00385BF0"/>
    <w:rsid w:val="00385D2C"/>
    <w:rsid w:val="003861C7"/>
    <w:rsid w:val="0038625A"/>
    <w:rsid w:val="00386371"/>
    <w:rsid w:val="003864CB"/>
    <w:rsid w:val="00386628"/>
    <w:rsid w:val="0038686F"/>
    <w:rsid w:val="003868A5"/>
    <w:rsid w:val="00386A4A"/>
    <w:rsid w:val="00386BD4"/>
    <w:rsid w:val="00386C10"/>
    <w:rsid w:val="00386D33"/>
    <w:rsid w:val="00386EE7"/>
    <w:rsid w:val="00386FFB"/>
    <w:rsid w:val="00387050"/>
    <w:rsid w:val="00387222"/>
    <w:rsid w:val="00387507"/>
    <w:rsid w:val="0038762F"/>
    <w:rsid w:val="0038765B"/>
    <w:rsid w:val="00387697"/>
    <w:rsid w:val="0038775F"/>
    <w:rsid w:val="00387888"/>
    <w:rsid w:val="0038799A"/>
    <w:rsid w:val="00387A0A"/>
    <w:rsid w:val="00387A8B"/>
    <w:rsid w:val="00387D17"/>
    <w:rsid w:val="00387DE8"/>
    <w:rsid w:val="00390075"/>
    <w:rsid w:val="003900BB"/>
    <w:rsid w:val="00390226"/>
    <w:rsid w:val="00390303"/>
    <w:rsid w:val="0039039D"/>
    <w:rsid w:val="0039057A"/>
    <w:rsid w:val="003908D9"/>
    <w:rsid w:val="00390A16"/>
    <w:rsid w:val="00390A79"/>
    <w:rsid w:val="00390AD8"/>
    <w:rsid w:val="00390C82"/>
    <w:rsid w:val="00390E41"/>
    <w:rsid w:val="00391322"/>
    <w:rsid w:val="00391505"/>
    <w:rsid w:val="00391509"/>
    <w:rsid w:val="00391536"/>
    <w:rsid w:val="00391960"/>
    <w:rsid w:val="00391CD4"/>
    <w:rsid w:val="00391D1E"/>
    <w:rsid w:val="00391F80"/>
    <w:rsid w:val="00392009"/>
    <w:rsid w:val="003920C9"/>
    <w:rsid w:val="003921BB"/>
    <w:rsid w:val="003923C4"/>
    <w:rsid w:val="00392458"/>
    <w:rsid w:val="0039272B"/>
    <w:rsid w:val="00392878"/>
    <w:rsid w:val="00392C0C"/>
    <w:rsid w:val="00392CAE"/>
    <w:rsid w:val="00392D7B"/>
    <w:rsid w:val="0039336E"/>
    <w:rsid w:val="003933F8"/>
    <w:rsid w:val="00393999"/>
    <w:rsid w:val="003939FF"/>
    <w:rsid w:val="00393BD0"/>
    <w:rsid w:val="00393C12"/>
    <w:rsid w:val="0039418B"/>
    <w:rsid w:val="0039422D"/>
    <w:rsid w:val="00394268"/>
    <w:rsid w:val="0039428B"/>
    <w:rsid w:val="003942CF"/>
    <w:rsid w:val="003946F6"/>
    <w:rsid w:val="00394926"/>
    <w:rsid w:val="00394B9D"/>
    <w:rsid w:val="00394BED"/>
    <w:rsid w:val="00394C3E"/>
    <w:rsid w:val="00394E63"/>
    <w:rsid w:val="00395203"/>
    <w:rsid w:val="00395214"/>
    <w:rsid w:val="0039567D"/>
    <w:rsid w:val="003957FB"/>
    <w:rsid w:val="0039593A"/>
    <w:rsid w:val="00395964"/>
    <w:rsid w:val="0039599A"/>
    <w:rsid w:val="00395C75"/>
    <w:rsid w:val="00395CAD"/>
    <w:rsid w:val="00395F44"/>
    <w:rsid w:val="00396217"/>
    <w:rsid w:val="0039632D"/>
    <w:rsid w:val="0039653E"/>
    <w:rsid w:val="00396753"/>
    <w:rsid w:val="00396BAB"/>
    <w:rsid w:val="00396DA9"/>
    <w:rsid w:val="00396DC1"/>
    <w:rsid w:val="003970FA"/>
    <w:rsid w:val="0039712C"/>
    <w:rsid w:val="003971F8"/>
    <w:rsid w:val="003972AD"/>
    <w:rsid w:val="0039734B"/>
    <w:rsid w:val="00397642"/>
    <w:rsid w:val="00397678"/>
    <w:rsid w:val="00397828"/>
    <w:rsid w:val="00397885"/>
    <w:rsid w:val="00397BA1"/>
    <w:rsid w:val="00397CA4"/>
    <w:rsid w:val="00397D02"/>
    <w:rsid w:val="00397E2C"/>
    <w:rsid w:val="00397E43"/>
    <w:rsid w:val="003A044C"/>
    <w:rsid w:val="003A087B"/>
    <w:rsid w:val="003A08BF"/>
    <w:rsid w:val="003A0B3E"/>
    <w:rsid w:val="003A0BA8"/>
    <w:rsid w:val="003A0D8E"/>
    <w:rsid w:val="003A1423"/>
    <w:rsid w:val="003A174D"/>
    <w:rsid w:val="003A1932"/>
    <w:rsid w:val="003A1AC8"/>
    <w:rsid w:val="003A1BA5"/>
    <w:rsid w:val="003A214E"/>
    <w:rsid w:val="003A21F9"/>
    <w:rsid w:val="003A2208"/>
    <w:rsid w:val="003A2223"/>
    <w:rsid w:val="003A27EA"/>
    <w:rsid w:val="003A2A0F"/>
    <w:rsid w:val="003A2AEB"/>
    <w:rsid w:val="003A2B2A"/>
    <w:rsid w:val="003A2B63"/>
    <w:rsid w:val="003A2D9E"/>
    <w:rsid w:val="003A3076"/>
    <w:rsid w:val="003A30AF"/>
    <w:rsid w:val="003A3344"/>
    <w:rsid w:val="003A3487"/>
    <w:rsid w:val="003A35D2"/>
    <w:rsid w:val="003A3694"/>
    <w:rsid w:val="003A3A01"/>
    <w:rsid w:val="003A3A4D"/>
    <w:rsid w:val="003A3F0A"/>
    <w:rsid w:val="003A4121"/>
    <w:rsid w:val="003A44CF"/>
    <w:rsid w:val="003A45A1"/>
    <w:rsid w:val="003A45D0"/>
    <w:rsid w:val="003A466C"/>
    <w:rsid w:val="003A48B5"/>
    <w:rsid w:val="003A4A59"/>
    <w:rsid w:val="003A4C0F"/>
    <w:rsid w:val="003A4D09"/>
    <w:rsid w:val="003A4E9A"/>
    <w:rsid w:val="003A500A"/>
    <w:rsid w:val="003A512C"/>
    <w:rsid w:val="003A5272"/>
    <w:rsid w:val="003A5293"/>
    <w:rsid w:val="003A5318"/>
    <w:rsid w:val="003A560C"/>
    <w:rsid w:val="003A583A"/>
    <w:rsid w:val="003A5B0A"/>
    <w:rsid w:val="003A5BA3"/>
    <w:rsid w:val="003A5D3C"/>
    <w:rsid w:val="003A601B"/>
    <w:rsid w:val="003A6055"/>
    <w:rsid w:val="003A6073"/>
    <w:rsid w:val="003A60E3"/>
    <w:rsid w:val="003A61AE"/>
    <w:rsid w:val="003A6491"/>
    <w:rsid w:val="003A66B3"/>
    <w:rsid w:val="003A66BE"/>
    <w:rsid w:val="003A672F"/>
    <w:rsid w:val="003A6735"/>
    <w:rsid w:val="003A6987"/>
    <w:rsid w:val="003A69F2"/>
    <w:rsid w:val="003A6B75"/>
    <w:rsid w:val="003A6BAC"/>
    <w:rsid w:val="003A6D79"/>
    <w:rsid w:val="003A7092"/>
    <w:rsid w:val="003A70A4"/>
    <w:rsid w:val="003A70DB"/>
    <w:rsid w:val="003A71EE"/>
    <w:rsid w:val="003A7272"/>
    <w:rsid w:val="003A72C5"/>
    <w:rsid w:val="003A73CA"/>
    <w:rsid w:val="003A757F"/>
    <w:rsid w:val="003A7580"/>
    <w:rsid w:val="003A781A"/>
    <w:rsid w:val="003A78E2"/>
    <w:rsid w:val="003A7B9D"/>
    <w:rsid w:val="003A7C0F"/>
    <w:rsid w:val="003A7D3A"/>
    <w:rsid w:val="003A7D8E"/>
    <w:rsid w:val="003A7EF3"/>
    <w:rsid w:val="003A7F95"/>
    <w:rsid w:val="003A7FC5"/>
    <w:rsid w:val="003B00B1"/>
    <w:rsid w:val="003B0187"/>
    <w:rsid w:val="003B038D"/>
    <w:rsid w:val="003B038F"/>
    <w:rsid w:val="003B0761"/>
    <w:rsid w:val="003B0AE0"/>
    <w:rsid w:val="003B0D71"/>
    <w:rsid w:val="003B0DD9"/>
    <w:rsid w:val="003B0DFF"/>
    <w:rsid w:val="003B10AF"/>
    <w:rsid w:val="003B1159"/>
    <w:rsid w:val="003B127B"/>
    <w:rsid w:val="003B1318"/>
    <w:rsid w:val="003B1507"/>
    <w:rsid w:val="003B159C"/>
    <w:rsid w:val="003B19F4"/>
    <w:rsid w:val="003B1D57"/>
    <w:rsid w:val="003B2805"/>
    <w:rsid w:val="003B2F8D"/>
    <w:rsid w:val="003B301E"/>
    <w:rsid w:val="003B369F"/>
    <w:rsid w:val="003B36A3"/>
    <w:rsid w:val="003B3A18"/>
    <w:rsid w:val="003B3C75"/>
    <w:rsid w:val="003B3D11"/>
    <w:rsid w:val="003B3D2D"/>
    <w:rsid w:val="003B3DB6"/>
    <w:rsid w:val="003B43C1"/>
    <w:rsid w:val="003B4726"/>
    <w:rsid w:val="003B4747"/>
    <w:rsid w:val="003B4849"/>
    <w:rsid w:val="003B4874"/>
    <w:rsid w:val="003B4A14"/>
    <w:rsid w:val="003B4C26"/>
    <w:rsid w:val="003B4F98"/>
    <w:rsid w:val="003B5180"/>
    <w:rsid w:val="003B5344"/>
    <w:rsid w:val="003B5895"/>
    <w:rsid w:val="003B5979"/>
    <w:rsid w:val="003B5A76"/>
    <w:rsid w:val="003B5D62"/>
    <w:rsid w:val="003B5DC1"/>
    <w:rsid w:val="003B5E68"/>
    <w:rsid w:val="003B624B"/>
    <w:rsid w:val="003B6414"/>
    <w:rsid w:val="003B64BB"/>
    <w:rsid w:val="003B660C"/>
    <w:rsid w:val="003B6960"/>
    <w:rsid w:val="003B6A5D"/>
    <w:rsid w:val="003B6D76"/>
    <w:rsid w:val="003B6E8F"/>
    <w:rsid w:val="003B6EAE"/>
    <w:rsid w:val="003B76D2"/>
    <w:rsid w:val="003B79AA"/>
    <w:rsid w:val="003B7C95"/>
    <w:rsid w:val="003B7DF3"/>
    <w:rsid w:val="003B7EAE"/>
    <w:rsid w:val="003B7FC9"/>
    <w:rsid w:val="003B7FE5"/>
    <w:rsid w:val="003C039E"/>
    <w:rsid w:val="003C06DC"/>
    <w:rsid w:val="003C094B"/>
    <w:rsid w:val="003C0ADF"/>
    <w:rsid w:val="003C0C5E"/>
    <w:rsid w:val="003C0DB0"/>
    <w:rsid w:val="003C0E9B"/>
    <w:rsid w:val="003C0FD5"/>
    <w:rsid w:val="003C1093"/>
    <w:rsid w:val="003C11C8"/>
    <w:rsid w:val="003C1244"/>
    <w:rsid w:val="003C1455"/>
    <w:rsid w:val="003C14B5"/>
    <w:rsid w:val="003C172F"/>
    <w:rsid w:val="003C18FA"/>
    <w:rsid w:val="003C1A79"/>
    <w:rsid w:val="003C249D"/>
    <w:rsid w:val="003C24F2"/>
    <w:rsid w:val="003C253A"/>
    <w:rsid w:val="003C2702"/>
    <w:rsid w:val="003C2761"/>
    <w:rsid w:val="003C2836"/>
    <w:rsid w:val="003C28AF"/>
    <w:rsid w:val="003C2A33"/>
    <w:rsid w:val="003C2EB2"/>
    <w:rsid w:val="003C3791"/>
    <w:rsid w:val="003C37A5"/>
    <w:rsid w:val="003C37D7"/>
    <w:rsid w:val="003C3E83"/>
    <w:rsid w:val="003C3F72"/>
    <w:rsid w:val="003C453E"/>
    <w:rsid w:val="003C4A77"/>
    <w:rsid w:val="003C4F64"/>
    <w:rsid w:val="003C4FF7"/>
    <w:rsid w:val="003C58F5"/>
    <w:rsid w:val="003C5A86"/>
    <w:rsid w:val="003C5E1E"/>
    <w:rsid w:val="003C5E85"/>
    <w:rsid w:val="003C6338"/>
    <w:rsid w:val="003C65FC"/>
    <w:rsid w:val="003C6605"/>
    <w:rsid w:val="003C662D"/>
    <w:rsid w:val="003C6979"/>
    <w:rsid w:val="003C6C3D"/>
    <w:rsid w:val="003C6C4D"/>
    <w:rsid w:val="003C6D81"/>
    <w:rsid w:val="003C6D8B"/>
    <w:rsid w:val="003C6E9D"/>
    <w:rsid w:val="003C739F"/>
    <w:rsid w:val="003C74F1"/>
    <w:rsid w:val="003C74F3"/>
    <w:rsid w:val="003C777E"/>
    <w:rsid w:val="003C7806"/>
    <w:rsid w:val="003C790D"/>
    <w:rsid w:val="003C7BE9"/>
    <w:rsid w:val="003C7DA8"/>
    <w:rsid w:val="003C7E98"/>
    <w:rsid w:val="003C7F34"/>
    <w:rsid w:val="003D00A8"/>
    <w:rsid w:val="003D019B"/>
    <w:rsid w:val="003D0307"/>
    <w:rsid w:val="003D0488"/>
    <w:rsid w:val="003D0D3A"/>
    <w:rsid w:val="003D0D51"/>
    <w:rsid w:val="003D109F"/>
    <w:rsid w:val="003D12C2"/>
    <w:rsid w:val="003D154A"/>
    <w:rsid w:val="003D15EC"/>
    <w:rsid w:val="003D1DB4"/>
    <w:rsid w:val="003D2094"/>
    <w:rsid w:val="003D2183"/>
    <w:rsid w:val="003D2353"/>
    <w:rsid w:val="003D2478"/>
    <w:rsid w:val="003D2638"/>
    <w:rsid w:val="003D271B"/>
    <w:rsid w:val="003D2C93"/>
    <w:rsid w:val="003D2E38"/>
    <w:rsid w:val="003D308A"/>
    <w:rsid w:val="003D30BB"/>
    <w:rsid w:val="003D3186"/>
    <w:rsid w:val="003D3398"/>
    <w:rsid w:val="003D34B6"/>
    <w:rsid w:val="003D3520"/>
    <w:rsid w:val="003D368A"/>
    <w:rsid w:val="003D37A3"/>
    <w:rsid w:val="003D396D"/>
    <w:rsid w:val="003D3B66"/>
    <w:rsid w:val="003D3C45"/>
    <w:rsid w:val="003D3CAF"/>
    <w:rsid w:val="003D3E7C"/>
    <w:rsid w:val="003D40D5"/>
    <w:rsid w:val="003D40E9"/>
    <w:rsid w:val="003D40F2"/>
    <w:rsid w:val="003D41B1"/>
    <w:rsid w:val="003D44CB"/>
    <w:rsid w:val="003D4932"/>
    <w:rsid w:val="003D4C46"/>
    <w:rsid w:val="003D4E7D"/>
    <w:rsid w:val="003D5067"/>
    <w:rsid w:val="003D5268"/>
    <w:rsid w:val="003D56EC"/>
    <w:rsid w:val="003D5858"/>
    <w:rsid w:val="003D5B1F"/>
    <w:rsid w:val="003D5B42"/>
    <w:rsid w:val="003D5B60"/>
    <w:rsid w:val="003D5C73"/>
    <w:rsid w:val="003D5E31"/>
    <w:rsid w:val="003D6149"/>
    <w:rsid w:val="003D62E5"/>
    <w:rsid w:val="003D6589"/>
    <w:rsid w:val="003D676F"/>
    <w:rsid w:val="003D6A02"/>
    <w:rsid w:val="003D6B94"/>
    <w:rsid w:val="003D7055"/>
    <w:rsid w:val="003D706B"/>
    <w:rsid w:val="003D70E2"/>
    <w:rsid w:val="003D7111"/>
    <w:rsid w:val="003D7225"/>
    <w:rsid w:val="003D729A"/>
    <w:rsid w:val="003D741F"/>
    <w:rsid w:val="003D75BA"/>
    <w:rsid w:val="003D75C8"/>
    <w:rsid w:val="003D75D2"/>
    <w:rsid w:val="003D7892"/>
    <w:rsid w:val="003D7904"/>
    <w:rsid w:val="003D7911"/>
    <w:rsid w:val="003D7B22"/>
    <w:rsid w:val="003D7B91"/>
    <w:rsid w:val="003D7C58"/>
    <w:rsid w:val="003D7D5D"/>
    <w:rsid w:val="003D7F35"/>
    <w:rsid w:val="003D7F36"/>
    <w:rsid w:val="003D7F3B"/>
    <w:rsid w:val="003E0276"/>
    <w:rsid w:val="003E02AD"/>
    <w:rsid w:val="003E054B"/>
    <w:rsid w:val="003E09F8"/>
    <w:rsid w:val="003E0E21"/>
    <w:rsid w:val="003E0E40"/>
    <w:rsid w:val="003E0ED1"/>
    <w:rsid w:val="003E0F10"/>
    <w:rsid w:val="003E10BF"/>
    <w:rsid w:val="003E111D"/>
    <w:rsid w:val="003E12AF"/>
    <w:rsid w:val="003E1377"/>
    <w:rsid w:val="003E13EB"/>
    <w:rsid w:val="003E15FA"/>
    <w:rsid w:val="003E17A1"/>
    <w:rsid w:val="003E1AFC"/>
    <w:rsid w:val="003E1B6C"/>
    <w:rsid w:val="003E1BA4"/>
    <w:rsid w:val="003E231B"/>
    <w:rsid w:val="003E274A"/>
    <w:rsid w:val="003E27D8"/>
    <w:rsid w:val="003E2837"/>
    <w:rsid w:val="003E2920"/>
    <w:rsid w:val="003E2B14"/>
    <w:rsid w:val="003E2C05"/>
    <w:rsid w:val="003E2E2A"/>
    <w:rsid w:val="003E3290"/>
    <w:rsid w:val="003E3817"/>
    <w:rsid w:val="003E3977"/>
    <w:rsid w:val="003E3C0B"/>
    <w:rsid w:val="003E3EBC"/>
    <w:rsid w:val="003E3F45"/>
    <w:rsid w:val="003E4078"/>
    <w:rsid w:val="003E4205"/>
    <w:rsid w:val="003E428D"/>
    <w:rsid w:val="003E485D"/>
    <w:rsid w:val="003E4A2A"/>
    <w:rsid w:val="003E4CE5"/>
    <w:rsid w:val="003E4DDC"/>
    <w:rsid w:val="003E4F4C"/>
    <w:rsid w:val="003E4F59"/>
    <w:rsid w:val="003E4FEE"/>
    <w:rsid w:val="003E51F6"/>
    <w:rsid w:val="003E5282"/>
    <w:rsid w:val="003E55E4"/>
    <w:rsid w:val="003E561A"/>
    <w:rsid w:val="003E607E"/>
    <w:rsid w:val="003E6102"/>
    <w:rsid w:val="003E6185"/>
    <w:rsid w:val="003E61A2"/>
    <w:rsid w:val="003E61AD"/>
    <w:rsid w:val="003E6887"/>
    <w:rsid w:val="003E6956"/>
    <w:rsid w:val="003E6D77"/>
    <w:rsid w:val="003E6DFC"/>
    <w:rsid w:val="003E6F05"/>
    <w:rsid w:val="003E74E3"/>
    <w:rsid w:val="003E7692"/>
    <w:rsid w:val="003E76FC"/>
    <w:rsid w:val="003E7A63"/>
    <w:rsid w:val="003E7CCE"/>
    <w:rsid w:val="003E7D4D"/>
    <w:rsid w:val="003E7D8B"/>
    <w:rsid w:val="003E7DEF"/>
    <w:rsid w:val="003E7EDE"/>
    <w:rsid w:val="003F0084"/>
    <w:rsid w:val="003F0149"/>
    <w:rsid w:val="003F020E"/>
    <w:rsid w:val="003F02AA"/>
    <w:rsid w:val="003F0370"/>
    <w:rsid w:val="003F0379"/>
    <w:rsid w:val="003F05C7"/>
    <w:rsid w:val="003F11AD"/>
    <w:rsid w:val="003F148E"/>
    <w:rsid w:val="003F14C6"/>
    <w:rsid w:val="003F14F2"/>
    <w:rsid w:val="003F15CD"/>
    <w:rsid w:val="003F16EA"/>
    <w:rsid w:val="003F1853"/>
    <w:rsid w:val="003F1898"/>
    <w:rsid w:val="003F198C"/>
    <w:rsid w:val="003F1B81"/>
    <w:rsid w:val="003F1CA6"/>
    <w:rsid w:val="003F26A3"/>
    <w:rsid w:val="003F26B9"/>
    <w:rsid w:val="003F2743"/>
    <w:rsid w:val="003F27F4"/>
    <w:rsid w:val="003F2AA9"/>
    <w:rsid w:val="003F2B96"/>
    <w:rsid w:val="003F2CD4"/>
    <w:rsid w:val="003F2D3D"/>
    <w:rsid w:val="003F33D8"/>
    <w:rsid w:val="003F35AD"/>
    <w:rsid w:val="003F35FD"/>
    <w:rsid w:val="003F3610"/>
    <w:rsid w:val="003F383D"/>
    <w:rsid w:val="003F387A"/>
    <w:rsid w:val="003F3D3A"/>
    <w:rsid w:val="003F41B7"/>
    <w:rsid w:val="003F42ED"/>
    <w:rsid w:val="003F4425"/>
    <w:rsid w:val="003F468E"/>
    <w:rsid w:val="003F4914"/>
    <w:rsid w:val="003F4B1E"/>
    <w:rsid w:val="003F4B69"/>
    <w:rsid w:val="003F4DF3"/>
    <w:rsid w:val="003F5331"/>
    <w:rsid w:val="003F5538"/>
    <w:rsid w:val="003F573A"/>
    <w:rsid w:val="003F59FE"/>
    <w:rsid w:val="003F5CB0"/>
    <w:rsid w:val="003F5D51"/>
    <w:rsid w:val="003F5DC6"/>
    <w:rsid w:val="003F5DFA"/>
    <w:rsid w:val="003F5F76"/>
    <w:rsid w:val="003F6264"/>
    <w:rsid w:val="003F64B7"/>
    <w:rsid w:val="003F69EB"/>
    <w:rsid w:val="003F6BBE"/>
    <w:rsid w:val="003F6C7E"/>
    <w:rsid w:val="003F6E34"/>
    <w:rsid w:val="003F6E68"/>
    <w:rsid w:val="003F7010"/>
    <w:rsid w:val="003F70B4"/>
    <w:rsid w:val="003F73C2"/>
    <w:rsid w:val="003F75D1"/>
    <w:rsid w:val="003F75D7"/>
    <w:rsid w:val="003F7670"/>
    <w:rsid w:val="003F78FE"/>
    <w:rsid w:val="003F7A9C"/>
    <w:rsid w:val="003F7B7A"/>
    <w:rsid w:val="003F7BD8"/>
    <w:rsid w:val="003F7DFE"/>
    <w:rsid w:val="003F7E98"/>
    <w:rsid w:val="004000E6"/>
    <w:rsid w:val="004000E8"/>
    <w:rsid w:val="00400494"/>
    <w:rsid w:val="004005AA"/>
    <w:rsid w:val="004005CC"/>
    <w:rsid w:val="00400882"/>
    <w:rsid w:val="00400CCA"/>
    <w:rsid w:val="00400E07"/>
    <w:rsid w:val="00401049"/>
    <w:rsid w:val="0040106F"/>
    <w:rsid w:val="004011AA"/>
    <w:rsid w:val="00401297"/>
    <w:rsid w:val="00401384"/>
    <w:rsid w:val="00401561"/>
    <w:rsid w:val="00401639"/>
    <w:rsid w:val="004016AB"/>
    <w:rsid w:val="00401905"/>
    <w:rsid w:val="004019CD"/>
    <w:rsid w:val="00401BA7"/>
    <w:rsid w:val="00401FBC"/>
    <w:rsid w:val="00402198"/>
    <w:rsid w:val="00402378"/>
    <w:rsid w:val="004023DA"/>
    <w:rsid w:val="00402CCC"/>
    <w:rsid w:val="00402E2B"/>
    <w:rsid w:val="00402FE9"/>
    <w:rsid w:val="0040317B"/>
    <w:rsid w:val="0040343B"/>
    <w:rsid w:val="004034A7"/>
    <w:rsid w:val="004034D3"/>
    <w:rsid w:val="00403786"/>
    <w:rsid w:val="0040381D"/>
    <w:rsid w:val="00403B4F"/>
    <w:rsid w:val="00403DDD"/>
    <w:rsid w:val="00403E92"/>
    <w:rsid w:val="0040426D"/>
    <w:rsid w:val="00404468"/>
    <w:rsid w:val="004045AB"/>
    <w:rsid w:val="004047E7"/>
    <w:rsid w:val="00404B36"/>
    <w:rsid w:val="00404DF0"/>
    <w:rsid w:val="00404EAB"/>
    <w:rsid w:val="00405013"/>
    <w:rsid w:val="004050F4"/>
    <w:rsid w:val="00405120"/>
    <w:rsid w:val="0040512B"/>
    <w:rsid w:val="00405249"/>
    <w:rsid w:val="0040530F"/>
    <w:rsid w:val="0040540B"/>
    <w:rsid w:val="004058DB"/>
    <w:rsid w:val="00405CA5"/>
    <w:rsid w:val="00405D08"/>
    <w:rsid w:val="00405DFF"/>
    <w:rsid w:val="00406059"/>
    <w:rsid w:val="00406177"/>
    <w:rsid w:val="0040617F"/>
    <w:rsid w:val="00406250"/>
    <w:rsid w:val="004062F3"/>
    <w:rsid w:val="0040645F"/>
    <w:rsid w:val="00406586"/>
    <w:rsid w:val="004065C0"/>
    <w:rsid w:val="0040665E"/>
    <w:rsid w:val="004068CE"/>
    <w:rsid w:val="00406DC7"/>
    <w:rsid w:val="00406F02"/>
    <w:rsid w:val="00407112"/>
    <w:rsid w:val="0040742E"/>
    <w:rsid w:val="004079B7"/>
    <w:rsid w:val="00407BCC"/>
    <w:rsid w:val="00407C1A"/>
    <w:rsid w:val="00407C84"/>
    <w:rsid w:val="00407CD3"/>
    <w:rsid w:val="00407D5F"/>
    <w:rsid w:val="00407D69"/>
    <w:rsid w:val="00407DBF"/>
    <w:rsid w:val="00407DCE"/>
    <w:rsid w:val="00407FA8"/>
    <w:rsid w:val="00407FD7"/>
    <w:rsid w:val="00410134"/>
    <w:rsid w:val="00410164"/>
    <w:rsid w:val="004103B5"/>
    <w:rsid w:val="00410655"/>
    <w:rsid w:val="00410666"/>
    <w:rsid w:val="004106A2"/>
    <w:rsid w:val="00410710"/>
    <w:rsid w:val="004107B3"/>
    <w:rsid w:val="004108BB"/>
    <w:rsid w:val="00410A49"/>
    <w:rsid w:val="00410B72"/>
    <w:rsid w:val="00410BDA"/>
    <w:rsid w:val="00410DD7"/>
    <w:rsid w:val="00410F18"/>
    <w:rsid w:val="00410F42"/>
    <w:rsid w:val="004110B6"/>
    <w:rsid w:val="0041122C"/>
    <w:rsid w:val="0041133F"/>
    <w:rsid w:val="004115A0"/>
    <w:rsid w:val="004116EA"/>
    <w:rsid w:val="00411927"/>
    <w:rsid w:val="004119A2"/>
    <w:rsid w:val="00411D44"/>
    <w:rsid w:val="00411E97"/>
    <w:rsid w:val="00411EFF"/>
    <w:rsid w:val="00412478"/>
    <w:rsid w:val="00412485"/>
    <w:rsid w:val="00412491"/>
    <w:rsid w:val="004124FC"/>
    <w:rsid w:val="004124FF"/>
    <w:rsid w:val="00412555"/>
    <w:rsid w:val="00412630"/>
    <w:rsid w:val="0041263E"/>
    <w:rsid w:val="00412821"/>
    <w:rsid w:val="00412871"/>
    <w:rsid w:val="00412AA8"/>
    <w:rsid w:val="00412C1E"/>
    <w:rsid w:val="00412D20"/>
    <w:rsid w:val="004130CB"/>
    <w:rsid w:val="00413197"/>
    <w:rsid w:val="00413AAC"/>
    <w:rsid w:val="00413CE8"/>
    <w:rsid w:val="00413DDD"/>
    <w:rsid w:val="00413E92"/>
    <w:rsid w:val="00413F1D"/>
    <w:rsid w:val="00413F3B"/>
    <w:rsid w:val="004145D4"/>
    <w:rsid w:val="00414638"/>
    <w:rsid w:val="00414649"/>
    <w:rsid w:val="004147F7"/>
    <w:rsid w:val="004149D8"/>
    <w:rsid w:val="00414D31"/>
    <w:rsid w:val="00414DDB"/>
    <w:rsid w:val="004150E6"/>
    <w:rsid w:val="004151D0"/>
    <w:rsid w:val="00415434"/>
    <w:rsid w:val="00415723"/>
    <w:rsid w:val="004157FD"/>
    <w:rsid w:val="00415836"/>
    <w:rsid w:val="004159FC"/>
    <w:rsid w:val="00415D7E"/>
    <w:rsid w:val="004160AB"/>
    <w:rsid w:val="00416849"/>
    <w:rsid w:val="00416A17"/>
    <w:rsid w:val="00416AED"/>
    <w:rsid w:val="00416C2F"/>
    <w:rsid w:val="00416D1C"/>
    <w:rsid w:val="00416DE2"/>
    <w:rsid w:val="0041703F"/>
    <w:rsid w:val="00417099"/>
    <w:rsid w:val="004170E1"/>
    <w:rsid w:val="00417787"/>
    <w:rsid w:val="004177F9"/>
    <w:rsid w:val="004179C8"/>
    <w:rsid w:val="004179CC"/>
    <w:rsid w:val="00417B7D"/>
    <w:rsid w:val="00417FD7"/>
    <w:rsid w:val="004201B2"/>
    <w:rsid w:val="004204A8"/>
    <w:rsid w:val="004204C8"/>
    <w:rsid w:val="004204DE"/>
    <w:rsid w:val="004206C7"/>
    <w:rsid w:val="00420CA0"/>
    <w:rsid w:val="00420E60"/>
    <w:rsid w:val="0042109F"/>
    <w:rsid w:val="004210A2"/>
    <w:rsid w:val="00421105"/>
    <w:rsid w:val="00421526"/>
    <w:rsid w:val="004219BF"/>
    <w:rsid w:val="00421BA7"/>
    <w:rsid w:val="00421C16"/>
    <w:rsid w:val="00421C94"/>
    <w:rsid w:val="00421E1E"/>
    <w:rsid w:val="00421F01"/>
    <w:rsid w:val="0042227E"/>
    <w:rsid w:val="0042229B"/>
    <w:rsid w:val="004222AA"/>
    <w:rsid w:val="00422358"/>
    <w:rsid w:val="004223FF"/>
    <w:rsid w:val="00422AA4"/>
    <w:rsid w:val="00422B99"/>
    <w:rsid w:val="00422C1F"/>
    <w:rsid w:val="00422CDD"/>
    <w:rsid w:val="00422F4F"/>
    <w:rsid w:val="00423054"/>
    <w:rsid w:val="004235A0"/>
    <w:rsid w:val="00423984"/>
    <w:rsid w:val="004239F1"/>
    <w:rsid w:val="00423A52"/>
    <w:rsid w:val="00423B52"/>
    <w:rsid w:val="00423CE1"/>
    <w:rsid w:val="00423FDE"/>
    <w:rsid w:val="004242F4"/>
    <w:rsid w:val="004242FA"/>
    <w:rsid w:val="004243FF"/>
    <w:rsid w:val="00424A37"/>
    <w:rsid w:val="00424B50"/>
    <w:rsid w:val="00424BB6"/>
    <w:rsid w:val="00424CB8"/>
    <w:rsid w:val="00424FE8"/>
    <w:rsid w:val="00425748"/>
    <w:rsid w:val="0042593E"/>
    <w:rsid w:val="00425C08"/>
    <w:rsid w:val="00425CEA"/>
    <w:rsid w:val="00426035"/>
    <w:rsid w:val="00426158"/>
    <w:rsid w:val="00426765"/>
    <w:rsid w:val="004267D5"/>
    <w:rsid w:val="00426891"/>
    <w:rsid w:val="00426AB2"/>
    <w:rsid w:val="00426BEC"/>
    <w:rsid w:val="00426F24"/>
    <w:rsid w:val="00427248"/>
    <w:rsid w:val="00427260"/>
    <w:rsid w:val="004272BE"/>
    <w:rsid w:val="004272D4"/>
    <w:rsid w:val="004275F5"/>
    <w:rsid w:val="00427736"/>
    <w:rsid w:val="0042773D"/>
    <w:rsid w:val="004278A1"/>
    <w:rsid w:val="00427C66"/>
    <w:rsid w:val="00427F79"/>
    <w:rsid w:val="0043004E"/>
    <w:rsid w:val="0043032D"/>
    <w:rsid w:val="00430378"/>
    <w:rsid w:val="004304F3"/>
    <w:rsid w:val="00430896"/>
    <w:rsid w:val="00430962"/>
    <w:rsid w:val="00430C0F"/>
    <w:rsid w:val="00430E54"/>
    <w:rsid w:val="00431005"/>
    <w:rsid w:val="00431044"/>
    <w:rsid w:val="004312AB"/>
    <w:rsid w:val="00431342"/>
    <w:rsid w:val="0043138B"/>
    <w:rsid w:val="0043156A"/>
    <w:rsid w:val="004315A8"/>
    <w:rsid w:val="00431731"/>
    <w:rsid w:val="00431942"/>
    <w:rsid w:val="00431AC7"/>
    <w:rsid w:val="00431BEF"/>
    <w:rsid w:val="0043277D"/>
    <w:rsid w:val="004328B3"/>
    <w:rsid w:val="00432AD8"/>
    <w:rsid w:val="00433080"/>
    <w:rsid w:val="0043330E"/>
    <w:rsid w:val="004334A5"/>
    <w:rsid w:val="004334D6"/>
    <w:rsid w:val="0043354A"/>
    <w:rsid w:val="004336A9"/>
    <w:rsid w:val="0043373E"/>
    <w:rsid w:val="00433952"/>
    <w:rsid w:val="00433983"/>
    <w:rsid w:val="00433AE2"/>
    <w:rsid w:val="00433F3F"/>
    <w:rsid w:val="0043401A"/>
    <w:rsid w:val="00434679"/>
    <w:rsid w:val="004347AF"/>
    <w:rsid w:val="0043498A"/>
    <w:rsid w:val="00434A1B"/>
    <w:rsid w:val="00434E70"/>
    <w:rsid w:val="00435549"/>
    <w:rsid w:val="004355CE"/>
    <w:rsid w:val="004359FC"/>
    <w:rsid w:val="00435BE7"/>
    <w:rsid w:val="00436019"/>
    <w:rsid w:val="0043602D"/>
    <w:rsid w:val="004360D5"/>
    <w:rsid w:val="004363D7"/>
    <w:rsid w:val="004363E9"/>
    <w:rsid w:val="00436493"/>
    <w:rsid w:val="004364DA"/>
    <w:rsid w:val="0043680A"/>
    <w:rsid w:val="00436917"/>
    <w:rsid w:val="00436DCC"/>
    <w:rsid w:val="00436E4E"/>
    <w:rsid w:val="00436F14"/>
    <w:rsid w:val="00436FF8"/>
    <w:rsid w:val="0043713A"/>
    <w:rsid w:val="00437447"/>
    <w:rsid w:val="0043773B"/>
    <w:rsid w:val="00437837"/>
    <w:rsid w:val="00437CAD"/>
    <w:rsid w:val="00437DFF"/>
    <w:rsid w:val="00440026"/>
    <w:rsid w:val="004403AE"/>
    <w:rsid w:val="0044041A"/>
    <w:rsid w:val="0044066B"/>
    <w:rsid w:val="00440869"/>
    <w:rsid w:val="004408E4"/>
    <w:rsid w:val="004409B8"/>
    <w:rsid w:val="00440C0F"/>
    <w:rsid w:val="00440E3D"/>
    <w:rsid w:val="00441055"/>
    <w:rsid w:val="00441697"/>
    <w:rsid w:val="00441A82"/>
    <w:rsid w:val="00441A92"/>
    <w:rsid w:val="00442259"/>
    <w:rsid w:val="004426A5"/>
    <w:rsid w:val="00442AE7"/>
    <w:rsid w:val="00442C5B"/>
    <w:rsid w:val="00442D32"/>
    <w:rsid w:val="00443020"/>
    <w:rsid w:val="004431DC"/>
    <w:rsid w:val="0044334C"/>
    <w:rsid w:val="0044335E"/>
    <w:rsid w:val="00443811"/>
    <w:rsid w:val="004438D0"/>
    <w:rsid w:val="00443B07"/>
    <w:rsid w:val="00443DF6"/>
    <w:rsid w:val="00443FAA"/>
    <w:rsid w:val="004440E5"/>
    <w:rsid w:val="0044423C"/>
    <w:rsid w:val="00444249"/>
    <w:rsid w:val="004445B3"/>
    <w:rsid w:val="00444631"/>
    <w:rsid w:val="00444A3E"/>
    <w:rsid w:val="00444A55"/>
    <w:rsid w:val="00444B08"/>
    <w:rsid w:val="00444CFD"/>
    <w:rsid w:val="00444F56"/>
    <w:rsid w:val="00445267"/>
    <w:rsid w:val="0044564F"/>
    <w:rsid w:val="0044580F"/>
    <w:rsid w:val="00445BAE"/>
    <w:rsid w:val="00445EBE"/>
    <w:rsid w:val="00445F50"/>
    <w:rsid w:val="004460C2"/>
    <w:rsid w:val="00446488"/>
    <w:rsid w:val="004465AD"/>
    <w:rsid w:val="00446750"/>
    <w:rsid w:val="00446A4D"/>
    <w:rsid w:val="00446B81"/>
    <w:rsid w:val="00446D47"/>
    <w:rsid w:val="00446D54"/>
    <w:rsid w:val="00446DF9"/>
    <w:rsid w:val="00447023"/>
    <w:rsid w:val="0044705B"/>
    <w:rsid w:val="004470A6"/>
    <w:rsid w:val="004470AB"/>
    <w:rsid w:val="004470B5"/>
    <w:rsid w:val="004470D6"/>
    <w:rsid w:val="00447210"/>
    <w:rsid w:val="0044737A"/>
    <w:rsid w:val="0044753C"/>
    <w:rsid w:val="004476A7"/>
    <w:rsid w:val="0044781D"/>
    <w:rsid w:val="0044784F"/>
    <w:rsid w:val="004478B8"/>
    <w:rsid w:val="004479AE"/>
    <w:rsid w:val="00447B69"/>
    <w:rsid w:val="00447C15"/>
    <w:rsid w:val="00447D46"/>
    <w:rsid w:val="00447D4A"/>
    <w:rsid w:val="00447D4F"/>
    <w:rsid w:val="00447EA6"/>
    <w:rsid w:val="00447F3A"/>
    <w:rsid w:val="004501FD"/>
    <w:rsid w:val="004503E3"/>
    <w:rsid w:val="00450970"/>
    <w:rsid w:val="004509A1"/>
    <w:rsid w:val="00450B84"/>
    <w:rsid w:val="00450F8C"/>
    <w:rsid w:val="00451085"/>
    <w:rsid w:val="004510AA"/>
    <w:rsid w:val="004510F9"/>
    <w:rsid w:val="00451289"/>
    <w:rsid w:val="00451691"/>
    <w:rsid w:val="004517AA"/>
    <w:rsid w:val="00451CCD"/>
    <w:rsid w:val="00452009"/>
    <w:rsid w:val="004521AC"/>
    <w:rsid w:val="004521CE"/>
    <w:rsid w:val="004522AB"/>
    <w:rsid w:val="004522F0"/>
    <w:rsid w:val="004525F0"/>
    <w:rsid w:val="004526B8"/>
    <w:rsid w:val="00452753"/>
    <w:rsid w:val="00452B98"/>
    <w:rsid w:val="00452C05"/>
    <w:rsid w:val="00452C31"/>
    <w:rsid w:val="00452CAC"/>
    <w:rsid w:val="00452D37"/>
    <w:rsid w:val="004530E9"/>
    <w:rsid w:val="00453243"/>
    <w:rsid w:val="004532BD"/>
    <w:rsid w:val="00453359"/>
    <w:rsid w:val="004534AE"/>
    <w:rsid w:val="00453697"/>
    <w:rsid w:val="00453698"/>
    <w:rsid w:val="0045378C"/>
    <w:rsid w:val="00453834"/>
    <w:rsid w:val="00453D50"/>
    <w:rsid w:val="00453E18"/>
    <w:rsid w:val="0045405D"/>
    <w:rsid w:val="00454118"/>
    <w:rsid w:val="00454394"/>
    <w:rsid w:val="0045450B"/>
    <w:rsid w:val="004547D7"/>
    <w:rsid w:val="00454C5F"/>
    <w:rsid w:val="00455014"/>
    <w:rsid w:val="00455019"/>
    <w:rsid w:val="004550CB"/>
    <w:rsid w:val="00455166"/>
    <w:rsid w:val="004556D8"/>
    <w:rsid w:val="00455809"/>
    <w:rsid w:val="00455D0D"/>
    <w:rsid w:val="00455F0B"/>
    <w:rsid w:val="004561FC"/>
    <w:rsid w:val="004562D0"/>
    <w:rsid w:val="00456309"/>
    <w:rsid w:val="00456311"/>
    <w:rsid w:val="004565D9"/>
    <w:rsid w:val="004568AD"/>
    <w:rsid w:val="00456CCA"/>
    <w:rsid w:val="00456EE4"/>
    <w:rsid w:val="00456FAF"/>
    <w:rsid w:val="00456FD8"/>
    <w:rsid w:val="00457103"/>
    <w:rsid w:val="00457206"/>
    <w:rsid w:val="00457216"/>
    <w:rsid w:val="004573FB"/>
    <w:rsid w:val="0045744E"/>
    <w:rsid w:val="00457509"/>
    <w:rsid w:val="00457565"/>
    <w:rsid w:val="004576B9"/>
    <w:rsid w:val="00457778"/>
    <w:rsid w:val="00457B71"/>
    <w:rsid w:val="00457C37"/>
    <w:rsid w:val="00457CFF"/>
    <w:rsid w:val="00457F0B"/>
    <w:rsid w:val="004606E6"/>
    <w:rsid w:val="00460A87"/>
    <w:rsid w:val="00460B96"/>
    <w:rsid w:val="00460BFF"/>
    <w:rsid w:val="00460C14"/>
    <w:rsid w:val="00460D07"/>
    <w:rsid w:val="00460F48"/>
    <w:rsid w:val="0046101E"/>
    <w:rsid w:val="0046128A"/>
    <w:rsid w:val="004618B3"/>
    <w:rsid w:val="0046215F"/>
    <w:rsid w:val="00462174"/>
    <w:rsid w:val="00462231"/>
    <w:rsid w:val="0046224D"/>
    <w:rsid w:val="00462314"/>
    <w:rsid w:val="0046248E"/>
    <w:rsid w:val="00462605"/>
    <w:rsid w:val="00462A1B"/>
    <w:rsid w:val="00462AC2"/>
    <w:rsid w:val="00462B14"/>
    <w:rsid w:val="00462D61"/>
    <w:rsid w:val="0046315C"/>
    <w:rsid w:val="0046329B"/>
    <w:rsid w:val="004633EB"/>
    <w:rsid w:val="004634C3"/>
    <w:rsid w:val="004635D8"/>
    <w:rsid w:val="0046364F"/>
    <w:rsid w:val="0046377B"/>
    <w:rsid w:val="00463B7A"/>
    <w:rsid w:val="00463C2E"/>
    <w:rsid w:val="00463D73"/>
    <w:rsid w:val="00463D74"/>
    <w:rsid w:val="00464564"/>
    <w:rsid w:val="0046492C"/>
    <w:rsid w:val="004649D5"/>
    <w:rsid w:val="004650BD"/>
    <w:rsid w:val="00465185"/>
    <w:rsid w:val="004651B5"/>
    <w:rsid w:val="0046558C"/>
    <w:rsid w:val="0046577B"/>
    <w:rsid w:val="0046591C"/>
    <w:rsid w:val="00465A3A"/>
    <w:rsid w:val="00465B25"/>
    <w:rsid w:val="00465FB4"/>
    <w:rsid w:val="0046616F"/>
    <w:rsid w:val="00466480"/>
    <w:rsid w:val="0046672D"/>
    <w:rsid w:val="004669E2"/>
    <w:rsid w:val="00466B6F"/>
    <w:rsid w:val="00467045"/>
    <w:rsid w:val="00467132"/>
    <w:rsid w:val="0046718D"/>
    <w:rsid w:val="0046738D"/>
    <w:rsid w:val="00467519"/>
    <w:rsid w:val="00467A67"/>
    <w:rsid w:val="00467ABD"/>
    <w:rsid w:val="00467B6D"/>
    <w:rsid w:val="00467BD2"/>
    <w:rsid w:val="00467C4B"/>
    <w:rsid w:val="00467D40"/>
    <w:rsid w:val="00467DF2"/>
    <w:rsid w:val="00467DFD"/>
    <w:rsid w:val="00467E59"/>
    <w:rsid w:val="00467F49"/>
    <w:rsid w:val="00470267"/>
    <w:rsid w:val="00470348"/>
    <w:rsid w:val="004705B9"/>
    <w:rsid w:val="00470655"/>
    <w:rsid w:val="00470705"/>
    <w:rsid w:val="004707F3"/>
    <w:rsid w:val="0047093C"/>
    <w:rsid w:val="0047099A"/>
    <w:rsid w:val="00470AF7"/>
    <w:rsid w:val="00470C31"/>
    <w:rsid w:val="00470C51"/>
    <w:rsid w:val="00471078"/>
    <w:rsid w:val="004710EC"/>
    <w:rsid w:val="004714E8"/>
    <w:rsid w:val="00471DE0"/>
    <w:rsid w:val="00471E46"/>
    <w:rsid w:val="00471EF7"/>
    <w:rsid w:val="00471FA3"/>
    <w:rsid w:val="00472127"/>
    <w:rsid w:val="0047213E"/>
    <w:rsid w:val="00472236"/>
    <w:rsid w:val="0047226E"/>
    <w:rsid w:val="00472767"/>
    <w:rsid w:val="00472905"/>
    <w:rsid w:val="00472980"/>
    <w:rsid w:val="00472B24"/>
    <w:rsid w:val="00472BF6"/>
    <w:rsid w:val="00472CC4"/>
    <w:rsid w:val="00472D11"/>
    <w:rsid w:val="00472DA7"/>
    <w:rsid w:val="00472FE9"/>
    <w:rsid w:val="004732E6"/>
    <w:rsid w:val="0047332A"/>
    <w:rsid w:val="004734D0"/>
    <w:rsid w:val="0047381A"/>
    <w:rsid w:val="00473957"/>
    <w:rsid w:val="00473B21"/>
    <w:rsid w:val="00473BC5"/>
    <w:rsid w:val="00473F27"/>
    <w:rsid w:val="00474098"/>
    <w:rsid w:val="0047412F"/>
    <w:rsid w:val="004747D3"/>
    <w:rsid w:val="00474957"/>
    <w:rsid w:val="00474D89"/>
    <w:rsid w:val="004750A2"/>
    <w:rsid w:val="004750CD"/>
    <w:rsid w:val="00475216"/>
    <w:rsid w:val="0047532F"/>
    <w:rsid w:val="004753C8"/>
    <w:rsid w:val="004753D4"/>
    <w:rsid w:val="0047556B"/>
    <w:rsid w:val="0047560A"/>
    <w:rsid w:val="00475639"/>
    <w:rsid w:val="0047574A"/>
    <w:rsid w:val="004757B6"/>
    <w:rsid w:val="00475B44"/>
    <w:rsid w:val="00475C0D"/>
    <w:rsid w:val="00475C78"/>
    <w:rsid w:val="00476114"/>
    <w:rsid w:val="00476156"/>
    <w:rsid w:val="0047624F"/>
    <w:rsid w:val="00476493"/>
    <w:rsid w:val="004768AF"/>
    <w:rsid w:val="00476C30"/>
    <w:rsid w:val="00476F00"/>
    <w:rsid w:val="00477075"/>
    <w:rsid w:val="004771C2"/>
    <w:rsid w:val="004771CA"/>
    <w:rsid w:val="004772FD"/>
    <w:rsid w:val="00477470"/>
    <w:rsid w:val="00477538"/>
    <w:rsid w:val="00477694"/>
    <w:rsid w:val="00477768"/>
    <w:rsid w:val="004777AF"/>
    <w:rsid w:val="00477B79"/>
    <w:rsid w:val="00477D31"/>
    <w:rsid w:val="00477E80"/>
    <w:rsid w:val="00480141"/>
    <w:rsid w:val="0048027C"/>
    <w:rsid w:val="004803DD"/>
    <w:rsid w:val="004804BD"/>
    <w:rsid w:val="004807D4"/>
    <w:rsid w:val="004808CC"/>
    <w:rsid w:val="00480A07"/>
    <w:rsid w:val="00480E80"/>
    <w:rsid w:val="00480EE9"/>
    <w:rsid w:val="004812ED"/>
    <w:rsid w:val="00481656"/>
    <w:rsid w:val="00481AAA"/>
    <w:rsid w:val="00481D06"/>
    <w:rsid w:val="00482105"/>
    <w:rsid w:val="00482445"/>
    <w:rsid w:val="00482514"/>
    <w:rsid w:val="00482845"/>
    <w:rsid w:val="00482A96"/>
    <w:rsid w:val="00482AB1"/>
    <w:rsid w:val="00482C82"/>
    <w:rsid w:val="00483208"/>
    <w:rsid w:val="004834CD"/>
    <w:rsid w:val="00483677"/>
    <w:rsid w:val="004839A1"/>
    <w:rsid w:val="004840D9"/>
    <w:rsid w:val="004841A6"/>
    <w:rsid w:val="00484416"/>
    <w:rsid w:val="004845D0"/>
    <w:rsid w:val="004846CB"/>
    <w:rsid w:val="004848E5"/>
    <w:rsid w:val="00484932"/>
    <w:rsid w:val="00484A72"/>
    <w:rsid w:val="00484D2D"/>
    <w:rsid w:val="00484D67"/>
    <w:rsid w:val="00484D91"/>
    <w:rsid w:val="0048502A"/>
    <w:rsid w:val="00485183"/>
    <w:rsid w:val="004851B5"/>
    <w:rsid w:val="004853D5"/>
    <w:rsid w:val="00485603"/>
    <w:rsid w:val="00485782"/>
    <w:rsid w:val="004858E6"/>
    <w:rsid w:val="00485AC3"/>
    <w:rsid w:val="0048661F"/>
    <w:rsid w:val="0048691D"/>
    <w:rsid w:val="00486C41"/>
    <w:rsid w:val="00486D7D"/>
    <w:rsid w:val="00486E10"/>
    <w:rsid w:val="004870B2"/>
    <w:rsid w:val="004872E5"/>
    <w:rsid w:val="0048776C"/>
    <w:rsid w:val="00487924"/>
    <w:rsid w:val="00487A98"/>
    <w:rsid w:val="00487CAF"/>
    <w:rsid w:val="00487D1D"/>
    <w:rsid w:val="00490024"/>
    <w:rsid w:val="00490463"/>
    <w:rsid w:val="00490610"/>
    <w:rsid w:val="00490691"/>
    <w:rsid w:val="0049083A"/>
    <w:rsid w:val="00490A22"/>
    <w:rsid w:val="00490E3E"/>
    <w:rsid w:val="00490F40"/>
    <w:rsid w:val="004912F4"/>
    <w:rsid w:val="00491818"/>
    <w:rsid w:val="004918AD"/>
    <w:rsid w:val="004919D7"/>
    <w:rsid w:val="00491BF9"/>
    <w:rsid w:val="00491D7A"/>
    <w:rsid w:val="00491ED6"/>
    <w:rsid w:val="00491FB3"/>
    <w:rsid w:val="004923FB"/>
    <w:rsid w:val="00492B22"/>
    <w:rsid w:val="00492BC5"/>
    <w:rsid w:val="00492CA7"/>
    <w:rsid w:val="00492F2B"/>
    <w:rsid w:val="004935D2"/>
    <w:rsid w:val="004937CB"/>
    <w:rsid w:val="00493903"/>
    <w:rsid w:val="00493AA0"/>
    <w:rsid w:val="00493C08"/>
    <w:rsid w:val="004941A1"/>
    <w:rsid w:val="004941CE"/>
    <w:rsid w:val="0049421F"/>
    <w:rsid w:val="004942A4"/>
    <w:rsid w:val="0049463C"/>
    <w:rsid w:val="0049466D"/>
    <w:rsid w:val="00494AEA"/>
    <w:rsid w:val="00494B56"/>
    <w:rsid w:val="00494C03"/>
    <w:rsid w:val="00494D43"/>
    <w:rsid w:val="004951A8"/>
    <w:rsid w:val="00495530"/>
    <w:rsid w:val="00495866"/>
    <w:rsid w:val="00495907"/>
    <w:rsid w:val="00495BA2"/>
    <w:rsid w:val="00495C8F"/>
    <w:rsid w:val="0049626A"/>
    <w:rsid w:val="004963FD"/>
    <w:rsid w:val="004964F1"/>
    <w:rsid w:val="00496535"/>
    <w:rsid w:val="004965E4"/>
    <w:rsid w:val="00496693"/>
    <w:rsid w:val="004967BD"/>
    <w:rsid w:val="0049691A"/>
    <w:rsid w:val="004969B7"/>
    <w:rsid w:val="00496C9C"/>
    <w:rsid w:val="00496DB6"/>
    <w:rsid w:val="00496DDC"/>
    <w:rsid w:val="00496F31"/>
    <w:rsid w:val="00497008"/>
    <w:rsid w:val="00497234"/>
    <w:rsid w:val="004974B5"/>
    <w:rsid w:val="0049778C"/>
    <w:rsid w:val="00497E86"/>
    <w:rsid w:val="004A02C1"/>
    <w:rsid w:val="004A031D"/>
    <w:rsid w:val="004A059F"/>
    <w:rsid w:val="004A0622"/>
    <w:rsid w:val="004A0A20"/>
    <w:rsid w:val="004A0A5C"/>
    <w:rsid w:val="004A0D64"/>
    <w:rsid w:val="004A0DDA"/>
    <w:rsid w:val="004A10DF"/>
    <w:rsid w:val="004A129F"/>
    <w:rsid w:val="004A160A"/>
    <w:rsid w:val="004A16BC"/>
    <w:rsid w:val="004A16FF"/>
    <w:rsid w:val="004A1727"/>
    <w:rsid w:val="004A1B57"/>
    <w:rsid w:val="004A1CCC"/>
    <w:rsid w:val="004A22EF"/>
    <w:rsid w:val="004A2535"/>
    <w:rsid w:val="004A2577"/>
    <w:rsid w:val="004A2652"/>
    <w:rsid w:val="004A27E3"/>
    <w:rsid w:val="004A2B94"/>
    <w:rsid w:val="004A2DBA"/>
    <w:rsid w:val="004A2DC0"/>
    <w:rsid w:val="004A2E15"/>
    <w:rsid w:val="004A2ED5"/>
    <w:rsid w:val="004A2FAC"/>
    <w:rsid w:val="004A3274"/>
    <w:rsid w:val="004A3459"/>
    <w:rsid w:val="004A3682"/>
    <w:rsid w:val="004A380B"/>
    <w:rsid w:val="004A3F77"/>
    <w:rsid w:val="004A4208"/>
    <w:rsid w:val="004A42CF"/>
    <w:rsid w:val="004A4602"/>
    <w:rsid w:val="004A4868"/>
    <w:rsid w:val="004A4B66"/>
    <w:rsid w:val="004A4F7E"/>
    <w:rsid w:val="004A5237"/>
    <w:rsid w:val="004A52D5"/>
    <w:rsid w:val="004A52E3"/>
    <w:rsid w:val="004A5718"/>
    <w:rsid w:val="004A5937"/>
    <w:rsid w:val="004A5B79"/>
    <w:rsid w:val="004A61BE"/>
    <w:rsid w:val="004A67FC"/>
    <w:rsid w:val="004A6907"/>
    <w:rsid w:val="004A6B14"/>
    <w:rsid w:val="004A6B1D"/>
    <w:rsid w:val="004A6CB9"/>
    <w:rsid w:val="004A6D7C"/>
    <w:rsid w:val="004A7202"/>
    <w:rsid w:val="004A72DC"/>
    <w:rsid w:val="004A7364"/>
    <w:rsid w:val="004A790B"/>
    <w:rsid w:val="004A7B15"/>
    <w:rsid w:val="004A7B46"/>
    <w:rsid w:val="004A7F30"/>
    <w:rsid w:val="004B048F"/>
    <w:rsid w:val="004B06F8"/>
    <w:rsid w:val="004B07AE"/>
    <w:rsid w:val="004B07E7"/>
    <w:rsid w:val="004B0B03"/>
    <w:rsid w:val="004B103E"/>
    <w:rsid w:val="004B1120"/>
    <w:rsid w:val="004B168C"/>
    <w:rsid w:val="004B19B2"/>
    <w:rsid w:val="004B1A83"/>
    <w:rsid w:val="004B1CC6"/>
    <w:rsid w:val="004B1F15"/>
    <w:rsid w:val="004B1F86"/>
    <w:rsid w:val="004B2144"/>
    <w:rsid w:val="004B250D"/>
    <w:rsid w:val="004B2547"/>
    <w:rsid w:val="004B286B"/>
    <w:rsid w:val="004B29D0"/>
    <w:rsid w:val="004B2D12"/>
    <w:rsid w:val="004B31FD"/>
    <w:rsid w:val="004B373A"/>
    <w:rsid w:val="004B3752"/>
    <w:rsid w:val="004B3779"/>
    <w:rsid w:val="004B3901"/>
    <w:rsid w:val="004B3A79"/>
    <w:rsid w:val="004B3AD0"/>
    <w:rsid w:val="004B3B7E"/>
    <w:rsid w:val="004B3E89"/>
    <w:rsid w:val="004B3EAD"/>
    <w:rsid w:val="004B3EE5"/>
    <w:rsid w:val="004B40BD"/>
    <w:rsid w:val="004B40F8"/>
    <w:rsid w:val="004B40FB"/>
    <w:rsid w:val="004B42C5"/>
    <w:rsid w:val="004B45CF"/>
    <w:rsid w:val="004B45F0"/>
    <w:rsid w:val="004B46B6"/>
    <w:rsid w:val="004B4819"/>
    <w:rsid w:val="004B4EE1"/>
    <w:rsid w:val="004B4EF9"/>
    <w:rsid w:val="004B5158"/>
    <w:rsid w:val="004B538B"/>
    <w:rsid w:val="004B5393"/>
    <w:rsid w:val="004B5580"/>
    <w:rsid w:val="004B575D"/>
    <w:rsid w:val="004B5835"/>
    <w:rsid w:val="004B58F9"/>
    <w:rsid w:val="004B59F9"/>
    <w:rsid w:val="004B5DBB"/>
    <w:rsid w:val="004B63E5"/>
    <w:rsid w:val="004B679F"/>
    <w:rsid w:val="004B69C9"/>
    <w:rsid w:val="004B6F6A"/>
    <w:rsid w:val="004B75A1"/>
    <w:rsid w:val="004B76C6"/>
    <w:rsid w:val="004B775F"/>
    <w:rsid w:val="004B777A"/>
    <w:rsid w:val="004B785A"/>
    <w:rsid w:val="004B7966"/>
    <w:rsid w:val="004B7C0C"/>
    <w:rsid w:val="004B7C7D"/>
    <w:rsid w:val="004B7E99"/>
    <w:rsid w:val="004C021A"/>
    <w:rsid w:val="004C04B6"/>
    <w:rsid w:val="004C12CA"/>
    <w:rsid w:val="004C1310"/>
    <w:rsid w:val="004C13D9"/>
    <w:rsid w:val="004C184D"/>
    <w:rsid w:val="004C1916"/>
    <w:rsid w:val="004C2319"/>
    <w:rsid w:val="004C23A9"/>
    <w:rsid w:val="004C23F9"/>
    <w:rsid w:val="004C2432"/>
    <w:rsid w:val="004C2735"/>
    <w:rsid w:val="004C277C"/>
    <w:rsid w:val="004C29FD"/>
    <w:rsid w:val="004C2A6C"/>
    <w:rsid w:val="004C2C8D"/>
    <w:rsid w:val="004C2FE8"/>
    <w:rsid w:val="004C30DB"/>
    <w:rsid w:val="004C34F5"/>
    <w:rsid w:val="004C3898"/>
    <w:rsid w:val="004C4117"/>
    <w:rsid w:val="004C41CE"/>
    <w:rsid w:val="004C42AD"/>
    <w:rsid w:val="004C46E6"/>
    <w:rsid w:val="004C4BB9"/>
    <w:rsid w:val="004C4C45"/>
    <w:rsid w:val="004C4ECD"/>
    <w:rsid w:val="004C50AC"/>
    <w:rsid w:val="004C56DF"/>
    <w:rsid w:val="004C5901"/>
    <w:rsid w:val="004C5930"/>
    <w:rsid w:val="004C5956"/>
    <w:rsid w:val="004C5A31"/>
    <w:rsid w:val="004C5AB1"/>
    <w:rsid w:val="004C5AFE"/>
    <w:rsid w:val="004C5B60"/>
    <w:rsid w:val="004C5DD8"/>
    <w:rsid w:val="004C6234"/>
    <w:rsid w:val="004C6287"/>
    <w:rsid w:val="004C629A"/>
    <w:rsid w:val="004C6580"/>
    <w:rsid w:val="004C6863"/>
    <w:rsid w:val="004C6CCC"/>
    <w:rsid w:val="004C6E92"/>
    <w:rsid w:val="004C7164"/>
    <w:rsid w:val="004C72DA"/>
    <w:rsid w:val="004C75CB"/>
    <w:rsid w:val="004C78C0"/>
    <w:rsid w:val="004C794B"/>
    <w:rsid w:val="004C7AC3"/>
    <w:rsid w:val="004D0011"/>
    <w:rsid w:val="004D00C5"/>
    <w:rsid w:val="004D025A"/>
    <w:rsid w:val="004D02F5"/>
    <w:rsid w:val="004D05EB"/>
    <w:rsid w:val="004D0F15"/>
    <w:rsid w:val="004D0F85"/>
    <w:rsid w:val="004D1229"/>
    <w:rsid w:val="004D131D"/>
    <w:rsid w:val="004D13AB"/>
    <w:rsid w:val="004D185D"/>
    <w:rsid w:val="004D186E"/>
    <w:rsid w:val="004D1FB9"/>
    <w:rsid w:val="004D20C3"/>
    <w:rsid w:val="004D23DC"/>
    <w:rsid w:val="004D2474"/>
    <w:rsid w:val="004D26B3"/>
    <w:rsid w:val="004D28E4"/>
    <w:rsid w:val="004D2910"/>
    <w:rsid w:val="004D2BB6"/>
    <w:rsid w:val="004D2CCF"/>
    <w:rsid w:val="004D316D"/>
    <w:rsid w:val="004D36B1"/>
    <w:rsid w:val="004D3798"/>
    <w:rsid w:val="004D3A9D"/>
    <w:rsid w:val="004D3B70"/>
    <w:rsid w:val="004D3C0D"/>
    <w:rsid w:val="004D3C42"/>
    <w:rsid w:val="004D3E98"/>
    <w:rsid w:val="004D3F33"/>
    <w:rsid w:val="004D3F8E"/>
    <w:rsid w:val="004D4353"/>
    <w:rsid w:val="004D4368"/>
    <w:rsid w:val="004D43D7"/>
    <w:rsid w:val="004D4548"/>
    <w:rsid w:val="004D4729"/>
    <w:rsid w:val="004D4747"/>
    <w:rsid w:val="004D4769"/>
    <w:rsid w:val="004D48B3"/>
    <w:rsid w:val="004D49BA"/>
    <w:rsid w:val="004D4B47"/>
    <w:rsid w:val="004D4BE1"/>
    <w:rsid w:val="004D4E62"/>
    <w:rsid w:val="004D4F4F"/>
    <w:rsid w:val="004D54ED"/>
    <w:rsid w:val="004D5548"/>
    <w:rsid w:val="004D582F"/>
    <w:rsid w:val="004D5C71"/>
    <w:rsid w:val="004D5EA6"/>
    <w:rsid w:val="004D5F0D"/>
    <w:rsid w:val="004D6306"/>
    <w:rsid w:val="004D63CA"/>
    <w:rsid w:val="004D6527"/>
    <w:rsid w:val="004D6730"/>
    <w:rsid w:val="004D67CA"/>
    <w:rsid w:val="004D6810"/>
    <w:rsid w:val="004D6963"/>
    <w:rsid w:val="004D6CE4"/>
    <w:rsid w:val="004D6D39"/>
    <w:rsid w:val="004D6E89"/>
    <w:rsid w:val="004D7086"/>
    <w:rsid w:val="004D710F"/>
    <w:rsid w:val="004D7258"/>
    <w:rsid w:val="004D73E0"/>
    <w:rsid w:val="004D7465"/>
    <w:rsid w:val="004D76E3"/>
    <w:rsid w:val="004D7772"/>
    <w:rsid w:val="004D7DA6"/>
    <w:rsid w:val="004D7EBD"/>
    <w:rsid w:val="004E0024"/>
    <w:rsid w:val="004E0210"/>
    <w:rsid w:val="004E02FA"/>
    <w:rsid w:val="004E0937"/>
    <w:rsid w:val="004E0A5E"/>
    <w:rsid w:val="004E0EE1"/>
    <w:rsid w:val="004E0F41"/>
    <w:rsid w:val="004E0FCC"/>
    <w:rsid w:val="004E126A"/>
    <w:rsid w:val="004E12D5"/>
    <w:rsid w:val="004E15F7"/>
    <w:rsid w:val="004E1640"/>
    <w:rsid w:val="004E1775"/>
    <w:rsid w:val="004E1CBC"/>
    <w:rsid w:val="004E1DDC"/>
    <w:rsid w:val="004E1FC5"/>
    <w:rsid w:val="004E216B"/>
    <w:rsid w:val="004E2310"/>
    <w:rsid w:val="004E2680"/>
    <w:rsid w:val="004E28F9"/>
    <w:rsid w:val="004E29EA"/>
    <w:rsid w:val="004E2A04"/>
    <w:rsid w:val="004E2CA6"/>
    <w:rsid w:val="004E2D37"/>
    <w:rsid w:val="004E2EA5"/>
    <w:rsid w:val="004E305D"/>
    <w:rsid w:val="004E30A4"/>
    <w:rsid w:val="004E3309"/>
    <w:rsid w:val="004E3588"/>
    <w:rsid w:val="004E369E"/>
    <w:rsid w:val="004E37B3"/>
    <w:rsid w:val="004E3C7E"/>
    <w:rsid w:val="004E4457"/>
    <w:rsid w:val="004E462E"/>
    <w:rsid w:val="004E4A5A"/>
    <w:rsid w:val="004E4B64"/>
    <w:rsid w:val="004E4C19"/>
    <w:rsid w:val="004E4DE1"/>
    <w:rsid w:val="004E4F4B"/>
    <w:rsid w:val="004E4FC0"/>
    <w:rsid w:val="004E5425"/>
    <w:rsid w:val="004E5462"/>
    <w:rsid w:val="004E5536"/>
    <w:rsid w:val="004E56DC"/>
    <w:rsid w:val="004E573C"/>
    <w:rsid w:val="004E57EE"/>
    <w:rsid w:val="004E5AED"/>
    <w:rsid w:val="004E5C8A"/>
    <w:rsid w:val="004E5F87"/>
    <w:rsid w:val="004E6CA2"/>
    <w:rsid w:val="004E6D2F"/>
    <w:rsid w:val="004E7006"/>
    <w:rsid w:val="004E7332"/>
    <w:rsid w:val="004E7570"/>
    <w:rsid w:val="004E7687"/>
    <w:rsid w:val="004E76F4"/>
    <w:rsid w:val="004E792B"/>
    <w:rsid w:val="004E7B5F"/>
    <w:rsid w:val="004E7F5E"/>
    <w:rsid w:val="004F0394"/>
    <w:rsid w:val="004F03A0"/>
    <w:rsid w:val="004F03C8"/>
    <w:rsid w:val="004F0A2B"/>
    <w:rsid w:val="004F0ABE"/>
    <w:rsid w:val="004F0B1C"/>
    <w:rsid w:val="004F0B4E"/>
    <w:rsid w:val="004F0B6C"/>
    <w:rsid w:val="004F114F"/>
    <w:rsid w:val="004F11BD"/>
    <w:rsid w:val="004F1653"/>
    <w:rsid w:val="004F16A8"/>
    <w:rsid w:val="004F16F6"/>
    <w:rsid w:val="004F17D8"/>
    <w:rsid w:val="004F182A"/>
    <w:rsid w:val="004F185C"/>
    <w:rsid w:val="004F1EFE"/>
    <w:rsid w:val="004F2078"/>
    <w:rsid w:val="004F21A6"/>
    <w:rsid w:val="004F246F"/>
    <w:rsid w:val="004F271D"/>
    <w:rsid w:val="004F2791"/>
    <w:rsid w:val="004F29B9"/>
    <w:rsid w:val="004F2A1F"/>
    <w:rsid w:val="004F2D0B"/>
    <w:rsid w:val="004F2E98"/>
    <w:rsid w:val="004F3035"/>
    <w:rsid w:val="004F3068"/>
    <w:rsid w:val="004F3453"/>
    <w:rsid w:val="004F37CC"/>
    <w:rsid w:val="004F3938"/>
    <w:rsid w:val="004F4AE5"/>
    <w:rsid w:val="004F4B99"/>
    <w:rsid w:val="004F4D15"/>
    <w:rsid w:val="004F4D2C"/>
    <w:rsid w:val="004F4DA3"/>
    <w:rsid w:val="004F4E2A"/>
    <w:rsid w:val="004F4F05"/>
    <w:rsid w:val="004F4F94"/>
    <w:rsid w:val="004F50BC"/>
    <w:rsid w:val="004F5290"/>
    <w:rsid w:val="004F52D3"/>
    <w:rsid w:val="004F53C1"/>
    <w:rsid w:val="004F563C"/>
    <w:rsid w:val="004F56B3"/>
    <w:rsid w:val="004F580A"/>
    <w:rsid w:val="004F5A95"/>
    <w:rsid w:val="004F5BE0"/>
    <w:rsid w:val="004F5C17"/>
    <w:rsid w:val="004F5E65"/>
    <w:rsid w:val="004F60A2"/>
    <w:rsid w:val="004F6565"/>
    <w:rsid w:val="004F6AF1"/>
    <w:rsid w:val="004F6B11"/>
    <w:rsid w:val="004F6D93"/>
    <w:rsid w:val="004F6EDC"/>
    <w:rsid w:val="004F6F04"/>
    <w:rsid w:val="004F71D7"/>
    <w:rsid w:val="004F730E"/>
    <w:rsid w:val="004F7354"/>
    <w:rsid w:val="004F73B5"/>
    <w:rsid w:val="004F7660"/>
    <w:rsid w:val="004F76DE"/>
    <w:rsid w:val="004F76F2"/>
    <w:rsid w:val="004F7878"/>
    <w:rsid w:val="004F7A59"/>
    <w:rsid w:val="004F7FA6"/>
    <w:rsid w:val="00500110"/>
    <w:rsid w:val="005002A4"/>
    <w:rsid w:val="0050033E"/>
    <w:rsid w:val="00500691"/>
    <w:rsid w:val="00500813"/>
    <w:rsid w:val="005008D8"/>
    <w:rsid w:val="00500B25"/>
    <w:rsid w:val="005010B1"/>
    <w:rsid w:val="005012AA"/>
    <w:rsid w:val="00501636"/>
    <w:rsid w:val="0050166C"/>
    <w:rsid w:val="005016B6"/>
    <w:rsid w:val="005016BD"/>
    <w:rsid w:val="005016C8"/>
    <w:rsid w:val="005018F2"/>
    <w:rsid w:val="00501949"/>
    <w:rsid w:val="00501AEF"/>
    <w:rsid w:val="00501CD4"/>
    <w:rsid w:val="00501D40"/>
    <w:rsid w:val="0050208F"/>
    <w:rsid w:val="0050220C"/>
    <w:rsid w:val="005027AA"/>
    <w:rsid w:val="0050280A"/>
    <w:rsid w:val="00502CA2"/>
    <w:rsid w:val="00502DF3"/>
    <w:rsid w:val="0050306A"/>
    <w:rsid w:val="005030F7"/>
    <w:rsid w:val="005032A0"/>
    <w:rsid w:val="00503E8A"/>
    <w:rsid w:val="00504122"/>
    <w:rsid w:val="0050420A"/>
    <w:rsid w:val="00504530"/>
    <w:rsid w:val="0050454C"/>
    <w:rsid w:val="00504564"/>
    <w:rsid w:val="00504633"/>
    <w:rsid w:val="00504B21"/>
    <w:rsid w:val="00504EAB"/>
    <w:rsid w:val="00505370"/>
    <w:rsid w:val="005055B7"/>
    <w:rsid w:val="00505A5B"/>
    <w:rsid w:val="00505B2B"/>
    <w:rsid w:val="00505C80"/>
    <w:rsid w:val="00505CEC"/>
    <w:rsid w:val="0050620B"/>
    <w:rsid w:val="0050624B"/>
    <w:rsid w:val="005062AF"/>
    <w:rsid w:val="0050632E"/>
    <w:rsid w:val="00506557"/>
    <w:rsid w:val="005065E2"/>
    <w:rsid w:val="005066F3"/>
    <w:rsid w:val="0050677A"/>
    <w:rsid w:val="0050680A"/>
    <w:rsid w:val="00506870"/>
    <w:rsid w:val="00506989"/>
    <w:rsid w:val="00506DC1"/>
    <w:rsid w:val="00506ED0"/>
    <w:rsid w:val="00507058"/>
    <w:rsid w:val="005070F8"/>
    <w:rsid w:val="005073D4"/>
    <w:rsid w:val="00507461"/>
    <w:rsid w:val="0050747A"/>
    <w:rsid w:val="00507549"/>
    <w:rsid w:val="005076CC"/>
    <w:rsid w:val="00507CFF"/>
    <w:rsid w:val="00507F50"/>
    <w:rsid w:val="00507F94"/>
    <w:rsid w:val="005102DF"/>
    <w:rsid w:val="0051047F"/>
    <w:rsid w:val="005104F1"/>
    <w:rsid w:val="005107EA"/>
    <w:rsid w:val="005108D8"/>
    <w:rsid w:val="00510903"/>
    <w:rsid w:val="00510C69"/>
    <w:rsid w:val="00510C95"/>
    <w:rsid w:val="00510CFD"/>
    <w:rsid w:val="00510E59"/>
    <w:rsid w:val="00510EF8"/>
    <w:rsid w:val="00510FD2"/>
    <w:rsid w:val="00510FF2"/>
    <w:rsid w:val="00511187"/>
    <w:rsid w:val="0051127B"/>
    <w:rsid w:val="00511292"/>
    <w:rsid w:val="00511535"/>
    <w:rsid w:val="005116F9"/>
    <w:rsid w:val="00511755"/>
    <w:rsid w:val="00511ACD"/>
    <w:rsid w:val="00511B98"/>
    <w:rsid w:val="00511D40"/>
    <w:rsid w:val="00511D60"/>
    <w:rsid w:val="005120D0"/>
    <w:rsid w:val="00512120"/>
    <w:rsid w:val="005124CF"/>
    <w:rsid w:val="00512511"/>
    <w:rsid w:val="00512528"/>
    <w:rsid w:val="005126E1"/>
    <w:rsid w:val="00512951"/>
    <w:rsid w:val="00512B45"/>
    <w:rsid w:val="00512C53"/>
    <w:rsid w:val="0051334E"/>
    <w:rsid w:val="005137D4"/>
    <w:rsid w:val="0051394C"/>
    <w:rsid w:val="00513B54"/>
    <w:rsid w:val="00513CB6"/>
    <w:rsid w:val="00513EA7"/>
    <w:rsid w:val="00514083"/>
    <w:rsid w:val="005140A9"/>
    <w:rsid w:val="00514197"/>
    <w:rsid w:val="005145D9"/>
    <w:rsid w:val="005147AC"/>
    <w:rsid w:val="0051485B"/>
    <w:rsid w:val="00514900"/>
    <w:rsid w:val="00514932"/>
    <w:rsid w:val="00514D0B"/>
    <w:rsid w:val="00514FD3"/>
    <w:rsid w:val="00515187"/>
    <w:rsid w:val="00515269"/>
    <w:rsid w:val="005152A1"/>
    <w:rsid w:val="005153A7"/>
    <w:rsid w:val="0051543B"/>
    <w:rsid w:val="005157EC"/>
    <w:rsid w:val="00515957"/>
    <w:rsid w:val="00515A54"/>
    <w:rsid w:val="00515D73"/>
    <w:rsid w:val="00515DBC"/>
    <w:rsid w:val="00515E43"/>
    <w:rsid w:val="005162F9"/>
    <w:rsid w:val="00516468"/>
    <w:rsid w:val="00516823"/>
    <w:rsid w:val="00516EC2"/>
    <w:rsid w:val="00516EE4"/>
    <w:rsid w:val="005170D1"/>
    <w:rsid w:val="0051732C"/>
    <w:rsid w:val="00517691"/>
    <w:rsid w:val="005176D8"/>
    <w:rsid w:val="00517AF0"/>
    <w:rsid w:val="00517D2D"/>
    <w:rsid w:val="00517D3F"/>
    <w:rsid w:val="00517DFF"/>
    <w:rsid w:val="00517E57"/>
    <w:rsid w:val="005200C0"/>
    <w:rsid w:val="0052036D"/>
    <w:rsid w:val="005204C0"/>
    <w:rsid w:val="005207C8"/>
    <w:rsid w:val="00520D77"/>
    <w:rsid w:val="00520DD0"/>
    <w:rsid w:val="00520F46"/>
    <w:rsid w:val="0052101B"/>
    <w:rsid w:val="00521029"/>
    <w:rsid w:val="005210FE"/>
    <w:rsid w:val="0052125D"/>
    <w:rsid w:val="00521301"/>
    <w:rsid w:val="00521410"/>
    <w:rsid w:val="005215A0"/>
    <w:rsid w:val="005215E6"/>
    <w:rsid w:val="00521631"/>
    <w:rsid w:val="00521876"/>
    <w:rsid w:val="00521970"/>
    <w:rsid w:val="005219CF"/>
    <w:rsid w:val="00521A8C"/>
    <w:rsid w:val="00521B8C"/>
    <w:rsid w:val="00521CFE"/>
    <w:rsid w:val="00521D8A"/>
    <w:rsid w:val="00521EC7"/>
    <w:rsid w:val="00522605"/>
    <w:rsid w:val="00522731"/>
    <w:rsid w:val="00522E72"/>
    <w:rsid w:val="00523142"/>
    <w:rsid w:val="0052361C"/>
    <w:rsid w:val="00523985"/>
    <w:rsid w:val="00523B2F"/>
    <w:rsid w:val="00523B84"/>
    <w:rsid w:val="00523E1B"/>
    <w:rsid w:val="00523EE1"/>
    <w:rsid w:val="00523EEF"/>
    <w:rsid w:val="00523FD8"/>
    <w:rsid w:val="005246FC"/>
    <w:rsid w:val="005249D1"/>
    <w:rsid w:val="00524C64"/>
    <w:rsid w:val="00524CFE"/>
    <w:rsid w:val="00524D9D"/>
    <w:rsid w:val="00524E6E"/>
    <w:rsid w:val="00524EDE"/>
    <w:rsid w:val="00525175"/>
    <w:rsid w:val="00525490"/>
    <w:rsid w:val="0052549F"/>
    <w:rsid w:val="005254BA"/>
    <w:rsid w:val="005255E7"/>
    <w:rsid w:val="0052583E"/>
    <w:rsid w:val="00525AD7"/>
    <w:rsid w:val="00525D47"/>
    <w:rsid w:val="00525EE0"/>
    <w:rsid w:val="00525F50"/>
    <w:rsid w:val="0052620A"/>
    <w:rsid w:val="0052627E"/>
    <w:rsid w:val="00526582"/>
    <w:rsid w:val="005266AF"/>
    <w:rsid w:val="005267A6"/>
    <w:rsid w:val="00526CA1"/>
    <w:rsid w:val="0052703A"/>
    <w:rsid w:val="005272F1"/>
    <w:rsid w:val="005273C1"/>
    <w:rsid w:val="0052741F"/>
    <w:rsid w:val="00527693"/>
    <w:rsid w:val="00527745"/>
    <w:rsid w:val="0052778C"/>
    <w:rsid w:val="005278F1"/>
    <w:rsid w:val="005279F4"/>
    <w:rsid w:val="00527C6E"/>
    <w:rsid w:val="00527C87"/>
    <w:rsid w:val="00527F3E"/>
    <w:rsid w:val="0053019F"/>
    <w:rsid w:val="005302A7"/>
    <w:rsid w:val="0053037B"/>
    <w:rsid w:val="00530451"/>
    <w:rsid w:val="00530479"/>
    <w:rsid w:val="005309C9"/>
    <w:rsid w:val="005313A0"/>
    <w:rsid w:val="0053179B"/>
    <w:rsid w:val="00531854"/>
    <w:rsid w:val="0053198A"/>
    <w:rsid w:val="00532642"/>
    <w:rsid w:val="0053268D"/>
    <w:rsid w:val="00532913"/>
    <w:rsid w:val="00532A40"/>
    <w:rsid w:val="00532D34"/>
    <w:rsid w:val="00533227"/>
    <w:rsid w:val="00533601"/>
    <w:rsid w:val="00533962"/>
    <w:rsid w:val="00533A15"/>
    <w:rsid w:val="00533A9B"/>
    <w:rsid w:val="00533C6F"/>
    <w:rsid w:val="00533CE1"/>
    <w:rsid w:val="00533D55"/>
    <w:rsid w:val="00533E66"/>
    <w:rsid w:val="005341CA"/>
    <w:rsid w:val="00534573"/>
    <w:rsid w:val="00534915"/>
    <w:rsid w:val="005349BC"/>
    <w:rsid w:val="005349D2"/>
    <w:rsid w:val="00534A84"/>
    <w:rsid w:val="00534B59"/>
    <w:rsid w:val="00534BB2"/>
    <w:rsid w:val="00534CB2"/>
    <w:rsid w:val="00534EDC"/>
    <w:rsid w:val="00534F37"/>
    <w:rsid w:val="00534F96"/>
    <w:rsid w:val="0053506A"/>
    <w:rsid w:val="00535182"/>
    <w:rsid w:val="00535338"/>
    <w:rsid w:val="00535343"/>
    <w:rsid w:val="00535511"/>
    <w:rsid w:val="00535679"/>
    <w:rsid w:val="005357C0"/>
    <w:rsid w:val="00535818"/>
    <w:rsid w:val="00535AA3"/>
    <w:rsid w:val="00535D01"/>
    <w:rsid w:val="00535FBA"/>
    <w:rsid w:val="0053641E"/>
    <w:rsid w:val="0053653C"/>
    <w:rsid w:val="005365C8"/>
    <w:rsid w:val="0053665A"/>
    <w:rsid w:val="00536663"/>
    <w:rsid w:val="00536759"/>
    <w:rsid w:val="00536B28"/>
    <w:rsid w:val="00536D72"/>
    <w:rsid w:val="00536F79"/>
    <w:rsid w:val="005370FB"/>
    <w:rsid w:val="00537197"/>
    <w:rsid w:val="005374CD"/>
    <w:rsid w:val="00537809"/>
    <w:rsid w:val="00537C62"/>
    <w:rsid w:val="00537D66"/>
    <w:rsid w:val="0054044D"/>
    <w:rsid w:val="005405AE"/>
    <w:rsid w:val="00540741"/>
    <w:rsid w:val="005409AB"/>
    <w:rsid w:val="00540BE0"/>
    <w:rsid w:val="00540C30"/>
    <w:rsid w:val="00540E92"/>
    <w:rsid w:val="0054109A"/>
    <w:rsid w:val="005412CD"/>
    <w:rsid w:val="00541538"/>
    <w:rsid w:val="005415F4"/>
    <w:rsid w:val="00541928"/>
    <w:rsid w:val="00541957"/>
    <w:rsid w:val="005419FA"/>
    <w:rsid w:val="00541B2E"/>
    <w:rsid w:val="00541DB6"/>
    <w:rsid w:val="00541E02"/>
    <w:rsid w:val="00541E5B"/>
    <w:rsid w:val="00541EE0"/>
    <w:rsid w:val="00542076"/>
    <w:rsid w:val="005425DA"/>
    <w:rsid w:val="00542842"/>
    <w:rsid w:val="00542932"/>
    <w:rsid w:val="00542AF2"/>
    <w:rsid w:val="00542C46"/>
    <w:rsid w:val="00542C7A"/>
    <w:rsid w:val="00542C82"/>
    <w:rsid w:val="00542D26"/>
    <w:rsid w:val="00542F36"/>
    <w:rsid w:val="00543155"/>
    <w:rsid w:val="00543247"/>
    <w:rsid w:val="00543268"/>
    <w:rsid w:val="00543330"/>
    <w:rsid w:val="0054340D"/>
    <w:rsid w:val="00543437"/>
    <w:rsid w:val="00543464"/>
    <w:rsid w:val="00543573"/>
    <w:rsid w:val="005437E4"/>
    <w:rsid w:val="00543AA4"/>
    <w:rsid w:val="00543BDE"/>
    <w:rsid w:val="00543C7C"/>
    <w:rsid w:val="00543D97"/>
    <w:rsid w:val="005440F3"/>
    <w:rsid w:val="005442EF"/>
    <w:rsid w:val="0054442E"/>
    <w:rsid w:val="00544590"/>
    <w:rsid w:val="005445E5"/>
    <w:rsid w:val="00544678"/>
    <w:rsid w:val="005448E2"/>
    <w:rsid w:val="00544B35"/>
    <w:rsid w:val="00544D7E"/>
    <w:rsid w:val="00544DF7"/>
    <w:rsid w:val="00544EBE"/>
    <w:rsid w:val="00544F5F"/>
    <w:rsid w:val="0054500D"/>
    <w:rsid w:val="0054504D"/>
    <w:rsid w:val="005451DE"/>
    <w:rsid w:val="00545310"/>
    <w:rsid w:val="005454DF"/>
    <w:rsid w:val="0054601B"/>
    <w:rsid w:val="00546114"/>
    <w:rsid w:val="0054614C"/>
    <w:rsid w:val="00546348"/>
    <w:rsid w:val="00546521"/>
    <w:rsid w:val="005468AA"/>
    <w:rsid w:val="00546917"/>
    <w:rsid w:val="00546970"/>
    <w:rsid w:val="005469C4"/>
    <w:rsid w:val="00546AE5"/>
    <w:rsid w:val="00546C17"/>
    <w:rsid w:val="00546D26"/>
    <w:rsid w:val="0054765B"/>
    <w:rsid w:val="005476CF"/>
    <w:rsid w:val="00547907"/>
    <w:rsid w:val="0054799D"/>
    <w:rsid w:val="005479DC"/>
    <w:rsid w:val="00547A62"/>
    <w:rsid w:val="00547CC0"/>
    <w:rsid w:val="00547E25"/>
    <w:rsid w:val="00550229"/>
    <w:rsid w:val="00550232"/>
    <w:rsid w:val="0055037A"/>
    <w:rsid w:val="005505F8"/>
    <w:rsid w:val="00550801"/>
    <w:rsid w:val="005508EC"/>
    <w:rsid w:val="005509A2"/>
    <w:rsid w:val="00550B0E"/>
    <w:rsid w:val="00551126"/>
    <w:rsid w:val="0055113D"/>
    <w:rsid w:val="0055159C"/>
    <w:rsid w:val="005516B7"/>
    <w:rsid w:val="00551951"/>
    <w:rsid w:val="00551DD4"/>
    <w:rsid w:val="00552016"/>
    <w:rsid w:val="005522B5"/>
    <w:rsid w:val="005524BF"/>
    <w:rsid w:val="005527D2"/>
    <w:rsid w:val="00552C0A"/>
    <w:rsid w:val="005530B7"/>
    <w:rsid w:val="00553226"/>
    <w:rsid w:val="0055366F"/>
    <w:rsid w:val="00553B5D"/>
    <w:rsid w:val="00553E61"/>
    <w:rsid w:val="005543AF"/>
    <w:rsid w:val="005545ED"/>
    <w:rsid w:val="005546AD"/>
    <w:rsid w:val="00554701"/>
    <w:rsid w:val="00554933"/>
    <w:rsid w:val="00554A1D"/>
    <w:rsid w:val="00554D6E"/>
    <w:rsid w:val="00554E19"/>
    <w:rsid w:val="00554F56"/>
    <w:rsid w:val="00554FE1"/>
    <w:rsid w:val="005554F0"/>
    <w:rsid w:val="00555579"/>
    <w:rsid w:val="0055557F"/>
    <w:rsid w:val="00555958"/>
    <w:rsid w:val="00555BB6"/>
    <w:rsid w:val="00555C06"/>
    <w:rsid w:val="00555DFE"/>
    <w:rsid w:val="00556177"/>
    <w:rsid w:val="0055664E"/>
    <w:rsid w:val="005566D9"/>
    <w:rsid w:val="00556850"/>
    <w:rsid w:val="0055713C"/>
    <w:rsid w:val="00557508"/>
    <w:rsid w:val="00557980"/>
    <w:rsid w:val="00557B57"/>
    <w:rsid w:val="00557CC8"/>
    <w:rsid w:val="005600D8"/>
    <w:rsid w:val="0056010F"/>
    <w:rsid w:val="0056043D"/>
    <w:rsid w:val="005604E2"/>
    <w:rsid w:val="005604E9"/>
    <w:rsid w:val="0056051A"/>
    <w:rsid w:val="005607CA"/>
    <w:rsid w:val="005608AB"/>
    <w:rsid w:val="00560F38"/>
    <w:rsid w:val="00560FA1"/>
    <w:rsid w:val="00561218"/>
    <w:rsid w:val="0056121F"/>
    <w:rsid w:val="00561472"/>
    <w:rsid w:val="0056153A"/>
    <w:rsid w:val="0056175D"/>
    <w:rsid w:val="00561A3B"/>
    <w:rsid w:val="00561B84"/>
    <w:rsid w:val="00561CC0"/>
    <w:rsid w:val="00561EAD"/>
    <w:rsid w:val="00561F0A"/>
    <w:rsid w:val="00562001"/>
    <w:rsid w:val="00562351"/>
    <w:rsid w:val="005623A8"/>
    <w:rsid w:val="005626A4"/>
    <w:rsid w:val="00562B29"/>
    <w:rsid w:val="00562BB9"/>
    <w:rsid w:val="00562E43"/>
    <w:rsid w:val="00562ED3"/>
    <w:rsid w:val="00562F8B"/>
    <w:rsid w:val="00563090"/>
    <w:rsid w:val="0056312F"/>
    <w:rsid w:val="005633DC"/>
    <w:rsid w:val="00563C5C"/>
    <w:rsid w:val="00563CF8"/>
    <w:rsid w:val="00563D8C"/>
    <w:rsid w:val="00563E94"/>
    <w:rsid w:val="00563F70"/>
    <w:rsid w:val="00563F9F"/>
    <w:rsid w:val="005641EC"/>
    <w:rsid w:val="0056435A"/>
    <w:rsid w:val="005643AA"/>
    <w:rsid w:val="00564445"/>
    <w:rsid w:val="005644D0"/>
    <w:rsid w:val="00564543"/>
    <w:rsid w:val="00564BDE"/>
    <w:rsid w:val="00564BFD"/>
    <w:rsid w:val="00564C24"/>
    <w:rsid w:val="00564ED5"/>
    <w:rsid w:val="00564F6D"/>
    <w:rsid w:val="00565011"/>
    <w:rsid w:val="0056537D"/>
    <w:rsid w:val="005653B4"/>
    <w:rsid w:val="005656AA"/>
    <w:rsid w:val="005658D6"/>
    <w:rsid w:val="00565AEB"/>
    <w:rsid w:val="00565BCA"/>
    <w:rsid w:val="00565DC9"/>
    <w:rsid w:val="00566053"/>
    <w:rsid w:val="005666C0"/>
    <w:rsid w:val="0056692D"/>
    <w:rsid w:val="005669D2"/>
    <w:rsid w:val="00566BB3"/>
    <w:rsid w:val="00566BE2"/>
    <w:rsid w:val="00566E60"/>
    <w:rsid w:val="0056707E"/>
    <w:rsid w:val="00567168"/>
    <w:rsid w:val="0056716F"/>
    <w:rsid w:val="00567170"/>
    <w:rsid w:val="0056733D"/>
    <w:rsid w:val="005676D1"/>
    <w:rsid w:val="005677AF"/>
    <w:rsid w:val="0056794D"/>
    <w:rsid w:val="005679E8"/>
    <w:rsid w:val="00567A6D"/>
    <w:rsid w:val="00567B64"/>
    <w:rsid w:val="005704D4"/>
    <w:rsid w:val="005705D2"/>
    <w:rsid w:val="00570AD6"/>
    <w:rsid w:val="00570CB1"/>
    <w:rsid w:val="0057105C"/>
    <w:rsid w:val="005711B3"/>
    <w:rsid w:val="00571458"/>
    <w:rsid w:val="005717C3"/>
    <w:rsid w:val="005719CC"/>
    <w:rsid w:val="00571A41"/>
    <w:rsid w:val="00571D1B"/>
    <w:rsid w:val="00572098"/>
    <w:rsid w:val="005720FB"/>
    <w:rsid w:val="005721DF"/>
    <w:rsid w:val="005722AC"/>
    <w:rsid w:val="00572505"/>
    <w:rsid w:val="00572CEC"/>
    <w:rsid w:val="00572DB9"/>
    <w:rsid w:val="00572F0A"/>
    <w:rsid w:val="0057314B"/>
    <w:rsid w:val="0057327A"/>
    <w:rsid w:val="005734A7"/>
    <w:rsid w:val="00573787"/>
    <w:rsid w:val="00574033"/>
    <w:rsid w:val="0057419D"/>
    <w:rsid w:val="0057423C"/>
    <w:rsid w:val="00574487"/>
    <w:rsid w:val="0057454F"/>
    <w:rsid w:val="00574628"/>
    <w:rsid w:val="005746C0"/>
    <w:rsid w:val="00574701"/>
    <w:rsid w:val="00574714"/>
    <w:rsid w:val="0057474C"/>
    <w:rsid w:val="005747E3"/>
    <w:rsid w:val="0057480F"/>
    <w:rsid w:val="00574825"/>
    <w:rsid w:val="00574865"/>
    <w:rsid w:val="00574A54"/>
    <w:rsid w:val="00574DDB"/>
    <w:rsid w:val="005752E1"/>
    <w:rsid w:val="00575328"/>
    <w:rsid w:val="00575380"/>
    <w:rsid w:val="00575A03"/>
    <w:rsid w:val="00575B1A"/>
    <w:rsid w:val="00575B8D"/>
    <w:rsid w:val="00575EA2"/>
    <w:rsid w:val="0057604D"/>
    <w:rsid w:val="005762E2"/>
    <w:rsid w:val="005766C8"/>
    <w:rsid w:val="0057672E"/>
    <w:rsid w:val="00576961"/>
    <w:rsid w:val="005776E3"/>
    <w:rsid w:val="00577749"/>
    <w:rsid w:val="005777A8"/>
    <w:rsid w:val="00577855"/>
    <w:rsid w:val="005778CD"/>
    <w:rsid w:val="00577BB5"/>
    <w:rsid w:val="00577DBA"/>
    <w:rsid w:val="00577E93"/>
    <w:rsid w:val="00577F97"/>
    <w:rsid w:val="00577F9D"/>
    <w:rsid w:val="005805DA"/>
    <w:rsid w:val="00580712"/>
    <w:rsid w:val="005807B3"/>
    <w:rsid w:val="00580860"/>
    <w:rsid w:val="00580C4E"/>
    <w:rsid w:val="00580F16"/>
    <w:rsid w:val="00580FF8"/>
    <w:rsid w:val="00581135"/>
    <w:rsid w:val="005811E2"/>
    <w:rsid w:val="00581204"/>
    <w:rsid w:val="005812F7"/>
    <w:rsid w:val="0058141B"/>
    <w:rsid w:val="005815A0"/>
    <w:rsid w:val="00581827"/>
    <w:rsid w:val="00581935"/>
    <w:rsid w:val="00581A29"/>
    <w:rsid w:val="00581A44"/>
    <w:rsid w:val="00581B69"/>
    <w:rsid w:val="00581BD4"/>
    <w:rsid w:val="00581BFA"/>
    <w:rsid w:val="00581CA4"/>
    <w:rsid w:val="00581D9F"/>
    <w:rsid w:val="00581EE3"/>
    <w:rsid w:val="00581F5E"/>
    <w:rsid w:val="00582177"/>
    <w:rsid w:val="0058220C"/>
    <w:rsid w:val="0058250D"/>
    <w:rsid w:val="0058252E"/>
    <w:rsid w:val="005826C2"/>
    <w:rsid w:val="00582809"/>
    <w:rsid w:val="005828C3"/>
    <w:rsid w:val="005828CA"/>
    <w:rsid w:val="00582969"/>
    <w:rsid w:val="0058299F"/>
    <w:rsid w:val="00582E28"/>
    <w:rsid w:val="005830A5"/>
    <w:rsid w:val="00583101"/>
    <w:rsid w:val="00583417"/>
    <w:rsid w:val="005835C7"/>
    <w:rsid w:val="00583666"/>
    <w:rsid w:val="00583B10"/>
    <w:rsid w:val="00583C0B"/>
    <w:rsid w:val="00583DB8"/>
    <w:rsid w:val="00583ECF"/>
    <w:rsid w:val="00583EFA"/>
    <w:rsid w:val="005842B2"/>
    <w:rsid w:val="00584485"/>
    <w:rsid w:val="0058493C"/>
    <w:rsid w:val="00584943"/>
    <w:rsid w:val="005849A9"/>
    <w:rsid w:val="00584A41"/>
    <w:rsid w:val="00584B39"/>
    <w:rsid w:val="005852E1"/>
    <w:rsid w:val="00585389"/>
    <w:rsid w:val="0058539A"/>
    <w:rsid w:val="00585408"/>
    <w:rsid w:val="00585767"/>
    <w:rsid w:val="0058588E"/>
    <w:rsid w:val="00585ACD"/>
    <w:rsid w:val="005860DF"/>
    <w:rsid w:val="0058630E"/>
    <w:rsid w:val="005864A7"/>
    <w:rsid w:val="005864C8"/>
    <w:rsid w:val="00586615"/>
    <w:rsid w:val="00586616"/>
    <w:rsid w:val="005866C7"/>
    <w:rsid w:val="005868E4"/>
    <w:rsid w:val="0058694D"/>
    <w:rsid w:val="00586B8A"/>
    <w:rsid w:val="00586C09"/>
    <w:rsid w:val="00586D1D"/>
    <w:rsid w:val="00586F6D"/>
    <w:rsid w:val="00587141"/>
    <w:rsid w:val="005874C9"/>
    <w:rsid w:val="00587714"/>
    <w:rsid w:val="005877E3"/>
    <w:rsid w:val="0058798C"/>
    <w:rsid w:val="00587BD8"/>
    <w:rsid w:val="00587DE8"/>
    <w:rsid w:val="005900FA"/>
    <w:rsid w:val="00590115"/>
    <w:rsid w:val="005902EA"/>
    <w:rsid w:val="005903DF"/>
    <w:rsid w:val="00590424"/>
    <w:rsid w:val="00590AE4"/>
    <w:rsid w:val="00590B0E"/>
    <w:rsid w:val="00590BF1"/>
    <w:rsid w:val="005910D6"/>
    <w:rsid w:val="00591154"/>
    <w:rsid w:val="0059173B"/>
    <w:rsid w:val="005918C5"/>
    <w:rsid w:val="005918E1"/>
    <w:rsid w:val="0059211E"/>
    <w:rsid w:val="00592402"/>
    <w:rsid w:val="0059259B"/>
    <w:rsid w:val="005926A0"/>
    <w:rsid w:val="005926C7"/>
    <w:rsid w:val="005929DF"/>
    <w:rsid w:val="00592AAD"/>
    <w:rsid w:val="00592B15"/>
    <w:rsid w:val="00592C16"/>
    <w:rsid w:val="00592D41"/>
    <w:rsid w:val="00592ED0"/>
    <w:rsid w:val="00593096"/>
    <w:rsid w:val="0059309D"/>
    <w:rsid w:val="00593314"/>
    <w:rsid w:val="0059336F"/>
    <w:rsid w:val="005934DD"/>
    <w:rsid w:val="005935A4"/>
    <w:rsid w:val="005936DD"/>
    <w:rsid w:val="0059381B"/>
    <w:rsid w:val="00593A27"/>
    <w:rsid w:val="00593D24"/>
    <w:rsid w:val="00593DBF"/>
    <w:rsid w:val="00593EC2"/>
    <w:rsid w:val="005941A3"/>
    <w:rsid w:val="005941BD"/>
    <w:rsid w:val="0059431B"/>
    <w:rsid w:val="00594447"/>
    <w:rsid w:val="00594464"/>
    <w:rsid w:val="00594500"/>
    <w:rsid w:val="00594678"/>
    <w:rsid w:val="00594698"/>
    <w:rsid w:val="0059476B"/>
    <w:rsid w:val="005948C2"/>
    <w:rsid w:val="00594A19"/>
    <w:rsid w:val="00594BFB"/>
    <w:rsid w:val="00594D03"/>
    <w:rsid w:val="00595109"/>
    <w:rsid w:val="00595127"/>
    <w:rsid w:val="0059512A"/>
    <w:rsid w:val="005951BC"/>
    <w:rsid w:val="00595315"/>
    <w:rsid w:val="005953DA"/>
    <w:rsid w:val="00595586"/>
    <w:rsid w:val="00595661"/>
    <w:rsid w:val="005956FB"/>
    <w:rsid w:val="005959B6"/>
    <w:rsid w:val="00595B41"/>
    <w:rsid w:val="00595C20"/>
    <w:rsid w:val="00595C95"/>
    <w:rsid w:val="00595CF4"/>
    <w:rsid w:val="00595DCA"/>
    <w:rsid w:val="00595EC0"/>
    <w:rsid w:val="0059603D"/>
    <w:rsid w:val="00596549"/>
    <w:rsid w:val="005966EC"/>
    <w:rsid w:val="00596719"/>
    <w:rsid w:val="0059692A"/>
    <w:rsid w:val="0059699C"/>
    <w:rsid w:val="00596B24"/>
    <w:rsid w:val="00596BEB"/>
    <w:rsid w:val="00596DAA"/>
    <w:rsid w:val="005970A7"/>
    <w:rsid w:val="0059720C"/>
    <w:rsid w:val="005972FF"/>
    <w:rsid w:val="00597499"/>
    <w:rsid w:val="005976EC"/>
    <w:rsid w:val="0059779B"/>
    <w:rsid w:val="0059792D"/>
    <w:rsid w:val="00597950"/>
    <w:rsid w:val="00597988"/>
    <w:rsid w:val="00597A90"/>
    <w:rsid w:val="005A00F7"/>
    <w:rsid w:val="005A01C1"/>
    <w:rsid w:val="005A0638"/>
    <w:rsid w:val="005A06EC"/>
    <w:rsid w:val="005A086D"/>
    <w:rsid w:val="005A0894"/>
    <w:rsid w:val="005A0902"/>
    <w:rsid w:val="005A09AE"/>
    <w:rsid w:val="005A0AE4"/>
    <w:rsid w:val="005A0CA3"/>
    <w:rsid w:val="005A0DAF"/>
    <w:rsid w:val="005A0FBD"/>
    <w:rsid w:val="005A10F8"/>
    <w:rsid w:val="005A11AE"/>
    <w:rsid w:val="005A1430"/>
    <w:rsid w:val="005A1654"/>
    <w:rsid w:val="005A1850"/>
    <w:rsid w:val="005A189F"/>
    <w:rsid w:val="005A1B67"/>
    <w:rsid w:val="005A1BC5"/>
    <w:rsid w:val="005A1C0A"/>
    <w:rsid w:val="005A1C43"/>
    <w:rsid w:val="005A1EFE"/>
    <w:rsid w:val="005A209A"/>
    <w:rsid w:val="005A246E"/>
    <w:rsid w:val="005A275F"/>
    <w:rsid w:val="005A28A0"/>
    <w:rsid w:val="005A2C59"/>
    <w:rsid w:val="005A2D87"/>
    <w:rsid w:val="005A2D9B"/>
    <w:rsid w:val="005A3080"/>
    <w:rsid w:val="005A318A"/>
    <w:rsid w:val="005A37C1"/>
    <w:rsid w:val="005A3D00"/>
    <w:rsid w:val="005A3E0A"/>
    <w:rsid w:val="005A3ED9"/>
    <w:rsid w:val="005A40CC"/>
    <w:rsid w:val="005A41B3"/>
    <w:rsid w:val="005A4268"/>
    <w:rsid w:val="005A4316"/>
    <w:rsid w:val="005A4960"/>
    <w:rsid w:val="005A4AA5"/>
    <w:rsid w:val="005A4D5E"/>
    <w:rsid w:val="005A4D68"/>
    <w:rsid w:val="005A4D75"/>
    <w:rsid w:val="005A50D6"/>
    <w:rsid w:val="005A50DE"/>
    <w:rsid w:val="005A539D"/>
    <w:rsid w:val="005A558C"/>
    <w:rsid w:val="005A55A4"/>
    <w:rsid w:val="005A561B"/>
    <w:rsid w:val="005A5D10"/>
    <w:rsid w:val="005A60AE"/>
    <w:rsid w:val="005A62F1"/>
    <w:rsid w:val="005A63B4"/>
    <w:rsid w:val="005A6434"/>
    <w:rsid w:val="005A6460"/>
    <w:rsid w:val="005A662D"/>
    <w:rsid w:val="005A6816"/>
    <w:rsid w:val="005A68CB"/>
    <w:rsid w:val="005A6BB1"/>
    <w:rsid w:val="005A6DD1"/>
    <w:rsid w:val="005A6DEC"/>
    <w:rsid w:val="005A6F68"/>
    <w:rsid w:val="005A73F3"/>
    <w:rsid w:val="005A73FE"/>
    <w:rsid w:val="005A763B"/>
    <w:rsid w:val="005A77D0"/>
    <w:rsid w:val="005A7AF9"/>
    <w:rsid w:val="005A7B7A"/>
    <w:rsid w:val="005A7E4E"/>
    <w:rsid w:val="005A7F78"/>
    <w:rsid w:val="005A7F85"/>
    <w:rsid w:val="005B00DD"/>
    <w:rsid w:val="005B01F6"/>
    <w:rsid w:val="005B0291"/>
    <w:rsid w:val="005B04D6"/>
    <w:rsid w:val="005B06D0"/>
    <w:rsid w:val="005B0946"/>
    <w:rsid w:val="005B0A41"/>
    <w:rsid w:val="005B10B0"/>
    <w:rsid w:val="005B117B"/>
    <w:rsid w:val="005B12B9"/>
    <w:rsid w:val="005B12DC"/>
    <w:rsid w:val="005B1409"/>
    <w:rsid w:val="005B1653"/>
    <w:rsid w:val="005B16A5"/>
    <w:rsid w:val="005B18CD"/>
    <w:rsid w:val="005B1AFF"/>
    <w:rsid w:val="005B1C0E"/>
    <w:rsid w:val="005B1DE2"/>
    <w:rsid w:val="005B1F0E"/>
    <w:rsid w:val="005B2227"/>
    <w:rsid w:val="005B2602"/>
    <w:rsid w:val="005B26C3"/>
    <w:rsid w:val="005B2E2F"/>
    <w:rsid w:val="005B2F7D"/>
    <w:rsid w:val="005B3309"/>
    <w:rsid w:val="005B35D7"/>
    <w:rsid w:val="005B37CE"/>
    <w:rsid w:val="005B3822"/>
    <w:rsid w:val="005B392A"/>
    <w:rsid w:val="005B3AA3"/>
    <w:rsid w:val="005B3FB8"/>
    <w:rsid w:val="005B414D"/>
    <w:rsid w:val="005B4360"/>
    <w:rsid w:val="005B4480"/>
    <w:rsid w:val="005B45C6"/>
    <w:rsid w:val="005B45E2"/>
    <w:rsid w:val="005B46BE"/>
    <w:rsid w:val="005B4715"/>
    <w:rsid w:val="005B4906"/>
    <w:rsid w:val="005B4A3A"/>
    <w:rsid w:val="005B4A81"/>
    <w:rsid w:val="005B4E69"/>
    <w:rsid w:val="005B524D"/>
    <w:rsid w:val="005B566E"/>
    <w:rsid w:val="005B5AA5"/>
    <w:rsid w:val="005B5CA4"/>
    <w:rsid w:val="005B5FF0"/>
    <w:rsid w:val="005B604C"/>
    <w:rsid w:val="005B61DA"/>
    <w:rsid w:val="005B6255"/>
    <w:rsid w:val="005B6516"/>
    <w:rsid w:val="005B6643"/>
    <w:rsid w:val="005B6808"/>
    <w:rsid w:val="005B696A"/>
    <w:rsid w:val="005B6C58"/>
    <w:rsid w:val="005B6CBA"/>
    <w:rsid w:val="005B6E51"/>
    <w:rsid w:val="005B6E9C"/>
    <w:rsid w:val="005B6F23"/>
    <w:rsid w:val="005B6F83"/>
    <w:rsid w:val="005B7230"/>
    <w:rsid w:val="005B730C"/>
    <w:rsid w:val="005B7382"/>
    <w:rsid w:val="005B7480"/>
    <w:rsid w:val="005B7576"/>
    <w:rsid w:val="005B763C"/>
    <w:rsid w:val="005B78DB"/>
    <w:rsid w:val="005B7A34"/>
    <w:rsid w:val="005B7BA4"/>
    <w:rsid w:val="005B7C65"/>
    <w:rsid w:val="005B7FA8"/>
    <w:rsid w:val="005C0075"/>
    <w:rsid w:val="005C079A"/>
    <w:rsid w:val="005C0988"/>
    <w:rsid w:val="005C0C50"/>
    <w:rsid w:val="005C12A5"/>
    <w:rsid w:val="005C1302"/>
    <w:rsid w:val="005C1386"/>
    <w:rsid w:val="005C13EF"/>
    <w:rsid w:val="005C1726"/>
    <w:rsid w:val="005C1C8E"/>
    <w:rsid w:val="005C1CD4"/>
    <w:rsid w:val="005C1D8E"/>
    <w:rsid w:val="005C21BB"/>
    <w:rsid w:val="005C255C"/>
    <w:rsid w:val="005C25DF"/>
    <w:rsid w:val="005C274C"/>
    <w:rsid w:val="005C285B"/>
    <w:rsid w:val="005C296F"/>
    <w:rsid w:val="005C2A20"/>
    <w:rsid w:val="005C2A34"/>
    <w:rsid w:val="005C2B42"/>
    <w:rsid w:val="005C2B72"/>
    <w:rsid w:val="005C2D63"/>
    <w:rsid w:val="005C30E9"/>
    <w:rsid w:val="005C31F2"/>
    <w:rsid w:val="005C324C"/>
    <w:rsid w:val="005C32D2"/>
    <w:rsid w:val="005C337E"/>
    <w:rsid w:val="005C3666"/>
    <w:rsid w:val="005C393A"/>
    <w:rsid w:val="005C3A5E"/>
    <w:rsid w:val="005C3C08"/>
    <w:rsid w:val="005C3EE6"/>
    <w:rsid w:val="005C3FC7"/>
    <w:rsid w:val="005C4219"/>
    <w:rsid w:val="005C427E"/>
    <w:rsid w:val="005C4587"/>
    <w:rsid w:val="005C484B"/>
    <w:rsid w:val="005C48E8"/>
    <w:rsid w:val="005C4B55"/>
    <w:rsid w:val="005C4DFE"/>
    <w:rsid w:val="005C4FF3"/>
    <w:rsid w:val="005C50DC"/>
    <w:rsid w:val="005C50FA"/>
    <w:rsid w:val="005C5174"/>
    <w:rsid w:val="005C527F"/>
    <w:rsid w:val="005C5503"/>
    <w:rsid w:val="005C56F3"/>
    <w:rsid w:val="005C5947"/>
    <w:rsid w:val="005C59FE"/>
    <w:rsid w:val="005C5BAA"/>
    <w:rsid w:val="005C5C60"/>
    <w:rsid w:val="005C5EE6"/>
    <w:rsid w:val="005C6195"/>
    <w:rsid w:val="005C6410"/>
    <w:rsid w:val="005C6BA0"/>
    <w:rsid w:val="005C6D04"/>
    <w:rsid w:val="005C6D6A"/>
    <w:rsid w:val="005C73B8"/>
    <w:rsid w:val="005C74EF"/>
    <w:rsid w:val="005C74FB"/>
    <w:rsid w:val="005C7580"/>
    <w:rsid w:val="005C75DB"/>
    <w:rsid w:val="005C766E"/>
    <w:rsid w:val="005C76B1"/>
    <w:rsid w:val="005C7738"/>
    <w:rsid w:val="005C7796"/>
    <w:rsid w:val="005C7D4D"/>
    <w:rsid w:val="005D05FE"/>
    <w:rsid w:val="005D0775"/>
    <w:rsid w:val="005D07C7"/>
    <w:rsid w:val="005D085E"/>
    <w:rsid w:val="005D0980"/>
    <w:rsid w:val="005D0D1E"/>
    <w:rsid w:val="005D1195"/>
    <w:rsid w:val="005D1380"/>
    <w:rsid w:val="005D13D2"/>
    <w:rsid w:val="005D152B"/>
    <w:rsid w:val="005D1602"/>
    <w:rsid w:val="005D1B39"/>
    <w:rsid w:val="005D1BFF"/>
    <w:rsid w:val="005D1F37"/>
    <w:rsid w:val="005D21BE"/>
    <w:rsid w:val="005D2359"/>
    <w:rsid w:val="005D276A"/>
    <w:rsid w:val="005D27EF"/>
    <w:rsid w:val="005D2886"/>
    <w:rsid w:val="005D28A2"/>
    <w:rsid w:val="005D2A8E"/>
    <w:rsid w:val="005D2E70"/>
    <w:rsid w:val="005D2E93"/>
    <w:rsid w:val="005D2F51"/>
    <w:rsid w:val="005D3351"/>
    <w:rsid w:val="005D33FD"/>
    <w:rsid w:val="005D3560"/>
    <w:rsid w:val="005D3643"/>
    <w:rsid w:val="005D38AD"/>
    <w:rsid w:val="005D398B"/>
    <w:rsid w:val="005D3BC9"/>
    <w:rsid w:val="005D3C02"/>
    <w:rsid w:val="005D3C52"/>
    <w:rsid w:val="005D42B6"/>
    <w:rsid w:val="005D4422"/>
    <w:rsid w:val="005D4468"/>
    <w:rsid w:val="005D4522"/>
    <w:rsid w:val="005D4568"/>
    <w:rsid w:val="005D45FC"/>
    <w:rsid w:val="005D4809"/>
    <w:rsid w:val="005D4BD1"/>
    <w:rsid w:val="005D4C33"/>
    <w:rsid w:val="005D4CAF"/>
    <w:rsid w:val="005D4FDE"/>
    <w:rsid w:val="005D518C"/>
    <w:rsid w:val="005D54B3"/>
    <w:rsid w:val="005D5D29"/>
    <w:rsid w:val="005D5D8A"/>
    <w:rsid w:val="005D5E3D"/>
    <w:rsid w:val="005D5E5C"/>
    <w:rsid w:val="005D60EE"/>
    <w:rsid w:val="005D6482"/>
    <w:rsid w:val="005D6940"/>
    <w:rsid w:val="005D6972"/>
    <w:rsid w:val="005D6AE7"/>
    <w:rsid w:val="005D6BE0"/>
    <w:rsid w:val="005D6DCD"/>
    <w:rsid w:val="005D6F58"/>
    <w:rsid w:val="005D6F81"/>
    <w:rsid w:val="005D712C"/>
    <w:rsid w:val="005D725B"/>
    <w:rsid w:val="005D735A"/>
    <w:rsid w:val="005D7655"/>
    <w:rsid w:val="005D77DB"/>
    <w:rsid w:val="005D78A0"/>
    <w:rsid w:val="005D7F36"/>
    <w:rsid w:val="005D7F57"/>
    <w:rsid w:val="005E0091"/>
    <w:rsid w:val="005E0386"/>
    <w:rsid w:val="005E0E9B"/>
    <w:rsid w:val="005E1406"/>
    <w:rsid w:val="005E159A"/>
    <w:rsid w:val="005E18CC"/>
    <w:rsid w:val="005E1949"/>
    <w:rsid w:val="005E19F4"/>
    <w:rsid w:val="005E1DE9"/>
    <w:rsid w:val="005E1ECB"/>
    <w:rsid w:val="005E2391"/>
    <w:rsid w:val="005E23EB"/>
    <w:rsid w:val="005E2B83"/>
    <w:rsid w:val="005E2BA7"/>
    <w:rsid w:val="005E33CA"/>
    <w:rsid w:val="005E3585"/>
    <w:rsid w:val="005E37BD"/>
    <w:rsid w:val="005E37E9"/>
    <w:rsid w:val="005E385F"/>
    <w:rsid w:val="005E3888"/>
    <w:rsid w:val="005E3CFB"/>
    <w:rsid w:val="005E3D86"/>
    <w:rsid w:val="005E3D8E"/>
    <w:rsid w:val="005E405D"/>
    <w:rsid w:val="005E432D"/>
    <w:rsid w:val="005E4401"/>
    <w:rsid w:val="005E4861"/>
    <w:rsid w:val="005E48E0"/>
    <w:rsid w:val="005E4DDB"/>
    <w:rsid w:val="005E4DE3"/>
    <w:rsid w:val="005E5013"/>
    <w:rsid w:val="005E522A"/>
    <w:rsid w:val="005E5267"/>
    <w:rsid w:val="005E53FD"/>
    <w:rsid w:val="005E56B7"/>
    <w:rsid w:val="005E5B81"/>
    <w:rsid w:val="005E5CF9"/>
    <w:rsid w:val="005E5EF5"/>
    <w:rsid w:val="005E6066"/>
    <w:rsid w:val="005E626D"/>
    <w:rsid w:val="005E648E"/>
    <w:rsid w:val="005E66EE"/>
    <w:rsid w:val="005E69F1"/>
    <w:rsid w:val="005E6AD4"/>
    <w:rsid w:val="005E6AD5"/>
    <w:rsid w:val="005E6B31"/>
    <w:rsid w:val="005E6D9F"/>
    <w:rsid w:val="005E6DA9"/>
    <w:rsid w:val="005E6E63"/>
    <w:rsid w:val="005E6F37"/>
    <w:rsid w:val="005E709B"/>
    <w:rsid w:val="005E7294"/>
    <w:rsid w:val="005E7621"/>
    <w:rsid w:val="005E765D"/>
    <w:rsid w:val="005E767B"/>
    <w:rsid w:val="005E7756"/>
    <w:rsid w:val="005E7833"/>
    <w:rsid w:val="005E78C6"/>
    <w:rsid w:val="005E7AE8"/>
    <w:rsid w:val="005E7E13"/>
    <w:rsid w:val="005F004C"/>
    <w:rsid w:val="005F024C"/>
    <w:rsid w:val="005F07EC"/>
    <w:rsid w:val="005F0C19"/>
    <w:rsid w:val="005F0C39"/>
    <w:rsid w:val="005F0C6D"/>
    <w:rsid w:val="005F0F9A"/>
    <w:rsid w:val="005F130A"/>
    <w:rsid w:val="005F13A6"/>
    <w:rsid w:val="005F13D3"/>
    <w:rsid w:val="005F145F"/>
    <w:rsid w:val="005F156A"/>
    <w:rsid w:val="005F1731"/>
    <w:rsid w:val="005F1832"/>
    <w:rsid w:val="005F1D1B"/>
    <w:rsid w:val="005F1E0F"/>
    <w:rsid w:val="005F1E46"/>
    <w:rsid w:val="005F2213"/>
    <w:rsid w:val="005F2665"/>
    <w:rsid w:val="005F26AB"/>
    <w:rsid w:val="005F26F7"/>
    <w:rsid w:val="005F2A9D"/>
    <w:rsid w:val="005F2C77"/>
    <w:rsid w:val="005F2CB1"/>
    <w:rsid w:val="005F3025"/>
    <w:rsid w:val="005F3581"/>
    <w:rsid w:val="005F367C"/>
    <w:rsid w:val="005F3787"/>
    <w:rsid w:val="005F3852"/>
    <w:rsid w:val="005F38F4"/>
    <w:rsid w:val="005F39D5"/>
    <w:rsid w:val="005F39EE"/>
    <w:rsid w:val="005F3D29"/>
    <w:rsid w:val="005F3D55"/>
    <w:rsid w:val="005F3FAB"/>
    <w:rsid w:val="005F4851"/>
    <w:rsid w:val="005F4A9F"/>
    <w:rsid w:val="005F4D01"/>
    <w:rsid w:val="005F4DC9"/>
    <w:rsid w:val="005F4E3D"/>
    <w:rsid w:val="005F4EBA"/>
    <w:rsid w:val="005F504F"/>
    <w:rsid w:val="005F5309"/>
    <w:rsid w:val="005F564C"/>
    <w:rsid w:val="005F56DD"/>
    <w:rsid w:val="005F5C9D"/>
    <w:rsid w:val="005F5EB9"/>
    <w:rsid w:val="005F5F72"/>
    <w:rsid w:val="005F618C"/>
    <w:rsid w:val="005F645F"/>
    <w:rsid w:val="005F6671"/>
    <w:rsid w:val="005F6791"/>
    <w:rsid w:val="005F6871"/>
    <w:rsid w:val="005F68E2"/>
    <w:rsid w:val="005F6A5C"/>
    <w:rsid w:val="005F6B30"/>
    <w:rsid w:val="005F6D49"/>
    <w:rsid w:val="005F6E4A"/>
    <w:rsid w:val="005F6EB5"/>
    <w:rsid w:val="005F6FCC"/>
    <w:rsid w:val="005F6FD7"/>
    <w:rsid w:val="005F70BD"/>
    <w:rsid w:val="005F7126"/>
    <w:rsid w:val="005F7375"/>
    <w:rsid w:val="005F79B8"/>
    <w:rsid w:val="005F7C18"/>
    <w:rsid w:val="005F7C61"/>
    <w:rsid w:val="005F7C8B"/>
    <w:rsid w:val="005F7D41"/>
    <w:rsid w:val="006001BD"/>
    <w:rsid w:val="006002A8"/>
    <w:rsid w:val="00600363"/>
    <w:rsid w:val="006009E6"/>
    <w:rsid w:val="00600ACB"/>
    <w:rsid w:val="00600B31"/>
    <w:rsid w:val="00600C81"/>
    <w:rsid w:val="006010A0"/>
    <w:rsid w:val="00601239"/>
    <w:rsid w:val="00601248"/>
    <w:rsid w:val="0060126B"/>
    <w:rsid w:val="00601532"/>
    <w:rsid w:val="006015EC"/>
    <w:rsid w:val="00601BFC"/>
    <w:rsid w:val="00601FF5"/>
    <w:rsid w:val="006020A4"/>
    <w:rsid w:val="006021C4"/>
    <w:rsid w:val="006022E9"/>
    <w:rsid w:val="00602389"/>
    <w:rsid w:val="00602692"/>
    <w:rsid w:val="00602767"/>
    <w:rsid w:val="0060283C"/>
    <w:rsid w:val="00602C8E"/>
    <w:rsid w:val="00602E33"/>
    <w:rsid w:val="00602F28"/>
    <w:rsid w:val="00602F96"/>
    <w:rsid w:val="0060341B"/>
    <w:rsid w:val="006034BC"/>
    <w:rsid w:val="00603656"/>
    <w:rsid w:val="006036C0"/>
    <w:rsid w:val="00603728"/>
    <w:rsid w:val="006038C8"/>
    <w:rsid w:val="00603911"/>
    <w:rsid w:val="00603A71"/>
    <w:rsid w:val="00603C3C"/>
    <w:rsid w:val="00603E77"/>
    <w:rsid w:val="00603F90"/>
    <w:rsid w:val="00603FAA"/>
    <w:rsid w:val="0060409F"/>
    <w:rsid w:val="00604276"/>
    <w:rsid w:val="006042D3"/>
    <w:rsid w:val="006044EC"/>
    <w:rsid w:val="00604550"/>
    <w:rsid w:val="00604593"/>
    <w:rsid w:val="0060469A"/>
    <w:rsid w:val="00604968"/>
    <w:rsid w:val="00604AD5"/>
    <w:rsid w:val="00604E9B"/>
    <w:rsid w:val="00604F14"/>
    <w:rsid w:val="0060501E"/>
    <w:rsid w:val="00605174"/>
    <w:rsid w:val="006051BE"/>
    <w:rsid w:val="00605347"/>
    <w:rsid w:val="00605513"/>
    <w:rsid w:val="0060573F"/>
    <w:rsid w:val="006057F8"/>
    <w:rsid w:val="00605884"/>
    <w:rsid w:val="006058BE"/>
    <w:rsid w:val="00605913"/>
    <w:rsid w:val="00605A34"/>
    <w:rsid w:val="00605DC7"/>
    <w:rsid w:val="00605E31"/>
    <w:rsid w:val="0060601F"/>
    <w:rsid w:val="0060662B"/>
    <w:rsid w:val="00606649"/>
    <w:rsid w:val="0060689D"/>
    <w:rsid w:val="00606939"/>
    <w:rsid w:val="00606964"/>
    <w:rsid w:val="00606A52"/>
    <w:rsid w:val="00606FBB"/>
    <w:rsid w:val="00607020"/>
    <w:rsid w:val="006070C4"/>
    <w:rsid w:val="00607456"/>
    <w:rsid w:val="00607647"/>
    <w:rsid w:val="0060775E"/>
    <w:rsid w:val="00607950"/>
    <w:rsid w:val="00607977"/>
    <w:rsid w:val="00607ADA"/>
    <w:rsid w:val="00607B41"/>
    <w:rsid w:val="00607C10"/>
    <w:rsid w:val="00607C88"/>
    <w:rsid w:val="00607E2A"/>
    <w:rsid w:val="00607FB9"/>
    <w:rsid w:val="0061026A"/>
    <w:rsid w:val="006104F1"/>
    <w:rsid w:val="0061058D"/>
    <w:rsid w:val="00610B25"/>
    <w:rsid w:val="00610CB4"/>
    <w:rsid w:val="00610CCC"/>
    <w:rsid w:val="00610D1C"/>
    <w:rsid w:val="00610DC1"/>
    <w:rsid w:val="00610EC1"/>
    <w:rsid w:val="00611145"/>
    <w:rsid w:val="006114E1"/>
    <w:rsid w:val="00611926"/>
    <w:rsid w:val="00611B83"/>
    <w:rsid w:val="00611C4A"/>
    <w:rsid w:val="00611C79"/>
    <w:rsid w:val="00611D04"/>
    <w:rsid w:val="00611D46"/>
    <w:rsid w:val="00611F92"/>
    <w:rsid w:val="0061205F"/>
    <w:rsid w:val="00612174"/>
    <w:rsid w:val="006121BB"/>
    <w:rsid w:val="006125E9"/>
    <w:rsid w:val="00612CA8"/>
    <w:rsid w:val="00612E17"/>
    <w:rsid w:val="0061313A"/>
    <w:rsid w:val="00613257"/>
    <w:rsid w:val="00613288"/>
    <w:rsid w:val="006132BC"/>
    <w:rsid w:val="00613367"/>
    <w:rsid w:val="00613482"/>
    <w:rsid w:val="0061355C"/>
    <w:rsid w:val="00613900"/>
    <w:rsid w:val="00613963"/>
    <w:rsid w:val="006139CD"/>
    <w:rsid w:val="00613AA4"/>
    <w:rsid w:val="00613EF3"/>
    <w:rsid w:val="00613FE8"/>
    <w:rsid w:val="0061404E"/>
    <w:rsid w:val="0061414F"/>
    <w:rsid w:val="00614415"/>
    <w:rsid w:val="006144FA"/>
    <w:rsid w:val="00614507"/>
    <w:rsid w:val="0061450F"/>
    <w:rsid w:val="00614536"/>
    <w:rsid w:val="0061460A"/>
    <w:rsid w:val="00614A4B"/>
    <w:rsid w:val="00614CE8"/>
    <w:rsid w:val="00614D26"/>
    <w:rsid w:val="00615566"/>
    <w:rsid w:val="00615805"/>
    <w:rsid w:val="006158AE"/>
    <w:rsid w:val="00615BA2"/>
    <w:rsid w:val="00615BD7"/>
    <w:rsid w:val="00615D8D"/>
    <w:rsid w:val="00615F7A"/>
    <w:rsid w:val="00616209"/>
    <w:rsid w:val="0061674B"/>
    <w:rsid w:val="00616D74"/>
    <w:rsid w:val="00616DF9"/>
    <w:rsid w:val="00616F7E"/>
    <w:rsid w:val="006170EA"/>
    <w:rsid w:val="0061724B"/>
    <w:rsid w:val="006174E8"/>
    <w:rsid w:val="00617653"/>
    <w:rsid w:val="00617713"/>
    <w:rsid w:val="00617A76"/>
    <w:rsid w:val="00617B80"/>
    <w:rsid w:val="00617C1F"/>
    <w:rsid w:val="00617CC0"/>
    <w:rsid w:val="00617F02"/>
    <w:rsid w:val="00617FFB"/>
    <w:rsid w:val="00620008"/>
    <w:rsid w:val="006200D7"/>
    <w:rsid w:val="0062028F"/>
    <w:rsid w:val="006202D6"/>
    <w:rsid w:val="00620347"/>
    <w:rsid w:val="00620369"/>
    <w:rsid w:val="00620575"/>
    <w:rsid w:val="00620691"/>
    <w:rsid w:val="0062093B"/>
    <w:rsid w:val="00620951"/>
    <w:rsid w:val="006209B3"/>
    <w:rsid w:val="006209B6"/>
    <w:rsid w:val="00620A71"/>
    <w:rsid w:val="00620D80"/>
    <w:rsid w:val="00620FB2"/>
    <w:rsid w:val="006210F3"/>
    <w:rsid w:val="00621580"/>
    <w:rsid w:val="00621608"/>
    <w:rsid w:val="00621750"/>
    <w:rsid w:val="0062182A"/>
    <w:rsid w:val="00621834"/>
    <w:rsid w:val="00621868"/>
    <w:rsid w:val="00621CAA"/>
    <w:rsid w:val="00621E51"/>
    <w:rsid w:val="00622004"/>
    <w:rsid w:val="00622232"/>
    <w:rsid w:val="00622503"/>
    <w:rsid w:val="00622B34"/>
    <w:rsid w:val="00623018"/>
    <w:rsid w:val="0062302C"/>
    <w:rsid w:val="00623161"/>
    <w:rsid w:val="00623232"/>
    <w:rsid w:val="00623350"/>
    <w:rsid w:val="006234A6"/>
    <w:rsid w:val="006234ED"/>
    <w:rsid w:val="006235D0"/>
    <w:rsid w:val="006235F3"/>
    <w:rsid w:val="00623842"/>
    <w:rsid w:val="00624069"/>
    <w:rsid w:val="00624462"/>
    <w:rsid w:val="006248F4"/>
    <w:rsid w:val="006251CD"/>
    <w:rsid w:val="006253C7"/>
    <w:rsid w:val="00625426"/>
    <w:rsid w:val="006257E3"/>
    <w:rsid w:val="00625C7A"/>
    <w:rsid w:val="00625E1E"/>
    <w:rsid w:val="006265D6"/>
    <w:rsid w:val="0062667B"/>
    <w:rsid w:val="00626B87"/>
    <w:rsid w:val="00626DF4"/>
    <w:rsid w:val="00626EF5"/>
    <w:rsid w:val="00626F9C"/>
    <w:rsid w:val="00627298"/>
    <w:rsid w:val="0062743D"/>
    <w:rsid w:val="006275A1"/>
    <w:rsid w:val="00630001"/>
    <w:rsid w:val="00630171"/>
    <w:rsid w:val="00630255"/>
    <w:rsid w:val="00630257"/>
    <w:rsid w:val="006304E0"/>
    <w:rsid w:val="0063071E"/>
    <w:rsid w:val="00630779"/>
    <w:rsid w:val="00630841"/>
    <w:rsid w:val="0063089D"/>
    <w:rsid w:val="00630B20"/>
    <w:rsid w:val="00630CD4"/>
    <w:rsid w:val="00630D41"/>
    <w:rsid w:val="00630DBE"/>
    <w:rsid w:val="006310D7"/>
    <w:rsid w:val="00631111"/>
    <w:rsid w:val="006311B3"/>
    <w:rsid w:val="006311B8"/>
    <w:rsid w:val="00631479"/>
    <w:rsid w:val="006314A9"/>
    <w:rsid w:val="00631845"/>
    <w:rsid w:val="006319A0"/>
    <w:rsid w:val="00631A6E"/>
    <w:rsid w:val="00631BD9"/>
    <w:rsid w:val="006321D8"/>
    <w:rsid w:val="00632377"/>
    <w:rsid w:val="00632400"/>
    <w:rsid w:val="006326D0"/>
    <w:rsid w:val="0063284C"/>
    <w:rsid w:val="006328DB"/>
    <w:rsid w:val="00632992"/>
    <w:rsid w:val="00632C69"/>
    <w:rsid w:val="00632DED"/>
    <w:rsid w:val="00632DF5"/>
    <w:rsid w:val="00632E18"/>
    <w:rsid w:val="006334EE"/>
    <w:rsid w:val="00633872"/>
    <w:rsid w:val="006338EA"/>
    <w:rsid w:val="00633A2A"/>
    <w:rsid w:val="00633E44"/>
    <w:rsid w:val="00633E6A"/>
    <w:rsid w:val="00633F54"/>
    <w:rsid w:val="006343D7"/>
    <w:rsid w:val="00634406"/>
    <w:rsid w:val="0063441F"/>
    <w:rsid w:val="00634426"/>
    <w:rsid w:val="00634591"/>
    <w:rsid w:val="006345C7"/>
    <w:rsid w:val="00634626"/>
    <w:rsid w:val="006349C8"/>
    <w:rsid w:val="00634B48"/>
    <w:rsid w:val="00634D15"/>
    <w:rsid w:val="00634E93"/>
    <w:rsid w:val="00634EF6"/>
    <w:rsid w:val="00635146"/>
    <w:rsid w:val="006352E5"/>
    <w:rsid w:val="00635499"/>
    <w:rsid w:val="006355C8"/>
    <w:rsid w:val="00635E22"/>
    <w:rsid w:val="00635E3F"/>
    <w:rsid w:val="00635FDB"/>
    <w:rsid w:val="0063606E"/>
    <w:rsid w:val="00636398"/>
    <w:rsid w:val="0063649A"/>
    <w:rsid w:val="00636789"/>
    <w:rsid w:val="00636871"/>
    <w:rsid w:val="00636891"/>
    <w:rsid w:val="006368D3"/>
    <w:rsid w:val="00636B05"/>
    <w:rsid w:val="00636C3B"/>
    <w:rsid w:val="00636FE1"/>
    <w:rsid w:val="0063701C"/>
    <w:rsid w:val="0063709E"/>
    <w:rsid w:val="006370B6"/>
    <w:rsid w:val="006372D7"/>
    <w:rsid w:val="006373C4"/>
    <w:rsid w:val="006375C5"/>
    <w:rsid w:val="006377EC"/>
    <w:rsid w:val="006378F6"/>
    <w:rsid w:val="00637BFA"/>
    <w:rsid w:val="00637C43"/>
    <w:rsid w:val="00637CEB"/>
    <w:rsid w:val="00637F23"/>
    <w:rsid w:val="00637F77"/>
    <w:rsid w:val="006404AF"/>
    <w:rsid w:val="00640693"/>
    <w:rsid w:val="00640782"/>
    <w:rsid w:val="0064082F"/>
    <w:rsid w:val="00640983"/>
    <w:rsid w:val="0064098F"/>
    <w:rsid w:val="00640B3F"/>
    <w:rsid w:val="006410AF"/>
    <w:rsid w:val="006412CF"/>
    <w:rsid w:val="0064151F"/>
    <w:rsid w:val="00641533"/>
    <w:rsid w:val="006415B5"/>
    <w:rsid w:val="00641921"/>
    <w:rsid w:val="00641B1B"/>
    <w:rsid w:val="00641B94"/>
    <w:rsid w:val="00641C40"/>
    <w:rsid w:val="00641CFC"/>
    <w:rsid w:val="00641D3F"/>
    <w:rsid w:val="00641E62"/>
    <w:rsid w:val="00641F7A"/>
    <w:rsid w:val="0064208D"/>
    <w:rsid w:val="006420BE"/>
    <w:rsid w:val="006420DA"/>
    <w:rsid w:val="00642106"/>
    <w:rsid w:val="0064250C"/>
    <w:rsid w:val="00642536"/>
    <w:rsid w:val="0064272A"/>
    <w:rsid w:val="00642905"/>
    <w:rsid w:val="00642B67"/>
    <w:rsid w:val="00642E7A"/>
    <w:rsid w:val="00643098"/>
    <w:rsid w:val="00643475"/>
    <w:rsid w:val="0064383C"/>
    <w:rsid w:val="0064396A"/>
    <w:rsid w:val="00643987"/>
    <w:rsid w:val="00643D35"/>
    <w:rsid w:val="00644145"/>
    <w:rsid w:val="0064424E"/>
    <w:rsid w:val="0064456C"/>
    <w:rsid w:val="00644671"/>
    <w:rsid w:val="00644C63"/>
    <w:rsid w:val="00644E0C"/>
    <w:rsid w:val="0064515E"/>
    <w:rsid w:val="0064531F"/>
    <w:rsid w:val="00645509"/>
    <w:rsid w:val="00645920"/>
    <w:rsid w:val="00645A56"/>
    <w:rsid w:val="0064602F"/>
    <w:rsid w:val="0064624E"/>
    <w:rsid w:val="00646303"/>
    <w:rsid w:val="00646381"/>
    <w:rsid w:val="006465E8"/>
    <w:rsid w:val="0064667F"/>
    <w:rsid w:val="0064689C"/>
    <w:rsid w:val="006468CB"/>
    <w:rsid w:val="00646D86"/>
    <w:rsid w:val="00647079"/>
    <w:rsid w:val="00647814"/>
    <w:rsid w:val="006478AF"/>
    <w:rsid w:val="00647B0A"/>
    <w:rsid w:val="00647F53"/>
    <w:rsid w:val="00647F64"/>
    <w:rsid w:val="0065041D"/>
    <w:rsid w:val="0065051C"/>
    <w:rsid w:val="00650A3D"/>
    <w:rsid w:val="00650AAC"/>
    <w:rsid w:val="00650AB9"/>
    <w:rsid w:val="00650C06"/>
    <w:rsid w:val="00650C0B"/>
    <w:rsid w:val="00650CBD"/>
    <w:rsid w:val="00650DF9"/>
    <w:rsid w:val="00650F59"/>
    <w:rsid w:val="00651123"/>
    <w:rsid w:val="006512CF"/>
    <w:rsid w:val="006514DC"/>
    <w:rsid w:val="0065151C"/>
    <w:rsid w:val="00651595"/>
    <w:rsid w:val="006515CB"/>
    <w:rsid w:val="006519F3"/>
    <w:rsid w:val="00651BD6"/>
    <w:rsid w:val="00651D28"/>
    <w:rsid w:val="00651D3A"/>
    <w:rsid w:val="006520BD"/>
    <w:rsid w:val="006521E9"/>
    <w:rsid w:val="0065232F"/>
    <w:rsid w:val="006526DB"/>
    <w:rsid w:val="0065272D"/>
    <w:rsid w:val="00652CC2"/>
    <w:rsid w:val="00652E88"/>
    <w:rsid w:val="00652EAD"/>
    <w:rsid w:val="00652EBC"/>
    <w:rsid w:val="00652F0F"/>
    <w:rsid w:val="006530E7"/>
    <w:rsid w:val="006532CB"/>
    <w:rsid w:val="006536E9"/>
    <w:rsid w:val="006537AB"/>
    <w:rsid w:val="00653A22"/>
    <w:rsid w:val="00653A8B"/>
    <w:rsid w:val="00653F90"/>
    <w:rsid w:val="00654030"/>
    <w:rsid w:val="00654813"/>
    <w:rsid w:val="00654AAF"/>
    <w:rsid w:val="00654B1B"/>
    <w:rsid w:val="00654D61"/>
    <w:rsid w:val="00654F7B"/>
    <w:rsid w:val="006551F5"/>
    <w:rsid w:val="00655263"/>
    <w:rsid w:val="0065540E"/>
    <w:rsid w:val="00655521"/>
    <w:rsid w:val="00655635"/>
    <w:rsid w:val="00655733"/>
    <w:rsid w:val="006557C8"/>
    <w:rsid w:val="006559F7"/>
    <w:rsid w:val="00655ACD"/>
    <w:rsid w:val="00655FE0"/>
    <w:rsid w:val="006561E6"/>
    <w:rsid w:val="00656267"/>
    <w:rsid w:val="006569CB"/>
    <w:rsid w:val="00656A92"/>
    <w:rsid w:val="00656C5D"/>
    <w:rsid w:val="00656DDE"/>
    <w:rsid w:val="00656E40"/>
    <w:rsid w:val="006574CB"/>
    <w:rsid w:val="006574FD"/>
    <w:rsid w:val="0065759C"/>
    <w:rsid w:val="0065762E"/>
    <w:rsid w:val="00657828"/>
    <w:rsid w:val="00657A5D"/>
    <w:rsid w:val="00657B65"/>
    <w:rsid w:val="00657DDD"/>
    <w:rsid w:val="00657EDD"/>
    <w:rsid w:val="006600FF"/>
    <w:rsid w:val="0066011D"/>
    <w:rsid w:val="006601B7"/>
    <w:rsid w:val="006601F6"/>
    <w:rsid w:val="00660453"/>
    <w:rsid w:val="006606EB"/>
    <w:rsid w:val="006607C0"/>
    <w:rsid w:val="00660952"/>
    <w:rsid w:val="00660BC4"/>
    <w:rsid w:val="00660C0D"/>
    <w:rsid w:val="006612B8"/>
    <w:rsid w:val="006613A6"/>
    <w:rsid w:val="006618EF"/>
    <w:rsid w:val="00661AD8"/>
    <w:rsid w:val="006621E7"/>
    <w:rsid w:val="0066239A"/>
    <w:rsid w:val="006623D3"/>
    <w:rsid w:val="006624A4"/>
    <w:rsid w:val="0066254B"/>
    <w:rsid w:val="006625FE"/>
    <w:rsid w:val="0066270B"/>
    <w:rsid w:val="006627A2"/>
    <w:rsid w:val="00662869"/>
    <w:rsid w:val="0066294A"/>
    <w:rsid w:val="00662B3C"/>
    <w:rsid w:val="00662BAC"/>
    <w:rsid w:val="00663066"/>
    <w:rsid w:val="0066326E"/>
    <w:rsid w:val="006634E6"/>
    <w:rsid w:val="0066358F"/>
    <w:rsid w:val="00663BD6"/>
    <w:rsid w:val="00663DF7"/>
    <w:rsid w:val="00664239"/>
    <w:rsid w:val="00664286"/>
    <w:rsid w:val="006642CF"/>
    <w:rsid w:val="006643A6"/>
    <w:rsid w:val="0066454D"/>
    <w:rsid w:val="00664797"/>
    <w:rsid w:val="00664CFD"/>
    <w:rsid w:val="00664F4F"/>
    <w:rsid w:val="00665027"/>
    <w:rsid w:val="0066520A"/>
    <w:rsid w:val="00665228"/>
    <w:rsid w:val="00665437"/>
    <w:rsid w:val="006655EE"/>
    <w:rsid w:val="00665675"/>
    <w:rsid w:val="00665848"/>
    <w:rsid w:val="00665872"/>
    <w:rsid w:val="00665D12"/>
    <w:rsid w:val="00665E81"/>
    <w:rsid w:val="00665FAE"/>
    <w:rsid w:val="00666146"/>
    <w:rsid w:val="00666271"/>
    <w:rsid w:val="00666327"/>
    <w:rsid w:val="0066686D"/>
    <w:rsid w:val="00666AA2"/>
    <w:rsid w:val="00666B29"/>
    <w:rsid w:val="00666BAC"/>
    <w:rsid w:val="00666BD9"/>
    <w:rsid w:val="00666C4E"/>
    <w:rsid w:val="00666CA2"/>
    <w:rsid w:val="00666D6D"/>
    <w:rsid w:val="00666EB3"/>
    <w:rsid w:val="006670AA"/>
    <w:rsid w:val="0066739C"/>
    <w:rsid w:val="006674D7"/>
    <w:rsid w:val="00667723"/>
    <w:rsid w:val="00667C61"/>
    <w:rsid w:val="00667CCA"/>
    <w:rsid w:val="00667EE7"/>
    <w:rsid w:val="00667F6C"/>
    <w:rsid w:val="0067029D"/>
    <w:rsid w:val="00670321"/>
    <w:rsid w:val="006704F7"/>
    <w:rsid w:val="006705B1"/>
    <w:rsid w:val="006706AE"/>
    <w:rsid w:val="0067077F"/>
    <w:rsid w:val="00670922"/>
    <w:rsid w:val="00670A0E"/>
    <w:rsid w:val="00670BE1"/>
    <w:rsid w:val="00670CAF"/>
    <w:rsid w:val="00671034"/>
    <w:rsid w:val="006710B8"/>
    <w:rsid w:val="00671325"/>
    <w:rsid w:val="00671371"/>
    <w:rsid w:val="00671530"/>
    <w:rsid w:val="00671754"/>
    <w:rsid w:val="00671AE4"/>
    <w:rsid w:val="00671B1F"/>
    <w:rsid w:val="00671BD2"/>
    <w:rsid w:val="00672172"/>
    <w:rsid w:val="0067218F"/>
    <w:rsid w:val="006721D3"/>
    <w:rsid w:val="00672222"/>
    <w:rsid w:val="0067248B"/>
    <w:rsid w:val="006724F4"/>
    <w:rsid w:val="0067286E"/>
    <w:rsid w:val="006728C3"/>
    <w:rsid w:val="00672B29"/>
    <w:rsid w:val="006731D1"/>
    <w:rsid w:val="00673496"/>
    <w:rsid w:val="006735F6"/>
    <w:rsid w:val="00673786"/>
    <w:rsid w:val="00673A72"/>
    <w:rsid w:val="00673B5F"/>
    <w:rsid w:val="00673C60"/>
    <w:rsid w:val="00673E28"/>
    <w:rsid w:val="00673E3C"/>
    <w:rsid w:val="00673EC3"/>
    <w:rsid w:val="00673F77"/>
    <w:rsid w:val="006741F2"/>
    <w:rsid w:val="00674279"/>
    <w:rsid w:val="006745B6"/>
    <w:rsid w:val="006745DD"/>
    <w:rsid w:val="00674932"/>
    <w:rsid w:val="00674B30"/>
    <w:rsid w:val="00674C6A"/>
    <w:rsid w:val="00674CC3"/>
    <w:rsid w:val="00674D96"/>
    <w:rsid w:val="006751B8"/>
    <w:rsid w:val="00675426"/>
    <w:rsid w:val="006754D7"/>
    <w:rsid w:val="0067560E"/>
    <w:rsid w:val="00675646"/>
    <w:rsid w:val="0067580C"/>
    <w:rsid w:val="0067587D"/>
    <w:rsid w:val="006759D5"/>
    <w:rsid w:val="00675AE9"/>
    <w:rsid w:val="00675B1A"/>
    <w:rsid w:val="00675C72"/>
    <w:rsid w:val="00675D7D"/>
    <w:rsid w:val="00675E9E"/>
    <w:rsid w:val="00675EBF"/>
    <w:rsid w:val="00675F86"/>
    <w:rsid w:val="00675FA2"/>
    <w:rsid w:val="00676181"/>
    <w:rsid w:val="00676407"/>
    <w:rsid w:val="006766ED"/>
    <w:rsid w:val="0067670E"/>
    <w:rsid w:val="00676D08"/>
    <w:rsid w:val="006771F9"/>
    <w:rsid w:val="0067723D"/>
    <w:rsid w:val="006773CE"/>
    <w:rsid w:val="006774A6"/>
    <w:rsid w:val="006774D2"/>
    <w:rsid w:val="0067758D"/>
    <w:rsid w:val="00677655"/>
    <w:rsid w:val="006776D7"/>
    <w:rsid w:val="006776E2"/>
    <w:rsid w:val="006776ED"/>
    <w:rsid w:val="006777DD"/>
    <w:rsid w:val="0067786F"/>
    <w:rsid w:val="00677981"/>
    <w:rsid w:val="00677BBC"/>
    <w:rsid w:val="00677C4A"/>
    <w:rsid w:val="00677C66"/>
    <w:rsid w:val="00677D19"/>
    <w:rsid w:val="00677F13"/>
    <w:rsid w:val="00677F8B"/>
    <w:rsid w:val="00680411"/>
    <w:rsid w:val="00680484"/>
    <w:rsid w:val="00680539"/>
    <w:rsid w:val="0068055F"/>
    <w:rsid w:val="0068067C"/>
    <w:rsid w:val="00680899"/>
    <w:rsid w:val="00680986"/>
    <w:rsid w:val="00680A10"/>
    <w:rsid w:val="00680C77"/>
    <w:rsid w:val="00680DB8"/>
    <w:rsid w:val="00680F1C"/>
    <w:rsid w:val="00681003"/>
    <w:rsid w:val="006815F1"/>
    <w:rsid w:val="00681679"/>
    <w:rsid w:val="0068169F"/>
    <w:rsid w:val="006816E3"/>
    <w:rsid w:val="006817C9"/>
    <w:rsid w:val="00681A6A"/>
    <w:rsid w:val="00681D21"/>
    <w:rsid w:val="006821AF"/>
    <w:rsid w:val="006822B2"/>
    <w:rsid w:val="0068254F"/>
    <w:rsid w:val="006826C2"/>
    <w:rsid w:val="00682ABB"/>
    <w:rsid w:val="00682D21"/>
    <w:rsid w:val="00682D88"/>
    <w:rsid w:val="00682E10"/>
    <w:rsid w:val="00682F4A"/>
    <w:rsid w:val="006830F0"/>
    <w:rsid w:val="00683188"/>
    <w:rsid w:val="00683534"/>
    <w:rsid w:val="006838ED"/>
    <w:rsid w:val="006838F3"/>
    <w:rsid w:val="00683953"/>
    <w:rsid w:val="00683B6F"/>
    <w:rsid w:val="00683BD6"/>
    <w:rsid w:val="00683ECE"/>
    <w:rsid w:val="00684089"/>
    <w:rsid w:val="006840F6"/>
    <w:rsid w:val="0068434E"/>
    <w:rsid w:val="0068444D"/>
    <w:rsid w:val="006849EF"/>
    <w:rsid w:val="00684A74"/>
    <w:rsid w:val="00684B56"/>
    <w:rsid w:val="0068502E"/>
    <w:rsid w:val="006852F7"/>
    <w:rsid w:val="006855D9"/>
    <w:rsid w:val="00685651"/>
    <w:rsid w:val="0068595F"/>
    <w:rsid w:val="00685A8F"/>
    <w:rsid w:val="00685B2A"/>
    <w:rsid w:val="00685C1E"/>
    <w:rsid w:val="00685F19"/>
    <w:rsid w:val="006861C8"/>
    <w:rsid w:val="0068629D"/>
    <w:rsid w:val="006864DB"/>
    <w:rsid w:val="00686BE9"/>
    <w:rsid w:val="00686CD3"/>
    <w:rsid w:val="00686DF1"/>
    <w:rsid w:val="00686E3F"/>
    <w:rsid w:val="0068732E"/>
    <w:rsid w:val="00687363"/>
    <w:rsid w:val="0068739A"/>
    <w:rsid w:val="006876DB"/>
    <w:rsid w:val="00687863"/>
    <w:rsid w:val="00687B49"/>
    <w:rsid w:val="00687E53"/>
    <w:rsid w:val="0069004B"/>
    <w:rsid w:val="0069005E"/>
    <w:rsid w:val="00690086"/>
    <w:rsid w:val="0069048C"/>
    <w:rsid w:val="0069052C"/>
    <w:rsid w:val="00690614"/>
    <w:rsid w:val="0069088E"/>
    <w:rsid w:val="006909C9"/>
    <w:rsid w:val="00690ABC"/>
    <w:rsid w:val="00690B5F"/>
    <w:rsid w:val="006911AC"/>
    <w:rsid w:val="0069129D"/>
    <w:rsid w:val="006913D7"/>
    <w:rsid w:val="00691775"/>
    <w:rsid w:val="006919AD"/>
    <w:rsid w:val="0069207E"/>
    <w:rsid w:val="00692188"/>
    <w:rsid w:val="00692286"/>
    <w:rsid w:val="0069250D"/>
    <w:rsid w:val="0069283A"/>
    <w:rsid w:val="006929A0"/>
    <w:rsid w:val="00692A76"/>
    <w:rsid w:val="00692BBC"/>
    <w:rsid w:val="00692EFA"/>
    <w:rsid w:val="006932F0"/>
    <w:rsid w:val="006933B0"/>
    <w:rsid w:val="00693460"/>
    <w:rsid w:val="0069356D"/>
    <w:rsid w:val="00693C62"/>
    <w:rsid w:val="00693FE6"/>
    <w:rsid w:val="00694071"/>
    <w:rsid w:val="0069409D"/>
    <w:rsid w:val="00694128"/>
    <w:rsid w:val="0069421E"/>
    <w:rsid w:val="006947DF"/>
    <w:rsid w:val="00694A11"/>
    <w:rsid w:val="00694B84"/>
    <w:rsid w:val="00694FEE"/>
    <w:rsid w:val="006954C3"/>
    <w:rsid w:val="00695714"/>
    <w:rsid w:val="0069594F"/>
    <w:rsid w:val="00695D41"/>
    <w:rsid w:val="00695F65"/>
    <w:rsid w:val="00695FC2"/>
    <w:rsid w:val="0069632F"/>
    <w:rsid w:val="00696558"/>
    <w:rsid w:val="0069672E"/>
    <w:rsid w:val="006967EC"/>
    <w:rsid w:val="00696949"/>
    <w:rsid w:val="006969A0"/>
    <w:rsid w:val="00696C8C"/>
    <w:rsid w:val="00696F5D"/>
    <w:rsid w:val="00697052"/>
    <w:rsid w:val="006970CA"/>
    <w:rsid w:val="0069752B"/>
    <w:rsid w:val="006976BC"/>
    <w:rsid w:val="00697A79"/>
    <w:rsid w:val="00697B94"/>
    <w:rsid w:val="00697E52"/>
    <w:rsid w:val="006A0284"/>
    <w:rsid w:val="006A03B0"/>
    <w:rsid w:val="006A0551"/>
    <w:rsid w:val="006A0BA3"/>
    <w:rsid w:val="006A0CA9"/>
    <w:rsid w:val="006A0CCD"/>
    <w:rsid w:val="006A103B"/>
    <w:rsid w:val="006A14F6"/>
    <w:rsid w:val="006A15D2"/>
    <w:rsid w:val="006A15F6"/>
    <w:rsid w:val="006A1895"/>
    <w:rsid w:val="006A1A3E"/>
    <w:rsid w:val="006A1AAB"/>
    <w:rsid w:val="006A1C2E"/>
    <w:rsid w:val="006A1CBB"/>
    <w:rsid w:val="006A1EFC"/>
    <w:rsid w:val="006A22EF"/>
    <w:rsid w:val="006A246A"/>
    <w:rsid w:val="006A246C"/>
    <w:rsid w:val="006A24F9"/>
    <w:rsid w:val="006A26CA"/>
    <w:rsid w:val="006A2723"/>
    <w:rsid w:val="006A2927"/>
    <w:rsid w:val="006A2DA7"/>
    <w:rsid w:val="006A2DEE"/>
    <w:rsid w:val="006A2EC2"/>
    <w:rsid w:val="006A2EDF"/>
    <w:rsid w:val="006A3299"/>
    <w:rsid w:val="006A3446"/>
    <w:rsid w:val="006A362F"/>
    <w:rsid w:val="006A3A8B"/>
    <w:rsid w:val="006A3BD7"/>
    <w:rsid w:val="006A3D15"/>
    <w:rsid w:val="006A41D9"/>
    <w:rsid w:val="006A4298"/>
    <w:rsid w:val="006A43E4"/>
    <w:rsid w:val="006A459C"/>
    <w:rsid w:val="006A4622"/>
    <w:rsid w:val="006A46F5"/>
    <w:rsid w:val="006A46FB"/>
    <w:rsid w:val="006A49A4"/>
    <w:rsid w:val="006A4CA4"/>
    <w:rsid w:val="006A4D0A"/>
    <w:rsid w:val="006A4F48"/>
    <w:rsid w:val="006A5032"/>
    <w:rsid w:val="006A50FC"/>
    <w:rsid w:val="006A51EF"/>
    <w:rsid w:val="006A5214"/>
    <w:rsid w:val="006A5971"/>
    <w:rsid w:val="006A59DD"/>
    <w:rsid w:val="006A5CD0"/>
    <w:rsid w:val="006A5D38"/>
    <w:rsid w:val="006A5E28"/>
    <w:rsid w:val="006A5FC8"/>
    <w:rsid w:val="006A5FC9"/>
    <w:rsid w:val="006A5FEA"/>
    <w:rsid w:val="006A6100"/>
    <w:rsid w:val="006A62FB"/>
    <w:rsid w:val="006A697B"/>
    <w:rsid w:val="006A6A68"/>
    <w:rsid w:val="006A6AF3"/>
    <w:rsid w:val="006A6D87"/>
    <w:rsid w:val="006A6E55"/>
    <w:rsid w:val="006A70BB"/>
    <w:rsid w:val="006A7213"/>
    <w:rsid w:val="006A784F"/>
    <w:rsid w:val="006A7AFF"/>
    <w:rsid w:val="006A7C53"/>
    <w:rsid w:val="006A7D3B"/>
    <w:rsid w:val="006A7E23"/>
    <w:rsid w:val="006B0139"/>
    <w:rsid w:val="006B0171"/>
    <w:rsid w:val="006B04CC"/>
    <w:rsid w:val="006B04CF"/>
    <w:rsid w:val="006B06B9"/>
    <w:rsid w:val="006B0791"/>
    <w:rsid w:val="006B0AD1"/>
    <w:rsid w:val="006B0ADA"/>
    <w:rsid w:val="006B127C"/>
    <w:rsid w:val="006B12DD"/>
    <w:rsid w:val="006B13F2"/>
    <w:rsid w:val="006B152C"/>
    <w:rsid w:val="006B16BC"/>
    <w:rsid w:val="006B17E1"/>
    <w:rsid w:val="006B1816"/>
    <w:rsid w:val="006B1917"/>
    <w:rsid w:val="006B1A25"/>
    <w:rsid w:val="006B1AB5"/>
    <w:rsid w:val="006B1B74"/>
    <w:rsid w:val="006B1C5B"/>
    <w:rsid w:val="006B1D49"/>
    <w:rsid w:val="006B1D60"/>
    <w:rsid w:val="006B1E5E"/>
    <w:rsid w:val="006B1F99"/>
    <w:rsid w:val="006B2099"/>
    <w:rsid w:val="006B21FB"/>
    <w:rsid w:val="006B235A"/>
    <w:rsid w:val="006B2532"/>
    <w:rsid w:val="006B26FA"/>
    <w:rsid w:val="006B29C1"/>
    <w:rsid w:val="006B2A24"/>
    <w:rsid w:val="006B2BF2"/>
    <w:rsid w:val="006B2EFC"/>
    <w:rsid w:val="006B30AD"/>
    <w:rsid w:val="006B3360"/>
    <w:rsid w:val="006B34BB"/>
    <w:rsid w:val="006B37A4"/>
    <w:rsid w:val="006B3843"/>
    <w:rsid w:val="006B3B25"/>
    <w:rsid w:val="006B3DCF"/>
    <w:rsid w:val="006B41F3"/>
    <w:rsid w:val="006B4303"/>
    <w:rsid w:val="006B4371"/>
    <w:rsid w:val="006B4381"/>
    <w:rsid w:val="006B43F9"/>
    <w:rsid w:val="006B453A"/>
    <w:rsid w:val="006B4569"/>
    <w:rsid w:val="006B4571"/>
    <w:rsid w:val="006B466D"/>
    <w:rsid w:val="006B479D"/>
    <w:rsid w:val="006B4900"/>
    <w:rsid w:val="006B4B06"/>
    <w:rsid w:val="006B4C33"/>
    <w:rsid w:val="006B50CF"/>
    <w:rsid w:val="006B51E9"/>
    <w:rsid w:val="006B5404"/>
    <w:rsid w:val="006B5725"/>
    <w:rsid w:val="006B5995"/>
    <w:rsid w:val="006B5AA5"/>
    <w:rsid w:val="006B5E0D"/>
    <w:rsid w:val="006B5EE8"/>
    <w:rsid w:val="006B5F54"/>
    <w:rsid w:val="006B60C5"/>
    <w:rsid w:val="006B62E3"/>
    <w:rsid w:val="006B6396"/>
    <w:rsid w:val="006B64EA"/>
    <w:rsid w:val="006B65DE"/>
    <w:rsid w:val="006B699B"/>
    <w:rsid w:val="006B6ED5"/>
    <w:rsid w:val="006B6F64"/>
    <w:rsid w:val="006B713B"/>
    <w:rsid w:val="006B740E"/>
    <w:rsid w:val="006B79BE"/>
    <w:rsid w:val="006B7C45"/>
    <w:rsid w:val="006B7D35"/>
    <w:rsid w:val="006B7E15"/>
    <w:rsid w:val="006C03B8"/>
    <w:rsid w:val="006C0D8A"/>
    <w:rsid w:val="006C0DBD"/>
    <w:rsid w:val="006C0F99"/>
    <w:rsid w:val="006C11E9"/>
    <w:rsid w:val="006C15F8"/>
    <w:rsid w:val="006C17D3"/>
    <w:rsid w:val="006C194F"/>
    <w:rsid w:val="006C1EE8"/>
    <w:rsid w:val="006C1F07"/>
    <w:rsid w:val="006C1FF7"/>
    <w:rsid w:val="006C20B3"/>
    <w:rsid w:val="006C232C"/>
    <w:rsid w:val="006C24B2"/>
    <w:rsid w:val="006C2536"/>
    <w:rsid w:val="006C25C7"/>
    <w:rsid w:val="006C2772"/>
    <w:rsid w:val="006C27D9"/>
    <w:rsid w:val="006C29B1"/>
    <w:rsid w:val="006C2D35"/>
    <w:rsid w:val="006C2D4F"/>
    <w:rsid w:val="006C2F91"/>
    <w:rsid w:val="006C3718"/>
    <w:rsid w:val="006C3834"/>
    <w:rsid w:val="006C3A3B"/>
    <w:rsid w:val="006C3A56"/>
    <w:rsid w:val="006C3DB7"/>
    <w:rsid w:val="006C3E39"/>
    <w:rsid w:val="006C3F95"/>
    <w:rsid w:val="006C400B"/>
    <w:rsid w:val="006C4087"/>
    <w:rsid w:val="006C44C3"/>
    <w:rsid w:val="006C4567"/>
    <w:rsid w:val="006C4702"/>
    <w:rsid w:val="006C4715"/>
    <w:rsid w:val="006C496E"/>
    <w:rsid w:val="006C49E3"/>
    <w:rsid w:val="006C4BC5"/>
    <w:rsid w:val="006C4EB2"/>
    <w:rsid w:val="006C5127"/>
    <w:rsid w:val="006C52B1"/>
    <w:rsid w:val="006C5907"/>
    <w:rsid w:val="006C5C56"/>
    <w:rsid w:val="006C5EC9"/>
    <w:rsid w:val="006C6059"/>
    <w:rsid w:val="006C636D"/>
    <w:rsid w:val="006C6633"/>
    <w:rsid w:val="006C671B"/>
    <w:rsid w:val="006C673C"/>
    <w:rsid w:val="006C6AF5"/>
    <w:rsid w:val="006C6BE3"/>
    <w:rsid w:val="006C6DF5"/>
    <w:rsid w:val="006C6F67"/>
    <w:rsid w:val="006C7522"/>
    <w:rsid w:val="006C7A08"/>
    <w:rsid w:val="006C7A10"/>
    <w:rsid w:val="006C7A90"/>
    <w:rsid w:val="006D05D9"/>
    <w:rsid w:val="006D06EB"/>
    <w:rsid w:val="006D0795"/>
    <w:rsid w:val="006D089B"/>
    <w:rsid w:val="006D09FD"/>
    <w:rsid w:val="006D0A44"/>
    <w:rsid w:val="006D0A97"/>
    <w:rsid w:val="006D0AF6"/>
    <w:rsid w:val="006D0B09"/>
    <w:rsid w:val="006D0FD4"/>
    <w:rsid w:val="006D101F"/>
    <w:rsid w:val="006D10F2"/>
    <w:rsid w:val="006D12B3"/>
    <w:rsid w:val="006D1551"/>
    <w:rsid w:val="006D190A"/>
    <w:rsid w:val="006D1940"/>
    <w:rsid w:val="006D1BCC"/>
    <w:rsid w:val="006D1D67"/>
    <w:rsid w:val="006D1F73"/>
    <w:rsid w:val="006D209D"/>
    <w:rsid w:val="006D2852"/>
    <w:rsid w:val="006D2DD7"/>
    <w:rsid w:val="006D300E"/>
    <w:rsid w:val="006D3142"/>
    <w:rsid w:val="006D358D"/>
    <w:rsid w:val="006D35B0"/>
    <w:rsid w:val="006D3655"/>
    <w:rsid w:val="006D3DD4"/>
    <w:rsid w:val="006D3E50"/>
    <w:rsid w:val="006D3F03"/>
    <w:rsid w:val="006D4062"/>
    <w:rsid w:val="006D4249"/>
    <w:rsid w:val="006D434F"/>
    <w:rsid w:val="006D44A6"/>
    <w:rsid w:val="006D493D"/>
    <w:rsid w:val="006D4A18"/>
    <w:rsid w:val="006D4C92"/>
    <w:rsid w:val="006D4D83"/>
    <w:rsid w:val="006D4E2E"/>
    <w:rsid w:val="006D4E6A"/>
    <w:rsid w:val="006D4EAC"/>
    <w:rsid w:val="006D4F4F"/>
    <w:rsid w:val="006D518A"/>
    <w:rsid w:val="006D51F7"/>
    <w:rsid w:val="006D52B1"/>
    <w:rsid w:val="006D541C"/>
    <w:rsid w:val="006D561B"/>
    <w:rsid w:val="006D57EE"/>
    <w:rsid w:val="006D5823"/>
    <w:rsid w:val="006D5A35"/>
    <w:rsid w:val="006D5C6D"/>
    <w:rsid w:val="006D5E80"/>
    <w:rsid w:val="006D6347"/>
    <w:rsid w:val="006D6EF4"/>
    <w:rsid w:val="006D6F08"/>
    <w:rsid w:val="006D7132"/>
    <w:rsid w:val="006D7504"/>
    <w:rsid w:val="006D753C"/>
    <w:rsid w:val="006D7638"/>
    <w:rsid w:val="006D7B89"/>
    <w:rsid w:val="006D7BD9"/>
    <w:rsid w:val="006E0033"/>
    <w:rsid w:val="006E01AE"/>
    <w:rsid w:val="006E03A9"/>
    <w:rsid w:val="006E03C0"/>
    <w:rsid w:val="006E03CE"/>
    <w:rsid w:val="006E0433"/>
    <w:rsid w:val="006E0517"/>
    <w:rsid w:val="006E062C"/>
    <w:rsid w:val="006E0651"/>
    <w:rsid w:val="006E0702"/>
    <w:rsid w:val="006E09AB"/>
    <w:rsid w:val="006E0B3F"/>
    <w:rsid w:val="006E10BA"/>
    <w:rsid w:val="006E127D"/>
    <w:rsid w:val="006E12EA"/>
    <w:rsid w:val="006E13A0"/>
    <w:rsid w:val="006E1875"/>
    <w:rsid w:val="006E1894"/>
    <w:rsid w:val="006E1A0E"/>
    <w:rsid w:val="006E1C82"/>
    <w:rsid w:val="006E2194"/>
    <w:rsid w:val="006E2383"/>
    <w:rsid w:val="006E23F8"/>
    <w:rsid w:val="006E24DA"/>
    <w:rsid w:val="006E2659"/>
    <w:rsid w:val="006E269A"/>
    <w:rsid w:val="006E28B7"/>
    <w:rsid w:val="006E2A9B"/>
    <w:rsid w:val="006E2BA1"/>
    <w:rsid w:val="006E2CE0"/>
    <w:rsid w:val="006E2D94"/>
    <w:rsid w:val="006E2EAD"/>
    <w:rsid w:val="006E300C"/>
    <w:rsid w:val="006E3217"/>
    <w:rsid w:val="006E325B"/>
    <w:rsid w:val="006E3310"/>
    <w:rsid w:val="006E33C3"/>
    <w:rsid w:val="006E3513"/>
    <w:rsid w:val="006E3734"/>
    <w:rsid w:val="006E3905"/>
    <w:rsid w:val="006E3B86"/>
    <w:rsid w:val="006E3D35"/>
    <w:rsid w:val="006E41CB"/>
    <w:rsid w:val="006E43AA"/>
    <w:rsid w:val="006E44CB"/>
    <w:rsid w:val="006E4571"/>
    <w:rsid w:val="006E4839"/>
    <w:rsid w:val="006E488E"/>
    <w:rsid w:val="006E4CDE"/>
    <w:rsid w:val="006E4DD5"/>
    <w:rsid w:val="006E4E39"/>
    <w:rsid w:val="006E5257"/>
    <w:rsid w:val="006E52A4"/>
    <w:rsid w:val="006E5576"/>
    <w:rsid w:val="006E5615"/>
    <w:rsid w:val="006E565E"/>
    <w:rsid w:val="006E5695"/>
    <w:rsid w:val="006E56CF"/>
    <w:rsid w:val="006E57E7"/>
    <w:rsid w:val="006E5A1A"/>
    <w:rsid w:val="006E5EFD"/>
    <w:rsid w:val="006E5F07"/>
    <w:rsid w:val="006E616E"/>
    <w:rsid w:val="006E6453"/>
    <w:rsid w:val="006E673D"/>
    <w:rsid w:val="006E6967"/>
    <w:rsid w:val="006E69AB"/>
    <w:rsid w:val="006E6CBC"/>
    <w:rsid w:val="006E6D2D"/>
    <w:rsid w:val="006E73FF"/>
    <w:rsid w:val="006E7444"/>
    <w:rsid w:val="006E78E3"/>
    <w:rsid w:val="006E7940"/>
    <w:rsid w:val="006E7BB0"/>
    <w:rsid w:val="006E7BFA"/>
    <w:rsid w:val="006E7C75"/>
    <w:rsid w:val="006E7D3B"/>
    <w:rsid w:val="006E7F0E"/>
    <w:rsid w:val="006E7F0F"/>
    <w:rsid w:val="006F005D"/>
    <w:rsid w:val="006F0144"/>
    <w:rsid w:val="006F02C8"/>
    <w:rsid w:val="006F0310"/>
    <w:rsid w:val="006F0405"/>
    <w:rsid w:val="006F086E"/>
    <w:rsid w:val="006F097D"/>
    <w:rsid w:val="006F098B"/>
    <w:rsid w:val="006F0990"/>
    <w:rsid w:val="006F0A05"/>
    <w:rsid w:val="006F0BCF"/>
    <w:rsid w:val="006F0F65"/>
    <w:rsid w:val="006F1045"/>
    <w:rsid w:val="006F116B"/>
    <w:rsid w:val="006F1263"/>
    <w:rsid w:val="006F13F6"/>
    <w:rsid w:val="006F1A76"/>
    <w:rsid w:val="006F1ADE"/>
    <w:rsid w:val="006F1B70"/>
    <w:rsid w:val="006F1C01"/>
    <w:rsid w:val="006F1C4B"/>
    <w:rsid w:val="006F1D4C"/>
    <w:rsid w:val="006F1D52"/>
    <w:rsid w:val="006F1E0A"/>
    <w:rsid w:val="006F1F03"/>
    <w:rsid w:val="006F2115"/>
    <w:rsid w:val="006F21B6"/>
    <w:rsid w:val="006F2639"/>
    <w:rsid w:val="006F272E"/>
    <w:rsid w:val="006F2A2E"/>
    <w:rsid w:val="006F2BD9"/>
    <w:rsid w:val="006F341D"/>
    <w:rsid w:val="006F364E"/>
    <w:rsid w:val="006F38C3"/>
    <w:rsid w:val="006F396B"/>
    <w:rsid w:val="006F39F6"/>
    <w:rsid w:val="006F3BA6"/>
    <w:rsid w:val="006F3C68"/>
    <w:rsid w:val="006F3CDE"/>
    <w:rsid w:val="006F3EDE"/>
    <w:rsid w:val="006F3F78"/>
    <w:rsid w:val="006F3FBE"/>
    <w:rsid w:val="006F419B"/>
    <w:rsid w:val="006F4253"/>
    <w:rsid w:val="006F426E"/>
    <w:rsid w:val="006F42AD"/>
    <w:rsid w:val="006F44E8"/>
    <w:rsid w:val="006F4547"/>
    <w:rsid w:val="006F4986"/>
    <w:rsid w:val="006F4AF4"/>
    <w:rsid w:val="006F4B65"/>
    <w:rsid w:val="006F4F01"/>
    <w:rsid w:val="006F4F30"/>
    <w:rsid w:val="006F5021"/>
    <w:rsid w:val="006F5689"/>
    <w:rsid w:val="006F58C8"/>
    <w:rsid w:val="006F58D4"/>
    <w:rsid w:val="006F59BB"/>
    <w:rsid w:val="006F5B1B"/>
    <w:rsid w:val="006F5EE4"/>
    <w:rsid w:val="006F6085"/>
    <w:rsid w:val="006F618D"/>
    <w:rsid w:val="006F649C"/>
    <w:rsid w:val="006F654B"/>
    <w:rsid w:val="006F6553"/>
    <w:rsid w:val="006F6582"/>
    <w:rsid w:val="006F68E5"/>
    <w:rsid w:val="006F6952"/>
    <w:rsid w:val="006F735B"/>
    <w:rsid w:val="006F7435"/>
    <w:rsid w:val="006F7675"/>
    <w:rsid w:val="006F780E"/>
    <w:rsid w:val="006F784E"/>
    <w:rsid w:val="006F7A90"/>
    <w:rsid w:val="006F7BB6"/>
    <w:rsid w:val="007000A1"/>
    <w:rsid w:val="0070010F"/>
    <w:rsid w:val="007002C8"/>
    <w:rsid w:val="007002EF"/>
    <w:rsid w:val="0070041B"/>
    <w:rsid w:val="007004FB"/>
    <w:rsid w:val="007005FD"/>
    <w:rsid w:val="00700715"/>
    <w:rsid w:val="00700741"/>
    <w:rsid w:val="0070085B"/>
    <w:rsid w:val="00700A2D"/>
    <w:rsid w:val="00700A57"/>
    <w:rsid w:val="00700D24"/>
    <w:rsid w:val="00700EC3"/>
    <w:rsid w:val="0070113F"/>
    <w:rsid w:val="007014D3"/>
    <w:rsid w:val="007019FC"/>
    <w:rsid w:val="00701C2E"/>
    <w:rsid w:val="00701D57"/>
    <w:rsid w:val="00701DA5"/>
    <w:rsid w:val="007022D7"/>
    <w:rsid w:val="0070277D"/>
    <w:rsid w:val="00702BEC"/>
    <w:rsid w:val="00702E2D"/>
    <w:rsid w:val="00702FEF"/>
    <w:rsid w:val="00703205"/>
    <w:rsid w:val="0070346E"/>
    <w:rsid w:val="00703495"/>
    <w:rsid w:val="007035D4"/>
    <w:rsid w:val="0070373A"/>
    <w:rsid w:val="00703C8F"/>
    <w:rsid w:val="00703D0D"/>
    <w:rsid w:val="00703D76"/>
    <w:rsid w:val="00703EBB"/>
    <w:rsid w:val="00703EBF"/>
    <w:rsid w:val="0070454B"/>
    <w:rsid w:val="00704747"/>
    <w:rsid w:val="0070497A"/>
    <w:rsid w:val="00704D83"/>
    <w:rsid w:val="00704EDB"/>
    <w:rsid w:val="00704F8E"/>
    <w:rsid w:val="00705550"/>
    <w:rsid w:val="00705767"/>
    <w:rsid w:val="007057B4"/>
    <w:rsid w:val="0070597B"/>
    <w:rsid w:val="00705B0F"/>
    <w:rsid w:val="00705D5A"/>
    <w:rsid w:val="00705E57"/>
    <w:rsid w:val="00706101"/>
    <w:rsid w:val="007061D5"/>
    <w:rsid w:val="00706211"/>
    <w:rsid w:val="00706767"/>
    <w:rsid w:val="00706842"/>
    <w:rsid w:val="00706D1E"/>
    <w:rsid w:val="00706D57"/>
    <w:rsid w:val="00706EB2"/>
    <w:rsid w:val="00706EBB"/>
    <w:rsid w:val="00707072"/>
    <w:rsid w:val="007070A1"/>
    <w:rsid w:val="0070725D"/>
    <w:rsid w:val="007077C2"/>
    <w:rsid w:val="00707870"/>
    <w:rsid w:val="00707A3F"/>
    <w:rsid w:val="00707A5D"/>
    <w:rsid w:val="00707B16"/>
    <w:rsid w:val="00707B5D"/>
    <w:rsid w:val="00707C56"/>
    <w:rsid w:val="00707D61"/>
    <w:rsid w:val="00707F47"/>
    <w:rsid w:val="00707FD2"/>
    <w:rsid w:val="00710408"/>
    <w:rsid w:val="007107C0"/>
    <w:rsid w:val="00710AF6"/>
    <w:rsid w:val="00710C2B"/>
    <w:rsid w:val="00710E23"/>
    <w:rsid w:val="00710E98"/>
    <w:rsid w:val="00710FDC"/>
    <w:rsid w:val="00711183"/>
    <w:rsid w:val="00711FC2"/>
    <w:rsid w:val="00712287"/>
    <w:rsid w:val="00712464"/>
    <w:rsid w:val="00712772"/>
    <w:rsid w:val="00712935"/>
    <w:rsid w:val="007129F1"/>
    <w:rsid w:val="00712D97"/>
    <w:rsid w:val="00712DDC"/>
    <w:rsid w:val="00712ECC"/>
    <w:rsid w:val="00712FC7"/>
    <w:rsid w:val="007132F6"/>
    <w:rsid w:val="00713736"/>
    <w:rsid w:val="00713A18"/>
    <w:rsid w:val="00713BE2"/>
    <w:rsid w:val="00713D7C"/>
    <w:rsid w:val="00713FA2"/>
    <w:rsid w:val="00714039"/>
    <w:rsid w:val="00714273"/>
    <w:rsid w:val="007143B5"/>
    <w:rsid w:val="007143FA"/>
    <w:rsid w:val="007144DA"/>
    <w:rsid w:val="007147F6"/>
    <w:rsid w:val="007148D3"/>
    <w:rsid w:val="00714B53"/>
    <w:rsid w:val="00714D4A"/>
    <w:rsid w:val="00714DF4"/>
    <w:rsid w:val="00714F3C"/>
    <w:rsid w:val="00714F3E"/>
    <w:rsid w:val="007155A8"/>
    <w:rsid w:val="00715739"/>
    <w:rsid w:val="00715B8A"/>
    <w:rsid w:val="00715B9A"/>
    <w:rsid w:val="00715BC0"/>
    <w:rsid w:val="00715CE0"/>
    <w:rsid w:val="00715F9E"/>
    <w:rsid w:val="00716538"/>
    <w:rsid w:val="0071656E"/>
    <w:rsid w:val="007165B2"/>
    <w:rsid w:val="00716AEC"/>
    <w:rsid w:val="00716F44"/>
    <w:rsid w:val="00716F95"/>
    <w:rsid w:val="00717030"/>
    <w:rsid w:val="00717172"/>
    <w:rsid w:val="00717651"/>
    <w:rsid w:val="00717681"/>
    <w:rsid w:val="007177BE"/>
    <w:rsid w:val="00717C86"/>
    <w:rsid w:val="00717DC3"/>
    <w:rsid w:val="00717F39"/>
    <w:rsid w:val="00720435"/>
    <w:rsid w:val="007204B5"/>
    <w:rsid w:val="0072063E"/>
    <w:rsid w:val="00720E8F"/>
    <w:rsid w:val="00720F4B"/>
    <w:rsid w:val="00721144"/>
    <w:rsid w:val="00721568"/>
    <w:rsid w:val="00721728"/>
    <w:rsid w:val="00721758"/>
    <w:rsid w:val="007222A3"/>
    <w:rsid w:val="007228EC"/>
    <w:rsid w:val="007229DE"/>
    <w:rsid w:val="00722A6F"/>
    <w:rsid w:val="00722C96"/>
    <w:rsid w:val="00722CD0"/>
    <w:rsid w:val="00722D25"/>
    <w:rsid w:val="00722E1A"/>
    <w:rsid w:val="00722FFB"/>
    <w:rsid w:val="00722FFF"/>
    <w:rsid w:val="007232A1"/>
    <w:rsid w:val="0072336A"/>
    <w:rsid w:val="007234E6"/>
    <w:rsid w:val="007235B7"/>
    <w:rsid w:val="007235EF"/>
    <w:rsid w:val="007236E8"/>
    <w:rsid w:val="00723ADB"/>
    <w:rsid w:val="00723C89"/>
    <w:rsid w:val="00723CA0"/>
    <w:rsid w:val="00723CA8"/>
    <w:rsid w:val="00724269"/>
    <w:rsid w:val="00724302"/>
    <w:rsid w:val="0072446F"/>
    <w:rsid w:val="00724B8A"/>
    <w:rsid w:val="00724CD0"/>
    <w:rsid w:val="00724D54"/>
    <w:rsid w:val="00724EF9"/>
    <w:rsid w:val="00725423"/>
    <w:rsid w:val="0072542B"/>
    <w:rsid w:val="007254C5"/>
    <w:rsid w:val="007257D0"/>
    <w:rsid w:val="0072581A"/>
    <w:rsid w:val="00725B66"/>
    <w:rsid w:val="007263DC"/>
    <w:rsid w:val="0072649B"/>
    <w:rsid w:val="00726722"/>
    <w:rsid w:val="00726A99"/>
    <w:rsid w:val="00726C15"/>
    <w:rsid w:val="00726D2A"/>
    <w:rsid w:val="00726EA6"/>
    <w:rsid w:val="00726F55"/>
    <w:rsid w:val="00727208"/>
    <w:rsid w:val="007272A6"/>
    <w:rsid w:val="00727352"/>
    <w:rsid w:val="0072740B"/>
    <w:rsid w:val="007274B3"/>
    <w:rsid w:val="00727680"/>
    <w:rsid w:val="00727953"/>
    <w:rsid w:val="00727CC4"/>
    <w:rsid w:val="00727D50"/>
    <w:rsid w:val="00727E92"/>
    <w:rsid w:val="00727F7C"/>
    <w:rsid w:val="007300E9"/>
    <w:rsid w:val="00730350"/>
    <w:rsid w:val="00730427"/>
    <w:rsid w:val="00730756"/>
    <w:rsid w:val="00730C36"/>
    <w:rsid w:val="00730F6F"/>
    <w:rsid w:val="00731182"/>
    <w:rsid w:val="007311C1"/>
    <w:rsid w:val="00731531"/>
    <w:rsid w:val="00731AE6"/>
    <w:rsid w:val="00731CBB"/>
    <w:rsid w:val="00731E46"/>
    <w:rsid w:val="00731F0A"/>
    <w:rsid w:val="00732107"/>
    <w:rsid w:val="007321ED"/>
    <w:rsid w:val="007327A2"/>
    <w:rsid w:val="0073289B"/>
    <w:rsid w:val="00732DAF"/>
    <w:rsid w:val="00732E59"/>
    <w:rsid w:val="00733142"/>
    <w:rsid w:val="0073332F"/>
    <w:rsid w:val="00733464"/>
    <w:rsid w:val="00733651"/>
    <w:rsid w:val="007337F7"/>
    <w:rsid w:val="007339E1"/>
    <w:rsid w:val="00733E97"/>
    <w:rsid w:val="0073407B"/>
    <w:rsid w:val="007348B1"/>
    <w:rsid w:val="007349B7"/>
    <w:rsid w:val="00734A5D"/>
    <w:rsid w:val="00734C99"/>
    <w:rsid w:val="00734D66"/>
    <w:rsid w:val="00735489"/>
    <w:rsid w:val="007355F7"/>
    <w:rsid w:val="007356F2"/>
    <w:rsid w:val="007359F9"/>
    <w:rsid w:val="00735A97"/>
    <w:rsid w:val="00735F73"/>
    <w:rsid w:val="00736177"/>
    <w:rsid w:val="00736203"/>
    <w:rsid w:val="007362A6"/>
    <w:rsid w:val="0073649B"/>
    <w:rsid w:val="0073677A"/>
    <w:rsid w:val="007367A0"/>
    <w:rsid w:val="00736D4F"/>
    <w:rsid w:val="00736D7D"/>
    <w:rsid w:val="00737060"/>
    <w:rsid w:val="007370D2"/>
    <w:rsid w:val="0073728A"/>
    <w:rsid w:val="0073742E"/>
    <w:rsid w:val="00737507"/>
    <w:rsid w:val="007378C1"/>
    <w:rsid w:val="00737CA5"/>
    <w:rsid w:val="0074000B"/>
    <w:rsid w:val="007401DF"/>
    <w:rsid w:val="0074021E"/>
    <w:rsid w:val="0074027C"/>
    <w:rsid w:val="00740462"/>
    <w:rsid w:val="00740775"/>
    <w:rsid w:val="0074080C"/>
    <w:rsid w:val="00740901"/>
    <w:rsid w:val="00740977"/>
    <w:rsid w:val="00740980"/>
    <w:rsid w:val="00740AD2"/>
    <w:rsid w:val="00740C4D"/>
    <w:rsid w:val="00740CA8"/>
    <w:rsid w:val="00740E58"/>
    <w:rsid w:val="00740F15"/>
    <w:rsid w:val="00740F49"/>
    <w:rsid w:val="00741068"/>
    <w:rsid w:val="007410A0"/>
    <w:rsid w:val="007416E4"/>
    <w:rsid w:val="0074179D"/>
    <w:rsid w:val="007417FA"/>
    <w:rsid w:val="0074188D"/>
    <w:rsid w:val="0074205E"/>
    <w:rsid w:val="007420F3"/>
    <w:rsid w:val="00742162"/>
    <w:rsid w:val="007421C2"/>
    <w:rsid w:val="007427D2"/>
    <w:rsid w:val="00742F2E"/>
    <w:rsid w:val="0074313D"/>
    <w:rsid w:val="0074327B"/>
    <w:rsid w:val="00743395"/>
    <w:rsid w:val="007433D2"/>
    <w:rsid w:val="007434EC"/>
    <w:rsid w:val="00743A0B"/>
    <w:rsid w:val="00743D2F"/>
    <w:rsid w:val="00743E33"/>
    <w:rsid w:val="00743E3A"/>
    <w:rsid w:val="00744168"/>
    <w:rsid w:val="0074422B"/>
    <w:rsid w:val="007442DA"/>
    <w:rsid w:val="007445A0"/>
    <w:rsid w:val="00744722"/>
    <w:rsid w:val="007449D3"/>
    <w:rsid w:val="00744B80"/>
    <w:rsid w:val="00744B99"/>
    <w:rsid w:val="00744F2A"/>
    <w:rsid w:val="0074524B"/>
    <w:rsid w:val="00745771"/>
    <w:rsid w:val="00745A9E"/>
    <w:rsid w:val="00745BBE"/>
    <w:rsid w:val="00745FE1"/>
    <w:rsid w:val="007460E9"/>
    <w:rsid w:val="00746416"/>
    <w:rsid w:val="00746427"/>
    <w:rsid w:val="0074647F"/>
    <w:rsid w:val="007467A7"/>
    <w:rsid w:val="007467CE"/>
    <w:rsid w:val="00746861"/>
    <w:rsid w:val="0074689F"/>
    <w:rsid w:val="00746BFD"/>
    <w:rsid w:val="0074719B"/>
    <w:rsid w:val="007471DE"/>
    <w:rsid w:val="0074733A"/>
    <w:rsid w:val="007474F9"/>
    <w:rsid w:val="007475C7"/>
    <w:rsid w:val="00747848"/>
    <w:rsid w:val="00747C45"/>
    <w:rsid w:val="00747C47"/>
    <w:rsid w:val="00747CBD"/>
    <w:rsid w:val="00747D8B"/>
    <w:rsid w:val="00747DFA"/>
    <w:rsid w:val="00747F70"/>
    <w:rsid w:val="00750126"/>
    <w:rsid w:val="007502D1"/>
    <w:rsid w:val="0075035E"/>
    <w:rsid w:val="00750526"/>
    <w:rsid w:val="00750580"/>
    <w:rsid w:val="0075072E"/>
    <w:rsid w:val="007507A6"/>
    <w:rsid w:val="00750884"/>
    <w:rsid w:val="00750A1D"/>
    <w:rsid w:val="00750BE5"/>
    <w:rsid w:val="00750EA5"/>
    <w:rsid w:val="00751228"/>
    <w:rsid w:val="00751279"/>
    <w:rsid w:val="00751625"/>
    <w:rsid w:val="0075182A"/>
    <w:rsid w:val="00751940"/>
    <w:rsid w:val="00751A74"/>
    <w:rsid w:val="00751AE0"/>
    <w:rsid w:val="00751BC3"/>
    <w:rsid w:val="00751C8A"/>
    <w:rsid w:val="00751E84"/>
    <w:rsid w:val="00752234"/>
    <w:rsid w:val="0075225E"/>
    <w:rsid w:val="007522D6"/>
    <w:rsid w:val="00752317"/>
    <w:rsid w:val="0075248D"/>
    <w:rsid w:val="00752514"/>
    <w:rsid w:val="00752679"/>
    <w:rsid w:val="007526B4"/>
    <w:rsid w:val="007528FE"/>
    <w:rsid w:val="00752B3D"/>
    <w:rsid w:val="00752D07"/>
    <w:rsid w:val="00752EDB"/>
    <w:rsid w:val="00752FDF"/>
    <w:rsid w:val="00753454"/>
    <w:rsid w:val="007534CA"/>
    <w:rsid w:val="00753627"/>
    <w:rsid w:val="007539A1"/>
    <w:rsid w:val="00753CD7"/>
    <w:rsid w:val="00753DE0"/>
    <w:rsid w:val="0075411D"/>
    <w:rsid w:val="00754149"/>
    <w:rsid w:val="00754214"/>
    <w:rsid w:val="007542E5"/>
    <w:rsid w:val="00754961"/>
    <w:rsid w:val="00754B98"/>
    <w:rsid w:val="00754BBA"/>
    <w:rsid w:val="00754C93"/>
    <w:rsid w:val="00754CB9"/>
    <w:rsid w:val="00754E91"/>
    <w:rsid w:val="00755009"/>
    <w:rsid w:val="007554AD"/>
    <w:rsid w:val="00755551"/>
    <w:rsid w:val="007555E1"/>
    <w:rsid w:val="00755AAC"/>
    <w:rsid w:val="00756554"/>
    <w:rsid w:val="00756788"/>
    <w:rsid w:val="00756842"/>
    <w:rsid w:val="00756A07"/>
    <w:rsid w:val="00756B95"/>
    <w:rsid w:val="00756DD0"/>
    <w:rsid w:val="00757151"/>
    <w:rsid w:val="007571BB"/>
    <w:rsid w:val="007571E1"/>
    <w:rsid w:val="007572D5"/>
    <w:rsid w:val="007575E2"/>
    <w:rsid w:val="007578FF"/>
    <w:rsid w:val="00757BD9"/>
    <w:rsid w:val="00757C96"/>
    <w:rsid w:val="00757CD3"/>
    <w:rsid w:val="007602CE"/>
    <w:rsid w:val="007604B2"/>
    <w:rsid w:val="0076090D"/>
    <w:rsid w:val="00760947"/>
    <w:rsid w:val="00760BEA"/>
    <w:rsid w:val="00760E30"/>
    <w:rsid w:val="0076100D"/>
    <w:rsid w:val="007613C3"/>
    <w:rsid w:val="00761547"/>
    <w:rsid w:val="007615F2"/>
    <w:rsid w:val="007616B3"/>
    <w:rsid w:val="007617D1"/>
    <w:rsid w:val="00761F48"/>
    <w:rsid w:val="00762153"/>
    <w:rsid w:val="00762173"/>
    <w:rsid w:val="00762194"/>
    <w:rsid w:val="00762397"/>
    <w:rsid w:val="007625D7"/>
    <w:rsid w:val="0076261C"/>
    <w:rsid w:val="007626F6"/>
    <w:rsid w:val="00762C09"/>
    <w:rsid w:val="00762DE5"/>
    <w:rsid w:val="00762DFB"/>
    <w:rsid w:val="00762F23"/>
    <w:rsid w:val="00762F46"/>
    <w:rsid w:val="00763284"/>
    <w:rsid w:val="007633A8"/>
    <w:rsid w:val="00763505"/>
    <w:rsid w:val="0076372C"/>
    <w:rsid w:val="00763870"/>
    <w:rsid w:val="007638C3"/>
    <w:rsid w:val="00763F69"/>
    <w:rsid w:val="00764556"/>
    <w:rsid w:val="00764AD7"/>
    <w:rsid w:val="00764B1D"/>
    <w:rsid w:val="00764D24"/>
    <w:rsid w:val="00764D3F"/>
    <w:rsid w:val="00764E95"/>
    <w:rsid w:val="007650D3"/>
    <w:rsid w:val="00765158"/>
    <w:rsid w:val="00765281"/>
    <w:rsid w:val="00765439"/>
    <w:rsid w:val="007655FD"/>
    <w:rsid w:val="00765791"/>
    <w:rsid w:val="0076604D"/>
    <w:rsid w:val="007660A1"/>
    <w:rsid w:val="00766130"/>
    <w:rsid w:val="0076618E"/>
    <w:rsid w:val="007663E2"/>
    <w:rsid w:val="007663F5"/>
    <w:rsid w:val="00766550"/>
    <w:rsid w:val="007665BE"/>
    <w:rsid w:val="007667BD"/>
    <w:rsid w:val="00766BAD"/>
    <w:rsid w:val="00766D8A"/>
    <w:rsid w:val="00766FA3"/>
    <w:rsid w:val="00767018"/>
    <w:rsid w:val="007673EF"/>
    <w:rsid w:val="0076742A"/>
    <w:rsid w:val="0076742D"/>
    <w:rsid w:val="00767472"/>
    <w:rsid w:val="00767535"/>
    <w:rsid w:val="0076758A"/>
    <w:rsid w:val="007676CD"/>
    <w:rsid w:val="00767910"/>
    <w:rsid w:val="00767A29"/>
    <w:rsid w:val="00767A43"/>
    <w:rsid w:val="00767B20"/>
    <w:rsid w:val="00767BE3"/>
    <w:rsid w:val="00767DC9"/>
    <w:rsid w:val="00767F7D"/>
    <w:rsid w:val="007707D4"/>
    <w:rsid w:val="0077083B"/>
    <w:rsid w:val="00770CE6"/>
    <w:rsid w:val="00770D44"/>
    <w:rsid w:val="00770F1D"/>
    <w:rsid w:val="007710BC"/>
    <w:rsid w:val="007710E2"/>
    <w:rsid w:val="00771241"/>
    <w:rsid w:val="007717EC"/>
    <w:rsid w:val="007718F5"/>
    <w:rsid w:val="00771A83"/>
    <w:rsid w:val="00771C52"/>
    <w:rsid w:val="00771E8C"/>
    <w:rsid w:val="0077202D"/>
    <w:rsid w:val="00772284"/>
    <w:rsid w:val="00772304"/>
    <w:rsid w:val="00772557"/>
    <w:rsid w:val="00772653"/>
    <w:rsid w:val="00772971"/>
    <w:rsid w:val="007729A2"/>
    <w:rsid w:val="00772A8D"/>
    <w:rsid w:val="00772A9B"/>
    <w:rsid w:val="00772F3A"/>
    <w:rsid w:val="00772F5E"/>
    <w:rsid w:val="007730A7"/>
    <w:rsid w:val="007732CE"/>
    <w:rsid w:val="007735F2"/>
    <w:rsid w:val="00773638"/>
    <w:rsid w:val="0077387E"/>
    <w:rsid w:val="00773A1C"/>
    <w:rsid w:val="00774149"/>
    <w:rsid w:val="0077422D"/>
    <w:rsid w:val="007744CE"/>
    <w:rsid w:val="00774551"/>
    <w:rsid w:val="00774B2D"/>
    <w:rsid w:val="0077513F"/>
    <w:rsid w:val="007755D9"/>
    <w:rsid w:val="007755F2"/>
    <w:rsid w:val="00775891"/>
    <w:rsid w:val="007758CB"/>
    <w:rsid w:val="00775A6D"/>
    <w:rsid w:val="00775BF5"/>
    <w:rsid w:val="00775D21"/>
    <w:rsid w:val="00775F73"/>
    <w:rsid w:val="00776070"/>
    <w:rsid w:val="0077616B"/>
    <w:rsid w:val="00776630"/>
    <w:rsid w:val="00776755"/>
    <w:rsid w:val="00776795"/>
    <w:rsid w:val="007768D6"/>
    <w:rsid w:val="0077693D"/>
    <w:rsid w:val="00776971"/>
    <w:rsid w:val="007776EC"/>
    <w:rsid w:val="00777A63"/>
    <w:rsid w:val="00777A71"/>
    <w:rsid w:val="00777C2C"/>
    <w:rsid w:val="00777DF9"/>
    <w:rsid w:val="00780005"/>
    <w:rsid w:val="00780403"/>
    <w:rsid w:val="0078069C"/>
    <w:rsid w:val="00780A80"/>
    <w:rsid w:val="00780AA2"/>
    <w:rsid w:val="00780AA8"/>
    <w:rsid w:val="00780F75"/>
    <w:rsid w:val="00780FCD"/>
    <w:rsid w:val="00781105"/>
    <w:rsid w:val="007812F7"/>
    <w:rsid w:val="0078132B"/>
    <w:rsid w:val="0078147D"/>
    <w:rsid w:val="0078159C"/>
    <w:rsid w:val="007816C2"/>
    <w:rsid w:val="0078177E"/>
    <w:rsid w:val="00781AC5"/>
    <w:rsid w:val="00781ADA"/>
    <w:rsid w:val="00781C13"/>
    <w:rsid w:val="00781C4B"/>
    <w:rsid w:val="00781D5B"/>
    <w:rsid w:val="00781F1F"/>
    <w:rsid w:val="007826DC"/>
    <w:rsid w:val="0078270C"/>
    <w:rsid w:val="00782BA5"/>
    <w:rsid w:val="00782BA7"/>
    <w:rsid w:val="00782D3A"/>
    <w:rsid w:val="00782E5E"/>
    <w:rsid w:val="00782FBE"/>
    <w:rsid w:val="0078304C"/>
    <w:rsid w:val="0078326F"/>
    <w:rsid w:val="007833E7"/>
    <w:rsid w:val="00783673"/>
    <w:rsid w:val="007836FF"/>
    <w:rsid w:val="007837EA"/>
    <w:rsid w:val="00784045"/>
    <w:rsid w:val="007841E0"/>
    <w:rsid w:val="007841F6"/>
    <w:rsid w:val="0078464C"/>
    <w:rsid w:val="00784781"/>
    <w:rsid w:val="007849A7"/>
    <w:rsid w:val="00784AB3"/>
    <w:rsid w:val="00784ACD"/>
    <w:rsid w:val="00784ACE"/>
    <w:rsid w:val="00784B91"/>
    <w:rsid w:val="007853C1"/>
    <w:rsid w:val="00785490"/>
    <w:rsid w:val="007854D0"/>
    <w:rsid w:val="007854EE"/>
    <w:rsid w:val="0078582D"/>
    <w:rsid w:val="00785912"/>
    <w:rsid w:val="00785E16"/>
    <w:rsid w:val="007860DD"/>
    <w:rsid w:val="007862A5"/>
    <w:rsid w:val="007863E0"/>
    <w:rsid w:val="00786794"/>
    <w:rsid w:val="007867FB"/>
    <w:rsid w:val="00786A4D"/>
    <w:rsid w:val="00786D28"/>
    <w:rsid w:val="00786EDF"/>
    <w:rsid w:val="00786FCA"/>
    <w:rsid w:val="007870B0"/>
    <w:rsid w:val="007870BC"/>
    <w:rsid w:val="0078718A"/>
    <w:rsid w:val="00787276"/>
    <w:rsid w:val="00787284"/>
    <w:rsid w:val="00787436"/>
    <w:rsid w:val="007874BD"/>
    <w:rsid w:val="0078751C"/>
    <w:rsid w:val="007877B7"/>
    <w:rsid w:val="00787D0B"/>
    <w:rsid w:val="00787DF0"/>
    <w:rsid w:val="00787F20"/>
    <w:rsid w:val="00787F23"/>
    <w:rsid w:val="007902B4"/>
    <w:rsid w:val="007904EE"/>
    <w:rsid w:val="00790807"/>
    <w:rsid w:val="0079097A"/>
    <w:rsid w:val="00790E11"/>
    <w:rsid w:val="00790F53"/>
    <w:rsid w:val="00791256"/>
    <w:rsid w:val="007912B9"/>
    <w:rsid w:val="007912D5"/>
    <w:rsid w:val="007914D2"/>
    <w:rsid w:val="007915B8"/>
    <w:rsid w:val="00791891"/>
    <w:rsid w:val="007919B6"/>
    <w:rsid w:val="00791A7E"/>
    <w:rsid w:val="00791AB6"/>
    <w:rsid w:val="00791C6D"/>
    <w:rsid w:val="007924FD"/>
    <w:rsid w:val="007925EA"/>
    <w:rsid w:val="007928C1"/>
    <w:rsid w:val="0079290A"/>
    <w:rsid w:val="007929D8"/>
    <w:rsid w:val="00792D18"/>
    <w:rsid w:val="00792EAE"/>
    <w:rsid w:val="00792F76"/>
    <w:rsid w:val="0079300A"/>
    <w:rsid w:val="007932A1"/>
    <w:rsid w:val="007932B1"/>
    <w:rsid w:val="00793415"/>
    <w:rsid w:val="007939CD"/>
    <w:rsid w:val="00793AED"/>
    <w:rsid w:val="00793BAF"/>
    <w:rsid w:val="00793CD8"/>
    <w:rsid w:val="00793FB1"/>
    <w:rsid w:val="00794024"/>
    <w:rsid w:val="007940AE"/>
    <w:rsid w:val="007941A8"/>
    <w:rsid w:val="00794552"/>
    <w:rsid w:val="007947B5"/>
    <w:rsid w:val="007947FD"/>
    <w:rsid w:val="00794FAC"/>
    <w:rsid w:val="00795233"/>
    <w:rsid w:val="00795591"/>
    <w:rsid w:val="007957C2"/>
    <w:rsid w:val="007958D3"/>
    <w:rsid w:val="00795933"/>
    <w:rsid w:val="007959A3"/>
    <w:rsid w:val="007959D1"/>
    <w:rsid w:val="00795C4F"/>
    <w:rsid w:val="00795C92"/>
    <w:rsid w:val="00795E3F"/>
    <w:rsid w:val="00796231"/>
    <w:rsid w:val="00796324"/>
    <w:rsid w:val="0079636E"/>
    <w:rsid w:val="007965EE"/>
    <w:rsid w:val="00796A08"/>
    <w:rsid w:val="00797062"/>
    <w:rsid w:val="0079711D"/>
    <w:rsid w:val="007971BB"/>
    <w:rsid w:val="007978E4"/>
    <w:rsid w:val="007979EC"/>
    <w:rsid w:val="00797DA3"/>
    <w:rsid w:val="00797E36"/>
    <w:rsid w:val="007A029B"/>
    <w:rsid w:val="007A02E8"/>
    <w:rsid w:val="007A0CA1"/>
    <w:rsid w:val="007A0CA5"/>
    <w:rsid w:val="007A0CBC"/>
    <w:rsid w:val="007A0F6A"/>
    <w:rsid w:val="007A0FFE"/>
    <w:rsid w:val="007A1156"/>
    <w:rsid w:val="007A122B"/>
    <w:rsid w:val="007A13D8"/>
    <w:rsid w:val="007A19E0"/>
    <w:rsid w:val="007A1A05"/>
    <w:rsid w:val="007A1BF0"/>
    <w:rsid w:val="007A1CB3"/>
    <w:rsid w:val="007A1D5C"/>
    <w:rsid w:val="007A22C5"/>
    <w:rsid w:val="007A245E"/>
    <w:rsid w:val="007A29EE"/>
    <w:rsid w:val="007A2A8F"/>
    <w:rsid w:val="007A2B10"/>
    <w:rsid w:val="007A2CD2"/>
    <w:rsid w:val="007A2D60"/>
    <w:rsid w:val="007A2DB8"/>
    <w:rsid w:val="007A2DE3"/>
    <w:rsid w:val="007A2EE4"/>
    <w:rsid w:val="007A2FE3"/>
    <w:rsid w:val="007A306F"/>
    <w:rsid w:val="007A34D9"/>
    <w:rsid w:val="007A37F4"/>
    <w:rsid w:val="007A3B74"/>
    <w:rsid w:val="007A3C66"/>
    <w:rsid w:val="007A3F2B"/>
    <w:rsid w:val="007A4275"/>
    <w:rsid w:val="007A42AA"/>
    <w:rsid w:val="007A43A6"/>
    <w:rsid w:val="007A43AF"/>
    <w:rsid w:val="007A465F"/>
    <w:rsid w:val="007A4696"/>
    <w:rsid w:val="007A4822"/>
    <w:rsid w:val="007A4870"/>
    <w:rsid w:val="007A4915"/>
    <w:rsid w:val="007A4A4C"/>
    <w:rsid w:val="007A4A89"/>
    <w:rsid w:val="007A4A8B"/>
    <w:rsid w:val="007A4B87"/>
    <w:rsid w:val="007A4CB4"/>
    <w:rsid w:val="007A4E70"/>
    <w:rsid w:val="007A52C7"/>
    <w:rsid w:val="007A54C9"/>
    <w:rsid w:val="007A5539"/>
    <w:rsid w:val="007A5542"/>
    <w:rsid w:val="007A5894"/>
    <w:rsid w:val="007A58A6"/>
    <w:rsid w:val="007A5924"/>
    <w:rsid w:val="007A5A0B"/>
    <w:rsid w:val="007A5A2E"/>
    <w:rsid w:val="007A5E36"/>
    <w:rsid w:val="007A5FD9"/>
    <w:rsid w:val="007A606B"/>
    <w:rsid w:val="007A6158"/>
    <w:rsid w:val="007A656A"/>
    <w:rsid w:val="007A65AB"/>
    <w:rsid w:val="007A66FA"/>
    <w:rsid w:val="007A6781"/>
    <w:rsid w:val="007A68AD"/>
    <w:rsid w:val="007A68FC"/>
    <w:rsid w:val="007A7526"/>
    <w:rsid w:val="007A793F"/>
    <w:rsid w:val="007A7ABD"/>
    <w:rsid w:val="007A7D13"/>
    <w:rsid w:val="007A7D53"/>
    <w:rsid w:val="007A7EEB"/>
    <w:rsid w:val="007A7FFB"/>
    <w:rsid w:val="007B009E"/>
    <w:rsid w:val="007B0141"/>
    <w:rsid w:val="007B021F"/>
    <w:rsid w:val="007B0337"/>
    <w:rsid w:val="007B0433"/>
    <w:rsid w:val="007B050F"/>
    <w:rsid w:val="007B05F7"/>
    <w:rsid w:val="007B0BE9"/>
    <w:rsid w:val="007B0C13"/>
    <w:rsid w:val="007B1109"/>
    <w:rsid w:val="007B1139"/>
    <w:rsid w:val="007B1209"/>
    <w:rsid w:val="007B124C"/>
    <w:rsid w:val="007B12BF"/>
    <w:rsid w:val="007B1390"/>
    <w:rsid w:val="007B1394"/>
    <w:rsid w:val="007B1638"/>
    <w:rsid w:val="007B169B"/>
    <w:rsid w:val="007B1842"/>
    <w:rsid w:val="007B196C"/>
    <w:rsid w:val="007B1AC9"/>
    <w:rsid w:val="007B1E38"/>
    <w:rsid w:val="007B20D7"/>
    <w:rsid w:val="007B238D"/>
    <w:rsid w:val="007B23B9"/>
    <w:rsid w:val="007B248C"/>
    <w:rsid w:val="007B249B"/>
    <w:rsid w:val="007B2565"/>
    <w:rsid w:val="007B272D"/>
    <w:rsid w:val="007B2AF6"/>
    <w:rsid w:val="007B2BDF"/>
    <w:rsid w:val="007B2CF1"/>
    <w:rsid w:val="007B2E49"/>
    <w:rsid w:val="007B2F5F"/>
    <w:rsid w:val="007B2FA4"/>
    <w:rsid w:val="007B3139"/>
    <w:rsid w:val="007B32D2"/>
    <w:rsid w:val="007B32D7"/>
    <w:rsid w:val="007B354E"/>
    <w:rsid w:val="007B39EF"/>
    <w:rsid w:val="007B3A65"/>
    <w:rsid w:val="007B3D2D"/>
    <w:rsid w:val="007B3D6D"/>
    <w:rsid w:val="007B3D72"/>
    <w:rsid w:val="007B3E93"/>
    <w:rsid w:val="007B4121"/>
    <w:rsid w:val="007B46F3"/>
    <w:rsid w:val="007B4983"/>
    <w:rsid w:val="007B49D2"/>
    <w:rsid w:val="007B4CF9"/>
    <w:rsid w:val="007B4D46"/>
    <w:rsid w:val="007B4F70"/>
    <w:rsid w:val="007B50AE"/>
    <w:rsid w:val="007B50BD"/>
    <w:rsid w:val="007B51C8"/>
    <w:rsid w:val="007B51DF"/>
    <w:rsid w:val="007B532F"/>
    <w:rsid w:val="007B552A"/>
    <w:rsid w:val="007B56C1"/>
    <w:rsid w:val="007B5851"/>
    <w:rsid w:val="007B5CFC"/>
    <w:rsid w:val="007B5D22"/>
    <w:rsid w:val="007B6051"/>
    <w:rsid w:val="007B6058"/>
    <w:rsid w:val="007B657D"/>
    <w:rsid w:val="007B666E"/>
    <w:rsid w:val="007B681F"/>
    <w:rsid w:val="007B696B"/>
    <w:rsid w:val="007B69D3"/>
    <w:rsid w:val="007B6E40"/>
    <w:rsid w:val="007B703B"/>
    <w:rsid w:val="007B7114"/>
    <w:rsid w:val="007B726E"/>
    <w:rsid w:val="007B730D"/>
    <w:rsid w:val="007B738D"/>
    <w:rsid w:val="007B7623"/>
    <w:rsid w:val="007B771C"/>
    <w:rsid w:val="007B7760"/>
    <w:rsid w:val="007B7872"/>
    <w:rsid w:val="007B796F"/>
    <w:rsid w:val="007C00BD"/>
    <w:rsid w:val="007C00F2"/>
    <w:rsid w:val="007C03CE"/>
    <w:rsid w:val="007C05DD"/>
    <w:rsid w:val="007C0745"/>
    <w:rsid w:val="007C0B2E"/>
    <w:rsid w:val="007C0E50"/>
    <w:rsid w:val="007C10CC"/>
    <w:rsid w:val="007C11F7"/>
    <w:rsid w:val="007C1340"/>
    <w:rsid w:val="007C13A8"/>
    <w:rsid w:val="007C154C"/>
    <w:rsid w:val="007C1597"/>
    <w:rsid w:val="007C171C"/>
    <w:rsid w:val="007C172C"/>
    <w:rsid w:val="007C187E"/>
    <w:rsid w:val="007C1B67"/>
    <w:rsid w:val="007C1CAE"/>
    <w:rsid w:val="007C1E30"/>
    <w:rsid w:val="007C1F8F"/>
    <w:rsid w:val="007C2005"/>
    <w:rsid w:val="007C20D1"/>
    <w:rsid w:val="007C21EC"/>
    <w:rsid w:val="007C22A6"/>
    <w:rsid w:val="007C24F0"/>
    <w:rsid w:val="007C2543"/>
    <w:rsid w:val="007C2544"/>
    <w:rsid w:val="007C2780"/>
    <w:rsid w:val="007C28AD"/>
    <w:rsid w:val="007C2A6D"/>
    <w:rsid w:val="007C2CF6"/>
    <w:rsid w:val="007C2DAB"/>
    <w:rsid w:val="007C2DF0"/>
    <w:rsid w:val="007C319E"/>
    <w:rsid w:val="007C3215"/>
    <w:rsid w:val="007C33EA"/>
    <w:rsid w:val="007C3470"/>
    <w:rsid w:val="007C3683"/>
    <w:rsid w:val="007C36DC"/>
    <w:rsid w:val="007C37EE"/>
    <w:rsid w:val="007C3D18"/>
    <w:rsid w:val="007C3D4B"/>
    <w:rsid w:val="007C3F36"/>
    <w:rsid w:val="007C4046"/>
    <w:rsid w:val="007C43C0"/>
    <w:rsid w:val="007C446A"/>
    <w:rsid w:val="007C46C5"/>
    <w:rsid w:val="007C4715"/>
    <w:rsid w:val="007C48DC"/>
    <w:rsid w:val="007C4A11"/>
    <w:rsid w:val="007C4B9A"/>
    <w:rsid w:val="007C4F1F"/>
    <w:rsid w:val="007C511F"/>
    <w:rsid w:val="007C516A"/>
    <w:rsid w:val="007C536B"/>
    <w:rsid w:val="007C54F2"/>
    <w:rsid w:val="007C54FF"/>
    <w:rsid w:val="007C550F"/>
    <w:rsid w:val="007C5624"/>
    <w:rsid w:val="007C56D7"/>
    <w:rsid w:val="007C58B0"/>
    <w:rsid w:val="007C595C"/>
    <w:rsid w:val="007C5FAE"/>
    <w:rsid w:val="007C6095"/>
    <w:rsid w:val="007C60BF"/>
    <w:rsid w:val="007C617E"/>
    <w:rsid w:val="007C64DE"/>
    <w:rsid w:val="007C66E6"/>
    <w:rsid w:val="007C676E"/>
    <w:rsid w:val="007C6A07"/>
    <w:rsid w:val="007C6B2B"/>
    <w:rsid w:val="007C6D58"/>
    <w:rsid w:val="007C6E2E"/>
    <w:rsid w:val="007C6E6C"/>
    <w:rsid w:val="007C70B7"/>
    <w:rsid w:val="007C70D1"/>
    <w:rsid w:val="007C71C2"/>
    <w:rsid w:val="007C729B"/>
    <w:rsid w:val="007C74DE"/>
    <w:rsid w:val="007C75A1"/>
    <w:rsid w:val="007C779B"/>
    <w:rsid w:val="007C77A5"/>
    <w:rsid w:val="007C783E"/>
    <w:rsid w:val="007C785E"/>
    <w:rsid w:val="007C790D"/>
    <w:rsid w:val="007C7993"/>
    <w:rsid w:val="007C7A80"/>
    <w:rsid w:val="007C7C43"/>
    <w:rsid w:val="007C7D70"/>
    <w:rsid w:val="007C7DD9"/>
    <w:rsid w:val="007D00A2"/>
    <w:rsid w:val="007D02F2"/>
    <w:rsid w:val="007D0479"/>
    <w:rsid w:val="007D04E5"/>
    <w:rsid w:val="007D04EB"/>
    <w:rsid w:val="007D0B22"/>
    <w:rsid w:val="007D1000"/>
    <w:rsid w:val="007D1172"/>
    <w:rsid w:val="007D1239"/>
    <w:rsid w:val="007D129B"/>
    <w:rsid w:val="007D13A8"/>
    <w:rsid w:val="007D1488"/>
    <w:rsid w:val="007D1769"/>
    <w:rsid w:val="007D1788"/>
    <w:rsid w:val="007D1899"/>
    <w:rsid w:val="007D1AC2"/>
    <w:rsid w:val="007D1BAC"/>
    <w:rsid w:val="007D1C10"/>
    <w:rsid w:val="007D1C7C"/>
    <w:rsid w:val="007D1C86"/>
    <w:rsid w:val="007D1D7A"/>
    <w:rsid w:val="007D1E9F"/>
    <w:rsid w:val="007D21C5"/>
    <w:rsid w:val="007D22F5"/>
    <w:rsid w:val="007D2873"/>
    <w:rsid w:val="007D2B08"/>
    <w:rsid w:val="007D2BFA"/>
    <w:rsid w:val="007D2C48"/>
    <w:rsid w:val="007D2E52"/>
    <w:rsid w:val="007D2F11"/>
    <w:rsid w:val="007D3378"/>
    <w:rsid w:val="007D34C2"/>
    <w:rsid w:val="007D3561"/>
    <w:rsid w:val="007D3698"/>
    <w:rsid w:val="007D36BB"/>
    <w:rsid w:val="007D38AE"/>
    <w:rsid w:val="007D3B64"/>
    <w:rsid w:val="007D3D3E"/>
    <w:rsid w:val="007D3FF1"/>
    <w:rsid w:val="007D4121"/>
    <w:rsid w:val="007D4AB8"/>
    <w:rsid w:val="007D4ADA"/>
    <w:rsid w:val="007D4C6E"/>
    <w:rsid w:val="007D4E51"/>
    <w:rsid w:val="007D4E56"/>
    <w:rsid w:val="007D4EC0"/>
    <w:rsid w:val="007D4F46"/>
    <w:rsid w:val="007D5008"/>
    <w:rsid w:val="007D5230"/>
    <w:rsid w:val="007D546D"/>
    <w:rsid w:val="007D56FC"/>
    <w:rsid w:val="007D57D2"/>
    <w:rsid w:val="007D5901"/>
    <w:rsid w:val="007D5B17"/>
    <w:rsid w:val="007D5B3F"/>
    <w:rsid w:val="007D5C80"/>
    <w:rsid w:val="007D5D9A"/>
    <w:rsid w:val="007D5EF2"/>
    <w:rsid w:val="007D5FCC"/>
    <w:rsid w:val="007D6170"/>
    <w:rsid w:val="007D61F4"/>
    <w:rsid w:val="007D63E4"/>
    <w:rsid w:val="007D6A29"/>
    <w:rsid w:val="007D6B20"/>
    <w:rsid w:val="007D6C1F"/>
    <w:rsid w:val="007D6FD6"/>
    <w:rsid w:val="007D708D"/>
    <w:rsid w:val="007D70B2"/>
    <w:rsid w:val="007D716F"/>
    <w:rsid w:val="007D7526"/>
    <w:rsid w:val="007D79A1"/>
    <w:rsid w:val="007D7D89"/>
    <w:rsid w:val="007D7F64"/>
    <w:rsid w:val="007E0108"/>
    <w:rsid w:val="007E0120"/>
    <w:rsid w:val="007E026B"/>
    <w:rsid w:val="007E0589"/>
    <w:rsid w:val="007E05AC"/>
    <w:rsid w:val="007E07A4"/>
    <w:rsid w:val="007E0831"/>
    <w:rsid w:val="007E09AA"/>
    <w:rsid w:val="007E0CDC"/>
    <w:rsid w:val="007E0D87"/>
    <w:rsid w:val="007E0FF8"/>
    <w:rsid w:val="007E100F"/>
    <w:rsid w:val="007E1183"/>
    <w:rsid w:val="007E1315"/>
    <w:rsid w:val="007E171A"/>
    <w:rsid w:val="007E2242"/>
    <w:rsid w:val="007E224A"/>
    <w:rsid w:val="007E259A"/>
    <w:rsid w:val="007E27CE"/>
    <w:rsid w:val="007E2803"/>
    <w:rsid w:val="007E29A9"/>
    <w:rsid w:val="007E2EC0"/>
    <w:rsid w:val="007E2FDD"/>
    <w:rsid w:val="007E37FA"/>
    <w:rsid w:val="007E3A93"/>
    <w:rsid w:val="007E4068"/>
    <w:rsid w:val="007E40F0"/>
    <w:rsid w:val="007E4167"/>
    <w:rsid w:val="007E4352"/>
    <w:rsid w:val="007E4396"/>
    <w:rsid w:val="007E4399"/>
    <w:rsid w:val="007E4573"/>
    <w:rsid w:val="007E4610"/>
    <w:rsid w:val="007E46EC"/>
    <w:rsid w:val="007E4715"/>
    <w:rsid w:val="007E48C1"/>
    <w:rsid w:val="007E4B72"/>
    <w:rsid w:val="007E4DAD"/>
    <w:rsid w:val="007E4DC9"/>
    <w:rsid w:val="007E4DCF"/>
    <w:rsid w:val="007E505B"/>
    <w:rsid w:val="007E5250"/>
    <w:rsid w:val="007E5459"/>
    <w:rsid w:val="007E5CA8"/>
    <w:rsid w:val="007E5CB6"/>
    <w:rsid w:val="007E5E3E"/>
    <w:rsid w:val="007E6070"/>
    <w:rsid w:val="007E60F4"/>
    <w:rsid w:val="007E6447"/>
    <w:rsid w:val="007E678A"/>
    <w:rsid w:val="007E67FA"/>
    <w:rsid w:val="007E6EE1"/>
    <w:rsid w:val="007E7091"/>
    <w:rsid w:val="007E7105"/>
    <w:rsid w:val="007E7154"/>
    <w:rsid w:val="007E750B"/>
    <w:rsid w:val="007E75D9"/>
    <w:rsid w:val="007E78EB"/>
    <w:rsid w:val="007E7A4A"/>
    <w:rsid w:val="007E7AFD"/>
    <w:rsid w:val="007E7B24"/>
    <w:rsid w:val="007E7C7B"/>
    <w:rsid w:val="007E7FB3"/>
    <w:rsid w:val="007F023F"/>
    <w:rsid w:val="007F0535"/>
    <w:rsid w:val="007F0727"/>
    <w:rsid w:val="007F07F5"/>
    <w:rsid w:val="007F086C"/>
    <w:rsid w:val="007F0ADD"/>
    <w:rsid w:val="007F0B32"/>
    <w:rsid w:val="007F0BCE"/>
    <w:rsid w:val="007F0DC9"/>
    <w:rsid w:val="007F0EBD"/>
    <w:rsid w:val="007F0F60"/>
    <w:rsid w:val="007F1411"/>
    <w:rsid w:val="007F1517"/>
    <w:rsid w:val="007F152F"/>
    <w:rsid w:val="007F2324"/>
    <w:rsid w:val="007F233E"/>
    <w:rsid w:val="007F2711"/>
    <w:rsid w:val="007F2879"/>
    <w:rsid w:val="007F2A38"/>
    <w:rsid w:val="007F2B0B"/>
    <w:rsid w:val="007F2B5B"/>
    <w:rsid w:val="007F2BAD"/>
    <w:rsid w:val="007F2C13"/>
    <w:rsid w:val="007F2D88"/>
    <w:rsid w:val="007F2EAC"/>
    <w:rsid w:val="007F2ED1"/>
    <w:rsid w:val="007F3052"/>
    <w:rsid w:val="007F375E"/>
    <w:rsid w:val="007F377D"/>
    <w:rsid w:val="007F37E2"/>
    <w:rsid w:val="007F3B32"/>
    <w:rsid w:val="007F3E4C"/>
    <w:rsid w:val="007F4272"/>
    <w:rsid w:val="007F4298"/>
    <w:rsid w:val="007F437A"/>
    <w:rsid w:val="007F473B"/>
    <w:rsid w:val="007F47C4"/>
    <w:rsid w:val="007F4D70"/>
    <w:rsid w:val="007F4FB5"/>
    <w:rsid w:val="007F4FB6"/>
    <w:rsid w:val="007F4FE7"/>
    <w:rsid w:val="007F530B"/>
    <w:rsid w:val="007F5A91"/>
    <w:rsid w:val="007F5BF2"/>
    <w:rsid w:val="007F5D82"/>
    <w:rsid w:val="007F61C1"/>
    <w:rsid w:val="007F61DC"/>
    <w:rsid w:val="007F65A5"/>
    <w:rsid w:val="007F665F"/>
    <w:rsid w:val="007F667A"/>
    <w:rsid w:val="007F6962"/>
    <w:rsid w:val="007F6D39"/>
    <w:rsid w:val="007F6D6D"/>
    <w:rsid w:val="007F6DB6"/>
    <w:rsid w:val="007F7293"/>
    <w:rsid w:val="007F75C7"/>
    <w:rsid w:val="007F7610"/>
    <w:rsid w:val="007F7828"/>
    <w:rsid w:val="007F791C"/>
    <w:rsid w:val="007F7A57"/>
    <w:rsid w:val="007F7B2C"/>
    <w:rsid w:val="007F7D40"/>
    <w:rsid w:val="007F7D4C"/>
    <w:rsid w:val="00800198"/>
    <w:rsid w:val="00800734"/>
    <w:rsid w:val="008009A3"/>
    <w:rsid w:val="00800D98"/>
    <w:rsid w:val="00800E24"/>
    <w:rsid w:val="00800E59"/>
    <w:rsid w:val="00801029"/>
    <w:rsid w:val="00801714"/>
    <w:rsid w:val="00801885"/>
    <w:rsid w:val="008018C7"/>
    <w:rsid w:val="0080194C"/>
    <w:rsid w:val="00801B30"/>
    <w:rsid w:val="00801B9C"/>
    <w:rsid w:val="00801D25"/>
    <w:rsid w:val="00801D3C"/>
    <w:rsid w:val="00801E40"/>
    <w:rsid w:val="00801E60"/>
    <w:rsid w:val="00801ED8"/>
    <w:rsid w:val="008025FC"/>
    <w:rsid w:val="0080279E"/>
    <w:rsid w:val="008027ED"/>
    <w:rsid w:val="00803007"/>
    <w:rsid w:val="00803597"/>
    <w:rsid w:val="00803BFF"/>
    <w:rsid w:val="00803D33"/>
    <w:rsid w:val="00803D45"/>
    <w:rsid w:val="00803DB9"/>
    <w:rsid w:val="00803DEA"/>
    <w:rsid w:val="00803FAE"/>
    <w:rsid w:val="00804062"/>
    <w:rsid w:val="008043D6"/>
    <w:rsid w:val="008046D9"/>
    <w:rsid w:val="008047AF"/>
    <w:rsid w:val="00804A6C"/>
    <w:rsid w:val="00804CEC"/>
    <w:rsid w:val="00804D1D"/>
    <w:rsid w:val="00804D71"/>
    <w:rsid w:val="0080500A"/>
    <w:rsid w:val="0080527D"/>
    <w:rsid w:val="0080527F"/>
    <w:rsid w:val="008053E8"/>
    <w:rsid w:val="0080545F"/>
    <w:rsid w:val="008055D8"/>
    <w:rsid w:val="008057E4"/>
    <w:rsid w:val="00805900"/>
    <w:rsid w:val="00805A44"/>
    <w:rsid w:val="00805AB5"/>
    <w:rsid w:val="00805EC3"/>
    <w:rsid w:val="00805FC1"/>
    <w:rsid w:val="0080605F"/>
    <w:rsid w:val="00806723"/>
    <w:rsid w:val="0080676A"/>
    <w:rsid w:val="00806943"/>
    <w:rsid w:val="00806C46"/>
    <w:rsid w:val="00806EC5"/>
    <w:rsid w:val="00807786"/>
    <w:rsid w:val="00807882"/>
    <w:rsid w:val="00807926"/>
    <w:rsid w:val="00807B89"/>
    <w:rsid w:val="00807C04"/>
    <w:rsid w:val="00807D98"/>
    <w:rsid w:val="00807E14"/>
    <w:rsid w:val="00807E3D"/>
    <w:rsid w:val="00807EBB"/>
    <w:rsid w:val="008101F3"/>
    <w:rsid w:val="008104C5"/>
    <w:rsid w:val="008105A4"/>
    <w:rsid w:val="008106BE"/>
    <w:rsid w:val="0081078D"/>
    <w:rsid w:val="008107FC"/>
    <w:rsid w:val="008109C4"/>
    <w:rsid w:val="00810A77"/>
    <w:rsid w:val="00810C7C"/>
    <w:rsid w:val="00810DA4"/>
    <w:rsid w:val="00810EEF"/>
    <w:rsid w:val="008110E7"/>
    <w:rsid w:val="0081129F"/>
    <w:rsid w:val="00811617"/>
    <w:rsid w:val="0081183C"/>
    <w:rsid w:val="00811EA6"/>
    <w:rsid w:val="00811FCB"/>
    <w:rsid w:val="00811FF3"/>
    <w:rsid w:val="0081207F"/>
    <w:rsid w:val="008122E2"/>
    <w:rsid w:val="008122FE"/>
    <w:rsid w:val="008122FF"/>
    <w:rsid w:val="0081247F"/>
    <w:rsid w:val="0081254B"/>
    <w:rsid w:val="00812636"/>
    <w:rsid w:val="008127FA"/>
    <w:rsid w:val="008129EC"/>
    <w:rsid w:val="00813066"/>
    <w:rsid w:val="008130B2"/>
    <w:rsid w:val="008130C1"/>
    <w:rsid w:val="00813364"/>
    <w:rsid w:val="00813466"/>
    <w:rsid w:val="00813798"/>
    <w:rsid w:val="00813A27"/>
    <w:rsid w:val="00813A55"/>
    <w:rsid w:val="00814059"/>
    <w:rsid w:val="0081411F"/>
    <w:rsid w:val="0081417D"/>
    <w:rsid w:val="008141AF"/>
    <w:rsid w:val="008142BC"/>
    <w:rsid w:val="008144B9"/>
    <w:rsid w:val="008146FE"/>
    <w:rsid w:val="008148B1"/>
    <w:rsid w:val="00815059"/>
    <w:rsid w:val="00815074"/>
    <w:rsid w:val="0081517B"/>
    <w:rsid w:val="0081520F"/>
    <w:rsid w:val="008154BF"/>
    <w:rsid w:val="00815519"/>
    <w:rsid w:val="00815634"/>
    <w:rsid w:val="008156EA"/>
    <w:rsid w:val="008158D6"/>
    <w:rsid w:val="00815ED1"/>
    <w:rsid w:val="0081604F"/>
    <w:rsid w:val="0081642E"/>
    <w:rsid w:val="00816490"/>
    <w:rsid w:val="0081652A"/>
    <w:rsid w:val="00816543"/>
    <w:rsid w:val="0081665D"/>
    <w:rsid w:val="00816E3E"/>
    <w:rsid w:val="00816FF9"/>
    <w:rsid w:val="0081704B"/>
    <w:rsid w:val="0081714F"/>
    <w:rsid w:val="00817196"/>
    <w:rsid w:val="00817237"/>
    <w:rsid w:val="008175A5"/>
    <w:rsid w:val="008175E9"/>
    <w:rsid w:val="00817813"/>
    <w:rsid w:val="00817B21"/>
    <w:rsid w:val="00817E44"/>
    <w:rsid w:val="00820029"/>
    <w:rsid w:val="008200A0"/>
    <w:rsid w:val="0082033A"/>
    <w:rsid w:val="00820C28"/>
    <w:rsid w:val="00820C74"/>
    <w:rsid w:val="00820C9D"/>
    <w:rsid w:val="00820D0E"/>
    <w:rsid w:val="00820F0A"/>
    <w:rsid w:val="00820FE0"/>
    <w:rsid w:val="0082114C"/>
    <w:rsid w:val="00821210"/>
    <w:rsid w:val="0082179A"/>
    <w:rsid w:val="008217F4"/>
    <w:rsid w:val="008219C4"/>
    <w:rsid w:val="00821A5D"/>
    <w:rsid w:val="00821AF8"/>
    <w:rsid w:val="00821CFA"/>
    <w:rsid w:val="00821DA2"/>
    <w:rsid w:val="00821FF3"/>
    <w:rsid w:val="0082214E"/>
    <w:rsid w:val="00822294"/>
    <w:rsid w:val="008222E3"/>
    <w:rsid w:val="0082249C"/>
    <w:rsid w:val="00822C8A"/>
    <w:rsid w:val="00822DC4"/>
    <w:rsid w:val="00822E1E"/>
    <w:rsid w:val="00822E36"/>
    <w:rsid w:val="00822F7F"/>
    <w:rsid w:val="0082319C"/>
    <w:rsid w:val="008231DE"/>
    <w:rsid w:val="0082328F"/>
    <w:rsid w:val="008233E3"/>
    <w:rsid w:val="0082359F"/>
    <w:rsid w:val="008235DB"/>
    <w:rsid w:val="008238B9"/>
    <w:rsid w:val="00823E41"/>
    <w:rsid w:val="00823EF9"/>
    <w:rsid w:val="0082401F"/>
    <w:rsid w:val="008242E6"/>
    <w:rsid w:val="00824413"/>
    <w:rsid w:val="00824569"/>
    <w:rsid w:val="008248A5"/>
    <w:rsid w:val="00824A34"/>
    <w:rsid w:val="00824AB4"/>
    <w:rsid w:val="00825108"/>
    <w:rsid w:val="008251B1"/>
    <w:rsid w:val="00825571"/>
    <w:rsid w:val="0082572E"/>
    <w:rsid w:val="008257A0"/>
    <w:rsid w:val="00825803"/>
    <w:rsid w:val="0082587B"/>
    <w:rsid w:val="00825913"/>
    <w:rsid w:val="00825A1C"/>
    <w:rsid w:val="00825C42"/>
    <w:rsid w:val="00825D25"/>
    <w:rsid w:val="008262B8"/>
    <w:rsid w:val="008266D3"/>
    <w:rsid w:val="0082670E"/>
    <w:rsid w:val="008267DE"/>
    <w:rsid w:val="008268A3"/>
    <w:rsid w:val="00826932"/>
    <w:rsid w:val="00826B59"/>
    <w:rsid w:val="00826BE8"/>
    <w:rsid w:val="00826CCC"/>
    <w:rsid w:val="00826D5B"/>
    <w:rsid w:val="00826E35"/>
    <w:rsid w:val="008273FC"/>
    <w:rsid w:val="00827836"/>
    <w:rsid w:val="00827869"/>
    <w:rsid w:val="00827D6F"/>
    <w:rsid w:val="008303A5"/>
    <w:rsid w:val="008305BC"/>
    <w:rsid w:val="0083077D"/>
    <w:rsid w:val="00830822"/>
    <w:rsid w:val="008309C3"/>
    <w:rsid w:val="00830ADB"/>
    <w:rsid w:val="00830D9F"/>
    <w:rsid w:val="00830E2A"/>
    <w:rsid w:val="008314EC"/>
    <w:rsid w:val="00831540"/>
    <w:rsid w:val="008315D5"/>
    <w:rsid w:val="00831633"/>
    <w:rsid w:val="008316A9"/>
    <w:rsid w:val="0083194E"/>
    <w:rsid w:val="00831CC1"/>
    <w:rsid w:val="00831E77"/>
    <w:rsid w:val="00831EFF"/>
    <w:rsid w:val="00832159"/>
    <w:rsid w:val="00832177"/>
    <w:rsid w:val="00832441"/>
    <w:rsid w:val="00832525"/>
    <w:rsid w:val="0083253E"/>
    <w:rsid w:val="00832541"/>
    <w:rsid w:val="008327B7"/>
    <w:rsid w:val="0083283B"/>
    <w:rsid w:val="0083287D"/>
    <w:rsid w:val="008328D8"/>
    <w:rsid w:val="00832902"/>
    <w:rsid w:val="00832A04"/>
    <w:rsid w:val="00832A92"/>
    <w:rsid w:val="00832B36"/>
    <w:rsid w:val="00832BC7"/>
    <w:rsid w:val="008334C9"/>
    <w:rsid w:val="008338D5"/>
    <w:rsid w:val="00833A50"/>
    <w:rsid w:val="0083417F"/>
    <w:rsid w:val="008342A9"/>
    <w:rsid w:val="008342CD"/>
    <w:rsid w:val="0083433D"/>
    <w:rsid w:val="008344EB"/>
    <w:rsid w:val="008347A5"/>
    <w:rsid w:val="008349D5"/>
    <w:rsid w:val="00834B03"/>
    <w:rsid w:val="00834B43"/>
    <w:rsid w:val="00834B64"/>
    <w:rsid w:val="00834BD5"/>
    <w:rsid w:val="00834D08"/>
    <w:rsid w:val="008359C2"/>
    <w:rsid w:val="00835B74"/>
    <w:rsid w:val="00835D19"/>
    <w:rsid w:val="00835D5B"/>
    <w:rsid w:val="00835F2B"/>
    <w:rsid w:val="00836728"/>
    <w:rsid w:val="00836756"/>
    <w:rsid w:val="00836ABD"/>
    <w:rsid w:val="00836AEA"/>
    <w:rsid w:val="00836B3E"/>
    <w:rsid w:val="00836CEA"/>
    <w:rsid w:val="00836E6F"/>
    <w:rsid w:val="00836F9C"/>
    <w:rsid w:val="00836FCB"/>
    <w:rsid w:val="008372AA"/>
    <w:rsid w:val="00837571"/>
    <w:rsid w:val="0083757D"/>
    <w:rsid w:val="008376AC"/>
    <w:rsid w:val="008376EB"/>
    <w:rsid w:val="0083771F"/>
    <w:rsid w:val="00837772"/>
    <w:rsid w:val="0083779F"/>
    <w:rsid w:val="0083796E"/>
    <w:rsid w:val="00837B77"/>
    <w:rsid w:val="00837BEF"/>
    <w:rsid w:val="00837C54"/>
    <w:rsid w:val="00837D38"/>
    <w:rsid w:val="00837F79"/>
    <w:rsid w:val="008402A5"/>
    <w:rsid w:val="008402C5"/>
    <w:rsid w:val="00840AEA"/>
    <w:rsid w:val="00840B04"/>
    <w:rsid w:val="00840B90"/>
    <w:rsid w:val="00840E7D"/>
    <w:rsid w:val="00840EE5"/>
    <w:rsid w:val="00841090"/>
    <w:rsid w:val="0084114A"/>
    <w:rsid w:val="00841152"/>
    <w:rsid w:val="008411EC"/>
    <w:rsid w:val="00841228"/>
    <w:rsid w:val="00841261"/>
    <w:rsid w:val="008412EF"/>
    <w:rsid w:val="008413C0"/>
    <w:rsid w:val="008415BD"/>
    <w:rsid w:val="0084167E"/>
    <w:rsid w:val="00841711"/>
    <w:rsid w:val="0084177C"/>
    <w:rsid w:val="008417AC"/>
    <w:rsid w:val="008417D4"/>
    <w:rsid w:val="00841B07"/>
    <w:rsid w:val="00841C56"/>
    <w:rsid w:val="00841E6F"/>
    <w:rsid w:val="00842264"/>
    <w:rsid w:val="008422EE"/>
    <w:rsid w:val="0084264F"/>
    <w:rsid w:val="008429F8"/>
    <w:rsid w:val="00842B3E"/>
    <w:rsid w:val="00842DB3"/>
    <w:rsid w:val="00843128"/>
    <w:rsid w:val="008431F3"/>
    <w:rsid w:val="00843214"/>
    <w:rsid w:val="008432E7"/>
    <w:rsid w:val="008434D3"/>
    <w:rsid w:val="00843531"/>
    <w:rsid w:val="00843637"/>
    <w:rsid w:val="00843861"/>
    <w:rsid w:val="00843979"/>
    <w:rsid w:val="00843CAB"/>
    <w:rsid w:val="00843D91"/>
    <w:rsid w:val="00843E5B"/>
    <w:rsid w:val="00843F0B"/>
    <w:rsid w:val="00844091"/>
    <w:rsid w:val="00844270"/>
    <w:rsid w:val="008444E8"/>
    <w:rsid w:val="008446B0"/>
    <w:rsid w:val="008446C0"/>
    <w:rsid w:val="00844749"/>
    <w:rsid w:val="00844844"/>
    <w:rsid w:val="008448BB"/>
    <w:rsid w:val="008448FF"/>
    <w:rsid w:val="00844E80"/>
    <w:rsid w:val="00845089"/>
    <w:rsid w:val="008450FA"/>
    <w:rsid w:val="0084531E"/>
    <w:rsid w:val="0084547E"/>
    <w:rsid w:val="008458C1"/>
    <w:rsid w:val="0084599E"/>
    <w:rsid w:val="008459FF"/>
    <w:rsid w:val="00845A4B"/>
    <w:rsid w:val="00845B09"/>
    <w:rsid w:val="00845E46"/>
    <w:rsid w:val="00846244"/>
    <w:rsid w:val="00846311"/>
    <w:rsid w:val="00846508"/>
    <w:rsid w:val="0084662B"/>
    <w:rsid w:val="008467CD"/>
    <w:rsid w:val="00846A3C"/>
    <w:rsid w:val="00846A48"/>
    <w:rsid w:val="00846C57"/>
    <w:rsid w:val="00846E0D"/>
    <w:rsid w:val="00846E78"/>
    <w:rsid w:val="00846F51"/>
    <w:rsid w:val="00846FE7"/>
    <w:rsid w:val="00847203"/>
    <w:rsid w:val="00847305"/>
    <w:rsid w:val="008473BE"/>
    <w:rsid w:val="0084745E"/>
    <w:rsid w:val="00847465"/>
    <w:rsid w:val="0084762B"/>
    <w:rsid w:val="00847676"/>
    <w:rsid w:val="00847918"/>
    <w:rsid w:val="00847A2C"/>
    <w:rsid w:val="00847A3D"/>
    <w:rsid w:val="00847DCE"/>
    <w:rsid w:val="00847EC3"/>
    <w:rsid w:val="0085013B"/>
    <w:rsid w:val="00850C65"/>
    <w:rsid w:val="00850D69"/>
    <w:rsid w:val="00850DA1"/>
    <w:rsid w:val="00850E62"/>
    <w:rsid w:val="00850F75"/>
    <w:rsid w:val="008510B3"/>
    <w:rsid w:val="00851143"/>
    <w:rsid w:val="008511D1"/>
    <w:rsid w:val="00851303"/>
    <w:rsid w:val="00851312"/>
    <w:rsid w:val="00851366"/>
    <w:rsid w:val="00851398"/>
    <w:rsid w:val="008516B3"/>
    <w:rsid w:val="00851CF5"/>
    <w:rsid w:val="00852028"/>
    <w:rsid w:val="00852112"/>
    <w:rsid w:val="008521F2"/>
    <w:rsid w:val="00852227"/>
    <w:rsid w:val="00852544"/>
    <w:rsid w:val="0085271E"/>
    <w:rsid w:val="00852F75"/>
    <w:rsid w:val="008535BB"/>
    <w:rsid w:val="00853868"/>
    <w:rsid w:val="00853C2C"/>
    <w:rsid w:val="00853E20"/>
    <w:rsid w:val="00853E30"/>
    <w:rsid w:val="0085416E"/>
    <w:rsid w:val="00854753"/>
    <w:rsid w:val="008548BE"/>
    <w:rsid w:val="008553BB"/>
    <w:rsid w:val="00855B0C"/>
    <w:rsid w:val="00855B87"/>
    <w:rsid w:val="00855BA2"/>
    <w:rsid w:val="00855EC3"/>
    <w:rsid w:val="008561A6"/>
    <w:rsid w:val="00856380"/>
    <w:rsid w:val="00856620"/>
    <w:rsid w:val="00856911"/>
    <w:rsid w:val="00856C8F"/>
    <w:rsid w:val="00856E52"/>
    <w:rsid w:val="008572E8"/>
    <w:rsid w:val="00857350"/>
    <w:rsid w:val="00857760"/>
    <w:rsid w:val="008577B1"/>
    <w:rsid w:val="008578A4"/>
    <w:rsid w:val="008600BA"/>
    <w:rsid w:val="0086017D"/>
    <w:rsid w:val="00860280"/>
    <w:rsid w:val="008602EB"/>
    <w:rsid w:val="00860844"/>
    <w:rsid w:val="0086089E"/>
    <w:rsid w:val="008608FF"/>
    <w:rsid w:val="008609BA"/>
    <w:rsid w:val="00860A26"/>
    <w:rsid w:val="00860F8D"/>
    <w:rsid w:val="0086102F"/>
    <w:rsid w:val="0086133E"/>
    <w:rsid w:val="0086136A"/>
    <w:rsid w:val="00861430"/>
    <w:rsid w:val="0086162D"/>
    <w:rsid w:val="0086166C"/>
    <w:rsid w:val="008616F4"/>
    <w:rsid w:val="00861795"/>
    <w:rsid w:val="008617E9"/>
    <w:rsid w:val="00861C34"/>
    <w:rsid w:val="00861D5C"/>
    <w:rsid w:val="00861EDE"/>
    <w:rsid w:val="00861F27"/>
    <w:rsid w:val="008623F7"/>
    <w:rsid w:val="00862AD8"/>
    <w:rsid w:val="00862CF2"/>
    <w:rsid w:val="00862FC3"/>
    <w:rsid w:val="00863016"/>
    <w:rsid w:val="0086310B"/>
    <w:rsid w:val="00863182"/>
    <w:rsid w:val="0086326A"/>
    <w:rsid w:val="0086326F"/>
    <w:rsid w:val="0086347B"/>
    <w:rsid w:val="008637A7"/>
    <w:rsid w:val="00863913"/>
    <w:rsid w:val="00863A2E"/>
    <w:rsid w:val="00863D72"/>
    <w:rsid w:val="00863DF6"/>
    <w:rsid w:val="00863FE5"/>
    <w:rsid w:val="008641B6"/>
    <w:rsid w:val="008642C5"/>
    <w:rsid w:val="00864820"/>
    <w:rsid w:val="00864ADA"/>
    <w:rsid w:val="00864FA8"/>
    <w:rsid w:val="00865020"/>
    <w:rsid w:val="008651BE"/>
    <w:rsid w:val="008651C1"/>
    <w:rsid w:val="008654FD"/>
    <w:rsid w:val="00865A60"/>
    <w:rsid w:val="00865B76"/>
    <w:rsid w:val="0086604F"/>
    <w:rsid w:val="008665C3"/>
    <w:rsid w:val="0086666B"/>
    <w:rsid w:val="00866963"/>
    <w:rsid w:val="00866AAD"/>
    <w:rsid w:val="00866BCF"/>
    <w:rsid w:val="00866D6C"/>
    <w:rsid w:val="00866F79"/>
    <w:rsid w:val="00866FA0"/>
    <w:rsid w:val="008672C8"/>
    <w:rsid w:val="008672D7"/>
    <w:rsid w:val="00867649"/>
    <w:rsid w:val="008677FD"/>
    <w:rsid w:val="00867949"/>
    <w:rsid w:val="008679F6"/>
    <w:rsid w:val="00867BF3"/>
    <w:rsid w:val="0087009F"/>
    <w:rsid w:val="00870376"/>
    <w:rsid w:val="0087040D"/>
    <w:rsid w:val="008706C3"/>
    <w:rsid w:val="008706D4"/>
    <w:rsid w:val="008708B7"/>
    <w:rsid w:val="00870B31"/>
    <w:rsid w:val="00870E34"/>
    <w:rsid w:val="00870F3C"/>
    <w:rsid w:val="00870F8A"/>
    <w:rsid w:val="00871090"/>
    <w:rsid w:val="0087120F"/>
    <w:rsid w:val="00871254"/>
    <w:rsid w:val="0087132E"/>
    <w:rsid w:val="0087156D"/>
    <w:rsid w:val="008719A4"/>
    <w:rsid w:val="00871A86"/>
    <w:rsid w:val="00871BE4"/>
    <w:rsid w:val="00871CCC"/>
    <w:rsid w:val="00871D23"/>
    <w:rsid w:val="00871F24"/>
    <w:rsid w:val="0087205B"/>
    <w:rsid w:val="008722C6"/>
    <w:rsid w:val="008722C9"/>
    <w:rsid w:val="008722FE"/>
    <w:rsid w:val="0087246B"/>
    <w:rsid w:val="0087260C"/>
    <w:rsid w:val="0087269A"/>
    <w:rsid w:val="00872758"/>
    <w:rsid w:val="00872914"/>
    <w:rsid w:val="00872E5A"/>
    <w:rsid w:val="00872FD2"/>
    <w:rsid w:val="00873031"/>
    <w:rsid w:val="00873299"/>
    <w:rsid w:val="00873857"/>
    <w:rsid w:val="008739F7"/>
    <w:rsid w:val="00873C4B"/>
    <w:rsid w:val="00873D3C"/>
    <w:rsid w:val="00873FC7"/>
    <w:rsid w:val="00873FE8"/>
    <w:rsid w:val="008742D5"/>
    <w:rsid w:val="00874305"/>
    <w:rsid w:val="00874312"/>
    <w:rsid w:val="0087437C"/>
    <w:rsid w:val="008745E4"/>
    <w:rsid w:val="00874638"/>
    <w:rsid w:val="00874658"/>
    <w:rsid w:val="0087470D"/>
    <w:rsid w:val="00875044"/>
    <w:rsid w:val="00875094"/>
    <w:rsid w:val="0087542B"/>
    <w:rsid w:val="008758AE"/>
    <w:rsid w:val="00875957"/>
    <w:rsid w:val="008759D7"/>
    <w:rsid w:val="00875C6F"/>
    <w:rsid w:val="00875CD7"/>
    <w:rsid w:val="00875EFC"/>
    <w:rsid w:val="00876064"/>
    <w:rsid w:val="008760D3"/>
    <w:rsid w:val="00876161"/>
    <w:rsid w:val="008761FA"/>
    <w:rsid w:val="00876596"/>
    <w:rsid w:val="008765BE"/>
    <w:rsid w:val="008765EE"/>
    <w:rsid w:val="0087680F"/>
    <w:rsid w:val="00876A41"/>
    <w:rsid w:val="00876B4D"/>
    <w:rsid w:val="00876C6C"/>
    <w:rsid w:val="00877234"/>
    <w:rsid w:val="008773F8"/>
    <w:rsid w:val="0087753E"/>
    <w:rsid w:val="00877631"/>
    <w:rsid w:val="00877BEA"/>
    <w:rsid w:val="00877CDF"/>
    <w:rsid w:val="00877EEE"/>
    <w:rsid w:val="00877F18"/>
    <w:rsid w:val="00880079"/>
    <w:rsid w:val="00880195"/>
    <w:rsid w:val="008805D5"/>
    <w:rsid w:val="00880783"/>
    <w:rsid w:val="00880A51"/>
    <w:rsid w:val="00880A72"/>
    <w:rsid w:val="00880B4F"/>
    <w:rsid w:val="00880BA4"/>
    <w:rsid w:val="00880DC2"/>
    <w:rsid w:val="00880E00"/>
    <w:rsid w:val="00880F73"/>
    <w:rsid w:val="00881055"/>
    <w:rsid w:val="008810E4"/>
    <w:rsid w:val="00881803"/>
    <w:rsid w:val="00881856"/>
    <w:rsid w:val="0088225C"/>
    <w:rsid w:val="00882307"/>
    <w:rsid w:val="008824E0"/>
    <w:rsid w:val="00882D2A"/>
    <w:rsid w:val="00882E17"/>
    <w:rsid w:val="00882EE8"/>
    <w:rsid w:val="00882F1D"/>
    <w:rsid w:val="00882F7E"/>
    <w:rsid w:val="008834DA"/>
    <w:rsid w:val="00883705"/>
    <w:rsid w:val="00883864"/>
    <w:rsid w:val="00883EBE"/>
    <w:rsid w:val="008840F8"/>
    <w:rsid w:val="00884250"/>
    <w:rsid w:val="008842FE"/>
    <w:rsid w:val="008847E9"/>
    <w:rsid w:val="00884927"/>
    <w:rsid w:val="00884A78"/>
    <w:rsid w:val="00884F2A"/>
    <w:rsid w:val="00885028"/>
    <w:rsid w:val="008851B7"/>
    <w:rsid w:val="008851B9"/>
    <w:rsid w:val="008852A2"/>
    <w:rsid w:val="00885324"/>
    <w:rsid w:val="0088532A"/>
    <w:rsid w:val="00885848"/>
    <w:rsid w:val="00885B3F"/>
    <w:rsid w:val="00885B9A"/>
    <w:rsid w:val="008860E3"/>
    <w:rsid w:val="00886122"/>
    <w:rsid w:val="008863A3"/>
    <w:rsid w:val="008866C3"/>
    <w:rsid w:val="008866F8"/>
    <w:rsid w:val="00886715"/>
    <w:rsid w:val="00886774"/>
    <w:rsid w:val="008867E3"/>
    <w:rsid w:val="0088681B"/>
    <w:rsid w:val="00886A84"/>
    <w:rsid w:val="00886B5E"/>
    <w:rsid w:val="00886CA0"/>
    <w:rsid w:val="00886E3A"/>
    <w:rsid w:val="00886FB3"/>
    <w:rsid w:val="008871D1"/>
    <w:rsid w:val="0088728D"/>
    <w:rsid w:val="00887549"/>
    <w:rsid w:val="0088798C"/>
    <w:rsid w:val="00887ACC"/>
    <w:rsid w:val="00887BC5"/>
    <w:rsid w:val="00887D42"/>
    <w:rsid w:val="00887D51"/>
    <w:rsid w:val="00887FE3"/>
    <w:rsid w:val="008900CE"/>
    <w:rsid w:val="008900D8"/>
    <w:rsid w:val="0089014C"/>
    <w:rsid w:val="0089037E"/>
    <w:rsid w:val="00890392"/>
    <w:rsid w:val="008907DE"/>
    <w:rsid w:val="00890859"/>
    <w:rsid w:val="00890909"/>
    <w:rsid w:val="00890A0E"/>
    <w:rsid w:val="00890BB6"/>
    <w:rsid w:val="00890D58"/>
    <w:rsid w:val="00890DC1"/>
    <w:rsid w:val="00890FA8"/>
    <w:rsid w:val="00891023"/>
    <w:rsid w:val="008917EE"/>
    <w:rsid w:val="008918D8"/>
    <w:rsid w:val="00891CC9"/>
    <w:rsid w:val="00891E71"/>
    <w:rsid w:val="00891F43"/>
    <w:rsid w:val="00892482"/>
    <w:rsid w:val="00892662"/>
    <w:rsid w:val="008928C4"/>
    <w:rsid w:val="008929FC"/>
    <w:rsid w:val="00892AF7"/>
    <w:rsid w:val="00892C65"/>
    <w:rsid w:val="00892E39"/>
    <w:rsid w:val="00892E79"/>
    <w:rsid w:val="0089314A"/>
    <w:rsid w:val="008931C1"/>
    <w:rsid w:val="0089338A"/>
    <w:rsid w:val="00893440"/>
    <w:rsid w:val="008935CA"/>
    <w:rsid w:val="0089365A"/>
    <w:rsid w:val="008937B5"/>
    <w:rsid w:val="00893910"/>
    <w:rsid w:val="00893A21"/>
    <w:rsid w:val="00893ACB"/>
    <w:rsid w:val="00893D2F"/>
    <w:rsid w:val="00893F45"/>
    <w:rsid w:val="00893F9B"/>
    <w:rsid w:val="00894012"/>
    <w:rsid w:val="00894081"/>
    <w:rsid w:val="008941E3"/>
    <w:rsid w:val="00894472"/>
    <w:rsid w:val="008944A8"/>
    <w:rsid w:val="00894681"/>
    <w:rsid w:val="0089471D"/>
    <w:rsid w:val="00894767"/>
    <w:rsid w:val="00894809"/>
    <w:rsid w:val="00894823"/>
    <w:rsid w:val="00894A88"/>
    <w:rsid w:val="00894A8C"/>
    <w:rsid w:val="00894B17"/>
    <w:rsid w:val="00894CBB"/>
    <w:rsid w:val="00894EA0"/>
    <w:rsid w:val="00895269"/>
    <w:rsid w:val="00895323"/>
    <w:rsid w:val="00895386"/>
    <w:rsid w:val="008954E8"/>
    <w:rsid w:val="008956C9"/>
    <w:rsid w:val="00895BFF"/>
    <w:rsid w:val="00895C3E"/>
    <w:rsid w:val="00895D9F"/>
    <w:rsid w:val="0089612B"/>
    <w:rsid w:val="008961EF"/>
    <w:rsid w:val="00896327"/>
    <w:rsid w:val="008964A5"/>
    <w:rsid w:val="008966AC"/>
    <w:rsid w:val="0089683F"/>
    <w:rsid w:val="00896AC7"/>
    <w:rsid w:val="00896B39"/>
    <w:rsid w:val="00896B69"/>
    <w:rsid w:val="00896C4A"/>
    <w:rsid w:val="0089703E"/>
    <w:rsid w:val="0089722F"/>
    <w:rsid w:val="00897377"/>
    <w:rsid w:val="00897566"/>
    <w:rsid w:val="008975F2"/>
    <w:rsid w:val="00897678"/>
    <w:rsid w:val="0089768B"/>
    <w:rsid w:val="008977C7"/>
    <w:rsid w:val="00897973"/>
    <w:rsid w:val="00897C06"/>
    <w:rsid w:val="00897D8F"/>
    <w:rsid w:val="00897F99"/>
    <w:rsid w:val="008A008F"/>
    <w:rsid w:val="008A02E9"/>
    <w:rsid w:val="008A03A6"/>
    <w:rsid w:val="008A0644"/>
    <w:rsid w:val="008A077A"/>
    <w:rsid w:val="008A082A"/>
    <w:rsid w:val="008A0835"/>
    <w:rsid w:val="008A0B29"/>
    <w:rsid w:val="008A0C87"/>
    <w:rsid w:val="008A10AF"/>
    <w:rsid w:val="008A11F5"/>
    <w:rsid w:val="008A13B4"/>
    <w:rsid w:val="008A1A7F"/>
    <w:rsid w:val="008A1C5F"/>
    <w:rsid w:val="008A1D02"/>
    <w:rsid w:val="008A1DD6"/>
    <w:rsid w:val="008A1E0E"/>
    <w:rsid w:val="008A20A8"/>
    <w:rsid w:val="008A2154"/>
    <w:rsid w:val="008A21FF"/>
    <w:rsid w:val="008A2256"/>
    <w:rsid w:val="008A245D"/>
    <w:rsid w:val="008A277A"/>
    <w:rsid w:val="008A2978"/>
    <w:rsid w:val="008A2CE2"/>
    <w:rsid w:val="008A2FE7"/>
    <w:rsid w:val="008A3001"/>
    <w:rsid w:val="008A30AC"/>
    <w:rsid w:val="008A3768"/>
    <w:rsid w:val="008A3794"/>
    <w:rsid w:val="008A389D"/>
    <w:rsid w:val="008A39F1"/>
    <w:rsid w:val="008A3EFD"/>
    <w:rsid w:val="008A420D"/>
    <w:rsid w:val="008A44B8"/>
    <w:rsid w:val="008A45CE"/>
    <w:rsid w:val="008A480C"/>
    <w:rsid w:val="008A4C07"/>
    <w:rsid w:val="008A4FE5"/>
    <w:rsid w:val="008A50F0"/>
    <w:rsid w:val="008A51A8"/>
    <w:rsid w:val="008A52C1"/>
    <w:rsid w:val="008A5407"/>
    <w:rsid w:val="008A54C7"/>
    <w:rsid w:val="008A5B2E"/>
    <w:rsid w:val="008A5CFB"/>
    <w:rsid w:val="008A5F27"/>
    <w:rsid w:val="008A648A"/>
    <w:rsid w:val="008A656E"/>
    <w:rsid w:val="008A66B2"/>
    <w:rsid w:val="008A66C5"/>
    <w:rsid w:val="008A6B84"/>
    <w:rsid w:val="008A6C4E"/>
    <w:rsid w:val="008A7191"/>
    <w:rsid w:val="008A75C6"/>
    <w:rsid w:val="008A77D8"/>
    <w:rsid w:val="008A7AD9"/>
    <w:rsid w:val="008A7C61"/>
    <w:rsid w:val="008A7DF2"/>
    <w:rsid w:val="008A7F2D"/>
    <w:rsid w:val="008A7F4D"/>
    <w:rsid w:val="008B0091"/>
    <w:rsid w:val="008B01C1"/>
    <w:rsid w:val="008B028F"/>
    <w:rsid w:val="008B032D"/>
    <w:rsid w:val="008B0331"/>
    <w:rsid w:val="008B0483"/>
    <w:rsid w:val="008B0799"/>
    <w:rsid w:val="008B0D66"/>
    <w:rsid w:val="008B10CE"/>
    <w:rsid w:val="008B120C"/>
    <w:rsid w:val="008B1252"/>
    <w:rsid w:val="008B1410"/>
    <w:rsid w:val="008B19C0"/>
    <w:rsid w:val="008B1AF6"/>
    <w:rsid w:val="008B1B6D"/>
    <w:rsid w:val="008B1BD3"/>
    <w:rsid w:val="008B2609"/>
    <w:rsid w:val="008B2638"/>
    <w:rsid w:val="008B2755"/>
    <w:rsid w:val="008B2798"/>
    <w:rsid w:val="008B2849"/>
    <w:rsid w:val="008B2BAD"/>
    <w:rsid w:val="008B2BB0"/>
    <w:rsid w:val="008B2BEB"/>
    <w:rsid w:val="008B2BF7"/>
    <w:rsid w:val="008B3249"/>
    <w:rsid w:val="008B3313"/>
    <w:rsid w:val="008B386A"/>
    <w:rsid w:val="008B388E"/>
    <w:rsid w:val="008B3A63"/>
    <w:rsid w:val="008B3B12"/>
    <w:rsid w:val="008B3C17"/>
    <w:rsid w:val="008B3D45"/>
    <w:rsid w:val="008B41AF"/>
    <w:rsid w:val="008B425A"/>
    <w:rsid w:val="008B4530"/>
    <w:rsid w:val="008B454D"/>
    <w:rsid w:val="008B4C50"/>
    <w:rsid w:val="008B4D65"/>
    <w:rsid w:val="008B4E32"/>
    <w:rsid w:val="008B4E5E"/>
    <w:rsid w:val="008B4F2D"/>
    <w:rsid w:val="008B5150"/>
    <w:rsid w:val="008B517E"/>
    <w:rsid w:val="008B51A0"/>
    <w:rsid w:val="008B52C6"/>
    <w:rsid w:val="008B546F"/>
    <w:rsid w:val="008B592A"/>
    <w:rsid w:val="008B593B"/>
    <w:rsid w:val="008B5A00"/>
    <w:rsid w:val="008B5A35"/>
    <w:rsid w:val="008B5D0C"/>
    <w:rsid w:val="008B5FBF"/>
    <w:rsid w:val="008B623E"/>
    <w:rsid w:val="008B634D"/>
    <w:rsid w:val="008B657D"/>
    <w:rsid w:val="008B658F"/>
    <w:rsid w:val="008B675C"/>
    <w:rsid w:val="008B6A1C"/>
    <w:rsid w:val="008B6C09"/>
    <w:rsid w:val="008B7354"/>
    <w:rsid w:val="008B74D0"/>
    <w:rsid w:val="008B7549"/>
    <w:rsid w:val="008B7A77"/>
    <w:rsid w:val="008B7B5C"/>
    <w:rsid w:val="008B7BB5"/>
    <w:rsid w:val="008B7CBB"/>
    <w:rsid w:val="008B7D16"/>
    <w:rsid w:val="008B7E74"/>
    <w:rsid w:val="008B7E79"/>
    <w:rsid w:val="008C0448"/>
    <w:rsid w:val="008C05E9"/>
    <w:rsid w:val="008C082B"/>
    <w:rsid w:val="008C088C"/>
    <w:rsid w:val="008C0C99"/>
    <w:rsid w:val="008C1124"/>
    <w:rsid w:val="008C13A3"/>
    <w:rsid w:val="008C148C"/>
    <w:rsid w:val="008C16CC"/>
    <w:rsid w:val="008C1710"/>
    <w:rsid w:val="008C1815"/>
    <w:rsid w:val="008C187B"/>
    <w:rsid w:val="008C1A78"/>
    <w:rsid w:val="008C1D66"/>
    <w:rsid w:val="008C1EB7"/>
    <w:rsid w:val="008C1F7A"/>
    <w:rsid w:val="008C2017"/>
    <w:rsid w:val="008C2308"/>
    <w:rsid w:val="008C25D4"/>
    <w:rsid w:val="008C2974"/>
    <w:rsid w:val="008C29B5"/>
    <w:rsid w:val="008C2A5F"/>
    <w:rsid w:val="008C3295"/>
    <w:rsid w:val="008C3343"/>
    <w:rsid w:val="008C3542"/>
    <w:rsid w:val="008C3949"/>
    <w:rsid w:val="008C39CC"/>
    <w:rsid w:val="008C3AAE"/>
    <w:rsid w:val="008C3BC5"/>
    <w:rsid w:val="008C3EE7"/>
    <w:rsid w:val="008C4122"/>
    <w:rsid w:val="008C443E"/>
    <w:rsid w:val="008C4472"/>
    <w:rsid w:val="008C4524"/>
    <w:rsid w:val="008C45D9"/>
    <w:rsid w:val="008C4682"/>
    <w:rsid w:val="008C4958"/>
    <w:rsid w:val="008C4A23"/>
    <w:rsid w:val="008C4A8F"/>
    <w:rsid w:val="008C4BAA"/>
    <w:rsid w:val="008C4D76"/>
    <w:rsid w:val="008C4F8C"/>
    <w:rsid w:val="008C5062"/>
    <w:rsid w:val="008C50F2"/>
    <w:rsid w:val="008C532A"/>
    <w:rsid w:val="008C553C"/>
    <w:rsid w:val="008C5A38"/>
    <w:rsid w:val="008C5AEB"/>
    <w:rsid w:val="008C5CFA"/>
    <w:rsid w:val="008C5D94"/>
    <w:rsid w:val="008C5EBB"/>
    <w:rsid w:val="008C5F6A"/>
    <w:rsid w:val="008C63DC"/>
    <w:rsid w:val="008C6474"/>
    <w:rsid w:val="008C6587"/>
    <w:rsid w:val="008C66F6"/>
    <w:rsid w:val="008C6874"/>
    <w:rsid w:val="008C6A1B"/>
    <w:rsid w:val="008C6AA7"/>
    <w:rsid w:val="008C6AE8"/>
    <w:rsid w:val="008C6C12"/>
    <w:rsid w:val="008C6CC4"/>
    <w:rsid w:val="008C6E89"/>
    <w:rsid w:val="008C74CC"/>
    <w:rsid w:val="008C7573"/>
    <w:rsid w:val="008C7654"/>
    <w:rsid w:val="008C7656"/>
    <w:rsid w:val="008C7A86"/>
    <w:rsid w:val="008C7FAF"/>
    <w:rsid w:val="008D0087"/>
    <w:rsid w:val="008D00A5"/>
    <w:rsid w:val="008D01FE"/>
    <w:rsid w:val="008D03CA"/>
    <w:rsid w:val="008D0482"/>
    <w:rsid w:val="008D0666"/>
    <w:rsid w:val="008D0817"/>
    <w:rsid w:val="008D0892"/>
    <w:rsid w:val="008D1295"/>
    <w:rsid w:val="008D1728"/>
    <w:rsid w:val="008D1781"/>
    <w:rsid w:val="008D17AF"/>
    <w:rsid w:val="008D18A1"/>
    <w:rsid w:val="008D18E3"/>
    <w:rsid w:val="008D1C19"/>
    <w:rsid w:val="008D1FA0"/>
    <w:rsid w:val="008D2054"/>
    <w:rsid w:val="008D223F"/>
    <w:rsid w:val="008D2427"/>
    <w:rsid w:val="008D24F5"/>
    <w:rsid w:val="008D26FF"/>
    <w:rsid w:val="008D2B17"/>
    <w:rsid w:val="008D2B6D"/>
    <w:rsid w:val="008D3093"/>
    <w:rsid w:val="008D33CD"/>
    <w:rsid w:val="008D3434"/>
    <w:rsid w:val="008D34F1"/>
    <w:rsid w:val="008D37FA"/>
    <w:rsid w:val="008D38BF"/>
    <w:rsid w:val="008D39D8"/>
    <w:rsid w:val="008D3AE4"/>
    <w:rsid w:val="008D3D38"/>
    <w:rsid w:val="008D3DAA"/>
    <w:rsid w:val="008D3DC3"/>
    <w:rsid w:val="008D3EE4"/>
    <w:rsid w:val="008D3FDA"/>
    <w:rsid w:val="008D404A"/>
    <w:rsid w:val="008D4113"/>
    <w:rsid w:val="008D4287"/>
    <w:rsid w:val="008D4324"/>
    <w:rsid w:val="008D43DD"/>
    <w:rsid w:val="008D4471"/>
    <w:rsid w:val="008D4518"/>
    <w:rsid w:val="008D4551"/>
    <w:rsid w:val="008D4635"/>
    <w:rsid w:val="008D46DE"/>
    <w:rsid w:val="008D4820"/>
    <w:rsid w:val="008D4859"/>
    <w:rsid w:val="008D493E"/>
    <w:rsid w:val="008D4F1C"/>
    <w:rsid w:val="008D4F32"/>
    <w:rsid w:val="008D4F68"/>
    <w:rsid w:val="008D514F"/>
    <w:rsid w:val="008D53DE"/>
    <w:rsid w:val="008D56C7"/>
    <w:rsid w:val="008D57A0"/>
    <w:rsid w:val="008D58F0"/>
    <w:rsid w:val="008D59D7"/>
    <w:rsid w:val="008D5ADD"/>
    <w:rsid w:val="008D5B43"/>
    <w:rsid w:val="008D5B72"/>
    <w:rsid w:val="008D5C67"/>
    <w:rsid w:val="008D5D26"/>
    <w:rsid w:val="008D5E3D"/>
    <w:rsid w:val="008D5E57"/>
    <w:rsid w:val="008D5E89"/>
    <w:rsid w:val="008D66BA"/>
    <w:rsid w:val="008D6928"/>
    <w:rsid w:val="008D69E4"/>
    <w:rsid w:val="008D6A68"/>
    <w:rsid w:val="008D6B9F"/>
    <w:rsid w:val="008D6D1A"/>
    <w:rsid w:val="008D707A"/>
    <w:rsid w:val="008D71A1"/>
    <w:rsid w:val="008D7598"/>
    <w:rsid w:val="008D75A4"/>
    <w:rsid w:val="008D75EF"/>
    <w:rsid w:val="008D7615"/>
    <w:rsid w:val="008D79B8"/>
    <w:rsid w:val="008D79B9"/>
    <w:rsid w:val="008D7B80"/>
    <w:rsid w:val="008E055B"/>
    <w:rsid w:val="008E0587"/>
    <w:rsid w:val="008E0597"/>
    <w:rsid w:val="008E065E"/>
    <w:rsid w:val="008E0927"/>
    <w:rsid w:val="008E0A26"/>
    <w:rsid w:val="008E0BCE"/>
    <w:rsid w:val="008E1050"/>
    <w:rsid w:val="008E11B4"/>
    <w:rsid w:val="008E129F"/>
    <w:rsid w:val="008E156D"/>
    <w:rsid w:val="008E1825"/>
    <w:rsid w:val="008E1909"/>
    <w:rsid w:val="008E1F3D"/>
    <w:rsid w:val="008E22FF"/>
    <w:rsid w:val="008E2365"/>
    <w:rsid w:val="008E240A"/>
    <w:rsid w:val="008E2456"/>
    <w:rsid w:val="008E27BD"/>
    <w:rsid w:val="008E27E6"/>
    <w:rsid w:val="008E2A1D"/>
    <w:rsid w:val="008E2D6E"/>
    <w:rsid w:val="008E2FBC"/>
    <w:rsid w:val="008E30EB"/>
    <w:rsid w:val="008E31B0"/>
    <w:rsid w:val="008E34BE"/>
    <w:rsid w:val="008E393B"/>
    <w:rsid w:val="008E3D67"/>
    <w:rsid w:val="008E3F73"/>
    <w:rsid w:val="008E4226"/>
    <w:rsid w:val="008E459A"/>
    <w:rsid w:val="008E45B3"/>
    <w:rsid w:val="008E465F"/>
    <w:rsid w:val="008E4CC1"/>
    <w:rsid w:val="008E4DE1"/>
    <w:rsid w:val="008E4E1C"/>
    <w:rsid w:val="008E505E"/>
    <w:rsid w:val="008E50C4"/>
    <w:rsid w:val="008E529A"/>
    <w:rsid w:val="008E556F"/>
    <w:rsid w:val="008E585D"/>
    <w:rsid w:val="008E5C0D"/>
    <w:rsid w:val="008E5DBD"/>
    <w:rsid w:val="008E5FA7"/>
    <w:rsid w:val="008E6060"/>
    <w:rsid w:val="008E68FF"/>
    <w:rsid w:val="008E6C7D"/>
    <w:rsid w:val="008E6D61"/>
    <w:rsid w:val="008E6F79"/>
    <w:rsid w:val="008E717F"/>
    <w:rsid w:val="008E71B6"/>
    <w:rsid w:val="008E7B0D"/>
    <w:rsid w:val="008E7BAB"/>
    <w:rsid w:val="008E7C09"/>
    <w:rsid w:val="008E7D11"/>
    <w:rsid w:val="008E7F9F"/>
    <w:rsid w:val="008F01C5"/>
    <w:rsid w:val="008F0543"/>
    <w:rsid w:val="008F0575"/>
    <w:rsid w:val="008F09A0"/>
    <w:rsid w:val="008F0FA7"/>
    <w:rsid w:val="008F10EF"/>
    <w:rsid w:val="008F10FF"/>
    <w:rsid w:val="008F110F"/>
    <w:rsid w:val="008F12D0"/>
    <w:rsid w:val="008F1BDE"/>
    <w:rsid w:val="008F1C4E"/>
    <w:rsid w:val="008F1CBA"/>
    <w:rsid w:val="008F1EAB"/>
    <w:rsid w:val="008F201D"/>
    <w:rsid w:val="008F21EA"/>
    <w:rsid w:val="008F234E"/>
    <w:rsid w:val="008F23CD"/>
    <w:rsid w:val="008F296B"/>
    <w:rsid w:val="008F2990"/>
    <w:rsid w:val="008F29FC"/>
    <w:rsid w:val="008F2F70"/>
    <w:rsid w:val="008F2F98"/>
    <w:rsid w:val="008F3065"/>
    <w:rsid w:val="008F309F"/>
    <w:rsid w:val="008F30F1"/>
    <w:rsid w:val="008F3240"/>
    <w:rsid w:val="008F33DC"/>
    <w:rsid w:val="008F3589"/>
    <w:rsid w:val="008F3897"/>
    <w:rsid w:val="008F38A8"/>
    <w:rsid w:val="008F3ABB"/>
    <w:rsid w:val="008F3D62"/>
    <w:rsid w:val="008F3D64"/>
    <w:rsid w:val="008F3D6E"/>
    <w:rsid w:val="008F3E5A"/>
    <w:rsid w:val="008F3E82"/>
    <w:rsid w:val="008F3ED7"/>
    <w:rsid w:val="008F3F6B"/>
    <w:rsid w:val="008F444F"/>
    <w:rsid w:val="008F4583"/>
    <w:rsid w:val="008F45BC"/>
    <w:rsid w:val="008F477F"/>
    <w:rsid w:val="008F486E"/>
    <w:rsid w:val="008F496E"/>
    <w:rsid w:val="008F4AFB"/>
    <w:rsid w:val="008F4FA8"/>
    <w:rsid w:val="008F5006"/>
    <w:rsid w:val="008F535E"/>
    <w:rsid w:val="008F53B4"/>
    <w:rsid w:val="008F5C0C"/>
    <w:rsid w:val="008F5E0A"/>
    <w:rsid w:val="008F65A4"/>
    <w:rsid w:val="008F6874"/>
    <w:rsid w:val="008F6880"/>
    <w:rsid w:val="008F6AC3"/>
    <w:rsid w:val="008F6CA4"/>
    <w:rsid w:val="008F7077"/>
    <w:rsid w:val="008F7106"/>
    <w:rsid w:val="008F71D7"/>
    <w:rsid w:val="008F72C6"/>
    <w:rsid w:val="008F7364"/>
    <w:rsid w:val="008F7893"/>
    <w:rsid w:val="008F7DBC"/>
    <w:rsid w:val="008F7E0F"/>
    <w:rsid w:val="009002C6"/>
    <w:rsid w:val="009004BC"/>
    <w:rsid w:val="00900552"/>
    <w:rsid w:val="0090055F"/>
    <w:rsid w:val="009006CF"/>
    <w:rsid w:val="0090099B"/>
    <w:rsid w:val="009009D0"/>
    <w:rsid w:val="00900A66"/>
    <w:rsid w:val="00900BAC"/>
    <w:rsid w:val="00900BEC"/>
    <w:rsid w:val="00900E09"/>
    <w:rsid w:val="00900EF3"/>
    <w:rsid w:val="00900F1B"/>
    <w:rsid w:val="00900F7D"/>
    <w:rsid w:val="0090138C"/>
    <w:rsid w:val="0090163C"/>
    <w:rsid w:val="009017D0"/>
    <w:rsid w:val="0090194A"/>
    <w:rsid w:val="00901976"/>
    <w:rsid w:val="00901B4C"/>
    <w:rsid w:val="00901CA4"/>
    <w:rsid w:val="00901FBD"/>
    <w:rsid w:val="00902281"/>
    <w:rsid w:val="00902350"/>
    <w:rsid w:val="00902727"/>
    <w:rsid w:val="00902825"/>
    <w:rsid w:val="00902F99"/>
    <w:rsid w:val="0090336B"/>
    <w:rsid w:val="009034F9"/>
    <w:rsid w:val="0090376B"/>
    <w:rsid w:val="00903845"/>
    <w:rsid w:val="00903CCE"/>
    <w:rsid w:val="009044D0"/>
    <w:rsid w:val="00904575"/>
    <w:rsid w:val="009047D2"/>
    <w:rsid w:val="00904D3F"/>
    <w:rsid w:val="00904F6A"/>
    <w:rsid w:val="0090520A"/>
    <w:rsid w:val="009053AA"/>
    <w:rsid w:val="009056E9"/>
    <w:rsid w:val="0090571B"/>
    <w:rsid w:val="00905879"/>
    <w:rsid w:val="0090599A"/>
    <w:rsid w:val="00905E59"/>
    <w:rsid w:val="00906041"/>
    <w:rsid w:val="009060C0"/>
    <w:rsid w:val="00906223"/>
    <w:rsid w:val="00906467"/>
    <w:rsid w:val="00906563"/>
    <w:rsid w:val="00906659"/>
    <w:rsid w:val="009066E6"/>
    <w:rsid w:val="0090676C"/>
    <w:rsid w:val="00906939"/>
    <w:rsid w:val="00906964"/>
    <w:rsid w:val="00906C9B"/>
    <w:rsid w:val="0090743C"/>
    <w:rsid w:val="0090743E"/>
    <w:rsid w:val="0090788B"/>
    <w:rsid w:val="00907891"/>
    <w:rsid w:val="00907C56"/>
    <w:rsid w:val="00907C7D"/>
    <w:rsid w:val="00907FAD"/>
    <w:rsid w:val="0091028D"/>
    <w:rsid w:val="009102C0"/>
    <w:rsid w:val="009102F2"/>
    <w:rsid w:val="00910472"/>
    <w:rsid w:val="0091061B"/>
    <w:rsid w:val="00910935"/>
    <w:rsid w:val="0091096D"/>
    <w:rsid w:val="00910981"/>
    <w:rsid w:val="00910B7D"/>
    <w:rsid w:val="00910C17"/>
    <w:rsid w:val="00910DDE"/>
    <w:rsid w:val="00911621"/>
    <w:rsid w:val="0091163F"/>
    <w:rsid w:val="00911894"/>
    <w:rsid w:val="00911B1A"/>
    <w:rsid w:val="00911CD2"/>
    <w:rsid w:val="00911D93"/>
    <w:rsid w:val="00911DFB"/>
    <w:rsid w:val="00911F4B"/>
    <w:rsid w:val="009121DB"/>
    <w:rsid w:val="009124BA"/>
    <w:rsid w:val="0091259C"/>
    <w:rsid w:val="009126ED"/>
    <w:rsid w:val="00912701"/>
    <w:rsid w:val="009127F4"/>
    <w:rsid w:val="0091302D"/>
    <w:rsid w:val="009131A4"/>
    <w:rsid w:val="00913267"/>
    <w:rsid w:val="009133EB"/>
    <w:rsid w:val="009136DD"/>
    <w:rsid w:val="0091387C"/>
    <w:rsid w:val="009139D9"/>
    <w:rsid w:val="00913DEB"/>
    <w:rsid w:val="00913F54"/>
    <w:rsid w:val="0091400A"/>
    <w:rsid w:val="009141C5"/>
    <w:rsid w:val="00914436"/>
    <w:rsid w:val="00914672"/>
    <w:rsid w:val="00914840"/>
    <w:rsid w:val="00914897"/>
    <w:rsid w:val="00914AD8"/>
    <w:rsid w:val="00914BDA"/>
    <w:rsid w:val="00914ECB"/>
    <w:rsid w:val="0091547A"/>
    <w:rsid w:val="00915481"/>
    <w:rsid w:val="00915917"/>
    <w:rsid w:val="009159D9"/>
    <w:rsid w:val="00915B70"/>
    <w:rsid w:val="00916079"/>
    <w:rsid w:val="0091617E"/>
    <w:rsid w:val="00916184"/>
    <w:rsid w:val="009161D8"/>
    <w:rsid w:val="009162C9"/>
    <w:rsid w:val="009163C6"/>
    <w:rsid w:val="00916930"/>
    <w:rsid w:val="00916B3D"/>
    <w:rsid w:val="00916CCC"/>
    <w:rsid w:val="00916CFD"/>
    <w:rsid w:val="00917416"/>
    <w:rsid w:val="009174E9"/>
    <w:rsid w:val="00917675"/>
    <w:rsid w:val="0091767F"/>
    <w:rsid w:val="00917840"/>
    <w:rsid w:val="0091791D"/>
    <w:rsid w:val="00917971"/>
    <w:rsid w:val="00917979"/>
    <w:rsid w:val="0091797D"/>
    <w:rsid w:val="00917CE9"/>
    <w:rsid w:val="00917D83"/>
    <w:rsid w:val="00917F90"/>
    <w:rsid w:val="009200C9"/>
    <w:rsid w:val="009200D0"/>
    <w:rsid w:val="009202DD"/>
    <w:rsid w:val="009202F3"/>
    <w:rsid w:val="0092034A"/>
    <w:rsid w:val="009203B5"/>
    <w:rsid w:val="009206A4"/>
    <w:rsid w:val="009206FE"/>
    <w:rsid w:val="0092079D"/>
    <w:rsid w:val="00920938"/>
    <w:rsid w:val="00920BA2"/>
    <w:rsid w:val="00920BF2"/>
    <w:rsid w:val="00920C21"/>
    <w:rsid w:val="00920F78"/>
    <w:rsid w:val="009212CC"/>
    <w:rsid w:val="0092146D"/>
    <w:rsid w:val="00921671"/>
    <w:rsid w:val="00921887"/>
    <w:rsid w:val="00921B74"/>
    <w:rsid w:val="00922010"/>
    <w:rsid w:val="0092227D"/>
    <w:rsid w:val="00922568"/>
    <w:rsid w:val="00922637"/>
    <w:rsid w:val="00922715"/>
    <w:rsid w:val="009227B2"/>
    <w:rsid w:val="009228D8"/>
    <w:rsid w:val="00922E6A"/>
    <w:rsid w:val="00922EA9"/>
    <w:rsid w:val="00922EDC"/>
    <w:rsid w:val="00923032"/>
    <w:rsid w:val="0092325C"/>
    <w:rsid w:val="0092339D"/>
    <w:rsid w:val="00923446"/>
    <w:rsid w:val="009234C1"/>
    <w:rsid w:val="009238DA"/>
    <w:rsid w:val="009238DF"/>
    <w:rsid w:val="009239DF"/>
    <w:rsid w:val="00923A6C"/>
    <w:rsid w:val="00923B0A"/>
    <w:rsid w:val="00923DA3"/>
    <w:rsid w:val="00924038"/>
    <w:rsid w:val="0092404C"/>
    <w:rsid w:val="009241BB"/>
    <w:rsid w:val="0092443C"/>
    <w:rsid w:val="00924672"/>
    <w:rsid w:val="0092468B"/>
    <w:rsid w:val="009246C8"/>
    <w:rsid w:val="009248D2"/>
    <w:rsid w:val="00924A7F"/>
    <w:rsid w:val="00924C6C"/>
    <w:rsid w:val="00924CC1"/>
    <w:rsid w:val="00924D60"/>
    <w:rsid w:val="00924D7B"/>
    <w:rsid w:val="00924E31"/>
    <w:rsid w:val="00924E4F"/>
    <w:rsid w:val="00924F11"/>
    <w:rsid w:val="00925288"/>
    <w:rsid w:val="0092555F"/>
    <w:rsid w:val="009256FF"/>
    <w:rsid w:val="00925B73"/>
    <w:rsid w:val="00925F57"/>
    <w:rsid w:val="00925F7C"/>
    <w:rsid w:val="009262AF"/>
    <w:rsid w:val="009263C2"/>
    <w:rsid w:val="0092688E"/>
    <w:rsid w:val="00926B49"/>
    <w:rsid w:val="00927263"/>
    <w:rsid w:val="00927286"/>
    <w:rsid w:val="00927325"/>
    <w:rsid w:val="00927431"/>
    <w:rsid w:val="00927445"/>
    <w:rsid w:val="00927480"/>
    <w:rsid w:val="00927499"/>
    <w:rsid w:val="009275CC"/>
    <w:rsid w:val="00927716"/>
    <w:rsid w:val="0092796F"/>
    <w:rsid w:val="00927AC0"/>
    <w:rsid w:val="00927DE0"/>
    <w:rsid w:val="00927F1E"/>
    <w:rsid w:val="00930357"/>
    <w:rsid w:val="0093044A"/>
    <w:rsid w:val="00930490"/>
    <w:rsid w:val="009304AB"/>
    <w:rsid w:val="0093050D"/>
    <w:rsid w:val="0093056B"/>
    <w:rsid w:val="00930623"/>
    <w:rsid w:val="00930671"/>
    <w:rsid w:val="009306AD"/>
    <w:rsid w:val="009308AD"/>
    <w:rsid w:val="00930CBE"/>
    <w:rsid w:val="00930DF3"/>
    <w:rsid w:val="00930EAE"/>
    <w:rsid w:val="00930F1A"/>
    <w:rsid w:val="00931277"/>
    <w:rsid w:val="0093143E"/>
    <w:rsid w:val="0093178C"/>
    <w:rsid w:val="00931B9C"/>
    <w:rsid w:val="00931BD9"/>
    <w:rsid w:val="00931E98"/>
    <w:rsid w:val="00931F7C"/>
    <w:rsid w:val="00931FC1"/>
    <w:rsid w:val="0093280A"/>
    <w:rsid w:val="00932898"/>
    <w:rsid w:val="00932CB7"/>
    <w:rsid w:val="00932CD5"/>
    <w:rsid w:val="00932D83"/>
    <w:rsid w:val="00932DB6"/>
    <w:rsid w:val="00932E2B"/>
    <w:rsid w:val="0093303A"/>
    <w:rsid w:val="00933077"/>
    <w:rsid w:val="00933310"/>
    <w:rsid w:val="0093383F"/>
    <w:rsid w:val="00933CA5"/>
    <w:rsid w:val="00933CF6"/>
    <w:rsid w:val="00933DF1"/>
    <w:rsid w:val="00934360"/>
    <w:rsid w:val="00934397"/>
    <w:rsid w:val="009345B1"/>
    <w:rsid w:val="00934762"/>
    <w:rsid w:val="0093485E"/>
    <w:rsid w:val="0093495E"/>
    <w:rsid w:val="009349F2"/>
    <w:rsid w:val="00934B10"/>
    <w:rsid w:val="00934BED"/>
    <w:rsid w:val="00934F18"/>
    <w:rsid w:val="00935229"/>
    <w:rsid w:val="0093554C"/>
    <w:rsid w:val="009355C9"/>
    <w:rsid w:val="0093567B"/>
    <w:rsid w:val="00935733"/>
    <w:rsid w:val="00935C65"/>
    <w:rsid w:val="00935D46"/>
    <w:rsid w:val="00935E42"/>
    <w:rsid w:val="00936000"/>
    <w:rsid w:val="0093613E"/>
    <w:rsid w:val="00936469"/>
    <w:rsid w:val="009364C4"/>
    <w:rsid w:val="009367DD"/>
    <w:rsid w:val="00936840"/>
    <w:rsid w:val="009368F3"/>
    <w:rsid w:val="00936955"/>
    <w:rsid w:val="00936A15"/>
    <w:rsid w:val="0093732B"/>
    <w:rsid w:val="0093732D"/>
    <w:rsid w:val="00937366"/>
    <w:rsid w:val="009374BD"/>
    <w:rsid w:val="009374C6"/>
    <w:rsid w:val="00937557"/>
    <w:rsid w:val="00937600"/>
    <w:rsid w:val="009376C8"/>
    <w:rsid w:val="009376E2"/>
    <w:rsid w:val="00937777"/>
    <w:rsid w:val="00937A81"/>
    <w:rsid w:val="00937BE6"/>
    <w:rsid w:val="00937D0C"/>
    <w:rsid w:val="00940019"/>
    <w:rsid w:val="00940250"/>
    <w:rsid w:val="009403AE"/>
    <w:rsid w:val="00940426"/>
    <w:rsid w:val="0094045F"/>
    <w:rsid w:val="00940564"/>
    <w:rsid w:val="009407FA"/>
    <w:rsid w:val="00940A4F"/>
    <w:rsid w:val="00940C04"/>
    <w:rsid w:val="00941093"/>
    <w:rsid w:val="0094131B"/>
    <w:rsid w:val="00941636"/>
    <w:rsid w:val="0094176B"/>
    <w:rsid w:val="00941799"/>
    <w:rsid w:val="00941A52"/>
    <w:rsid w:val="00941B8F"/>
    <w:rsid w:val="00941D14"/>
    <w:rsid w:val="00941DFD"/>
    <w:rsid w:val="00941E12"/>
    <w:rsid w:val="009421E1"/>
    <w:rsid w:val="0094254D"/>
    <w:rsid w:val="009426BA"/>
    <w:rsid w:val="009429B3"/>
    <w:rsid w:val="00942AAB"/>
    <w:rsid w:val="00942F57"/>
    <w:rsid w:val="00942FBD"/>
    <w:rsid w:val="00943149"/>
    <w:rsid w:val="00943204"/>
    <w:rsid w:val="009433C3"/>
    <w:rsid w:val="00943420"/>
    <w:rsid w:val="00943642"/>
    <w:rsid w:val="0094366C"/>
    <w:rsid w:val="00943742"/>
    <w:rsid w:val="0094387C"/>
    <w:rsid w:val="00943ACA"/>
    <w:rsid w:val="00943ADB"/>
    <w:rsid w:val="00943EFC"/>
    <w:rsid w:val="009440B9"/>
    <w:rsid w:val="009441D2"/>
    <w:rsid w:val="009443B7"/>
    <w:rsid w:val="009444FB"/>
    <w:rsid w:val="009445DE"/>
    <w:rsid w:val="009449DE"/>
    <w:rsid w:val="00944F12"/>
    <w:rsid w:val="00944F1D"/>
    <w:rsid w:val="00944F51"/>
    <w:rsid w:val="00944F6A"/>
    <w:rsid w:val="009450BD"/>
    <w:rsid w:val="00945149"/>
    <w:rsid w:val="009451F4"/>
    <w:rsid w:val="00945213"/>
    <w:rsid w:val="00945298"/>
    <w:rsid w:val="00945623"/>
    <w:rsid w:val="00945754"/>
    <w:rsid w:val="0094579F"/>
    <w:rsid w:val="009457B9"/>
    <w:rsid w:val="00945B2A"/>
    <w:rsid w:val="00945C05"/>
    <w:rsid w:val="00945D38"/>
    <w:rsid w:val="00946004"/>
    <w:rsid w:val="00946472"/>
    <w:rsid w:val="00946477"/>
    <w:rsid w:val="00946712"/>
    <w:rsid w:val="0094684F"/>
    <w:rsid w:val="00946945"/>
    <w:rsid w:val="00946B25"/>
    <w:rsid w:val="00946DFA"/>
    <w:rsid w:val="009473EC"/>
    <w:rsid w:val="00947691"/>
    <w:rsid w:val="009476E7"/>
    <w:rsid w:val="00947713"/>
    <w:rsid w:val="0094777D"/>
    <w:rsid w:val="0094777F"/>
    <w:rsid w:val="0094792B"/>
    <w:rsid w:val="00947AD3"/>
    <w:rsid w:val="00947B03"/>
    <w:rsid w:val="00947C4A"/>
    <w:rsid w:val="00947D77"/>
    <w:rsid w:val="00947D97"/>
    <w:rsid w:val="00947EBE"/>
    <w:rsid w:val="00950029"/>
    <w:rsid w:val="009500D0"/>
    <w:rsid w:val="0095069F"/>
    <w:rsid w:val="009506CF"/>
    <w:rsid w:val="00950864"/>
    <w:rsid w:val="009508FC"/>
    <w:rsid w:val="00950990"/>
    <w:rsid w:val="009509B9"/>
    <w:rsid w:val="00950A13"/>
    <w:rsid w:val="00950C38"/>
    <w:rsid w:val="00950CDC"/>
    <w:rsid w:val="00950DE7"/>
    <w:rsid w:val="00950F0C"/>
    <w:rsid w:val="00950F4B"/>
    <w:rsid w:val="00950FC1"/>
    <w:rsid w:val="00951119"/>
    <w:rsid w:val="00951530"/>
    <w:rsid w:val="0095155F"/>
    <w:rsid w:val="009515FD"/>
    <w:rsid w:val="00951713"/>
    <w:rsid w:val="00951895"/>
    <w:rsid w:val="00951931"/>
    <w:rsid w:val="00952787"/>
    <w:rsid w:val="009529E9"/>
    <w:rsid w:val="00952EEB"/>
    <w:rsid w:val="00952F37"/>
    <w:rsid w:val="0095312A"/>
    <w:rsid w:val="009531EE"/>
    <w:rsid w:val="00953343"/>
    <w:rsid w:val="009533E2"/>
    <w:rsid w:val="0095348E"/>
    <w:rsid w:val="00953755"/>
    <w:rsid w:val="00953920"/>
    <w:rsid w:val="00953C1F"/>
    <w:rsid w:val="00953C91"/>
    <w:rsid w:val="00953D47"/>
    <w:rsid w:val="0095404D"/>
    <w:rsid w:val="00954327"/>
    <w:rsid w:val="0095446A"/>
    <w:rsid w:val="009545BC"/>
    <w:rsid w:val="00954608"/>
    <w:rsid w:val="009546AF"/>
    <w:rsid w:val="00954798"/>
    <w:rsid w:val="009547ED"/>
    <w:rsid w:val="0095480A"/>
    <w:rsid w:val="0095493B"/>
    <w:rsid w:val="00954C5C"/>
    <w:rsid w:val="00954E9C"/>
    <w:rsid w:val="009554AB"/>
    <w:rsid w:val="00955583"/>
    <w:rsid w:val="0095566F"/>
    <w:rsid w:val="00955953"/>
    <w:rsid w:val="009559D2"/>
    <w:rsid w:val="00955B8B"/>
    <w:rsid w:val="00955DB8"/>
    <w:rsid w:val="00955E18"/>
    <w:rsid w:val="00955FC8"/>
    <w:rsid w:val="0095615F"/>
    <w:rsid w:val="0095670B"/>
    <w:rsid w:val="0095681E"/>
    <w:rsid w:val="00956D0A"/>
    <w:rsid w:val="00956FEF"/>
    <w:rsid w:val="0095724D"/>
    <w:rsid w:val="009572D4"/>
    <w:rsid w:val="00957439"/>
    <w:rsid w:val="00957531"/>
    <w:rsid w:val="009575BC"/>
    <w:rsid w:val="009578FC"/>
    <w:rsid w:val="0095798F"/>
    <w:rsid w:val="00957D27"/>
    <w:rsid w:val="0096025A"/>
    <w:rsid w:val="0096029D"/>
    <w:rsid w:val="0096033B"/>
    <w:rsid w:val="0096059D"/>
    <w:rsid w:val="00960C55"/>
    <w:rsid w:val="00960C75"/>
    <w:rsid w:val="00960C7F"/>
    <w:rsid w:val="00960DAB"/>
    <w:rsid w:val="00960E26"/>
    <w:rsid w:val="00961065"/>
    <w:rsid w:val="009613BF"/>
    <w:rsid w:val="00961921"/>
    <w:rsid w:val="00961AF5"/>
    <w:rsid w:val="00961AF7"/>
    <w:rsid w:val="00961B6A"/>
    <w:rsid w:val="00961BE0"/>
    <w:rsid w:val="009621E4"/>
    <w:rsid w:val="00962C59"/>
    <w:rsid w:val="00962D26"/>
    <w:rsid w:val="00962DFB"/>
    <w:rsid w:val="00963B51"/>
    <w:rsid w:val="00963BCC"/>
    <w:rsid w:val="00963C76"/>
    <w:rsid w:val="00963C8B"/>
    <w:rsid w:val="00963DAF"/>
    <w:rsid w:val="009640E7"/>
    <w:rsid w:val="0096426B"/>
    <w:rsid w:val="00964277"/>
    <w:rsid w:val="0096430A"/>
    <w:rsid w:val="00964596"/>
    <w:rsid w:val="00964708"/>
    <w:rsid w:val="0096471D"/>
    <w:rsid w:val="0096476D"/>
    <w:rsid w:val="00964B64"/>
    <w:rsid w:val="00964BC8"/>
    <w:rsid w:val="00964F16"/>
    <w:rsid w:val="00965089"/>
    <w:rsid w:val="0096554B"/>
    <w:rsid w:val="009656E9"/>
    <w:rsid w:val="009657C9"/>
    <w:rsid w:val="009657F9"/>
    <w:rsid w:val="0096584A"/>
    <w:rsid w:val="00965968"/>
    <w:rsid w:val="00965B5E"/>
    <w:rsid w:val="00966140"/>
    <w:rsid w:val="0096615B"/>
    <w:rsid w:val="00966218"/>
    <w:rsid w:val="0096661A"/>
    <w:rsid w:val="00966721"/>
    <w:rsid w:val="00966BF8"/>
    <w:rsid w:val="00966EB8"/>
    <w:rsid w:val="009673D3"/>
    <w:rsid w:val="0096752A"/>
    <w:rsid w:val="00967CA2"/>
    <w:rsid w:val="00967D3C"/>
    <w:rsid w:val="00970288"/>
    <w:rsid w:val="00970578"/>
    <w:rsid w:val="00970725"/>
    <w:rsid w:val="00970770"/>
    <w:rsid w:val="00970790"/>
    <w:rsid w:val="00970883"/>
    <w:rsid w:val="00970946"/>
    <w:rsid w:val="00970A17"/>
    <w:rsid w:val="00970C2D"/>
    <w:rsid w:val="00970C66"/>
    <w:rsid w:val="00970EDF"/>
    <w:rsid w:val="00970FFA"/>
    <w:rsid w:val="00971036"/>
    <w:rsid w:val="00971148"/>
    <w:rsid w:val="00971304"/>
    <w:rsid w:val="00971477"/>
    <w:rsid w:val="00971531"/>
    <w:rsid w:val="009715D0"/>
    <w:rsid w:val="009717C6"/>
    <w:rsid w:val="00971A88"/>
    <w:rsid w:val="00971D02"/>
    <w:rsid w:val="00971F08"/>
    <w:rsid w:val="00971FD6"/>
    <w:rsid w:val="00972349"/>
    <w:rsid w:val="009724C1"/>
    <w:rsid w:val="00972604"/>
    <w:rsid w:val="009726F4"/>
    <w:rsid w:val="0097270E"/>
    <w:rsid w:val="00972757"/>
    <w:rsid w:val="0097278E"/>
    <w:rsid w:val="009728DD"/>
    <w:rsid w:val="009729D5"/>
    <w:rsid w:val="00972AFE"/>
    <w:rsid w:val="00972B4B"/>
    <w:rsid w:val="009731A3"/>
    <w:rsid w:val="00973507"/>
    <w:rsid w:val="0097389B"/>
    <w:rsid w:val="00973D0F"/>
    <w:rsid w:val="0097410D"/>
    <w:rsid w:val="009741F0"/>
    <w:rsid w:val="00974281"/>
    <w:rsid w:val="009744D8"/>
    <w:rsid w:val="00974543"/>
    <w:rsid w:val="009746E9"/>
    <w:rsid w:val="00974994"/>
    <w:rsid w:val="00974C4A"/>
    <w:rsid w:val="00974C68"/>
    <w:rsid w:val="00974E7F"/>
    <w:rsid w:val="00974EF2"/>
    <w:rsid w:val="00974F28"/>
    <w:rsid w:val="00975482"/>
    <w:rsid w:val="009755F2"/>
    <w:rsid w:val="00975BC9"/>
    <w:rsid w:val="00975CC2"/>
    <w:rsid w:val="00975D69"/>
    <w:rsid w:val="00975DAE"/>
    <w:rsid w:val="00975EE4"/>
    <w:rsid w:val="00975F3A"/>
    <w:rsid w:val="0097603D"/>
    <w:rsid w:val="00976103"/>
    <w:rsid w:val="0097614B"/>
    <w:rsid w:val="009761C8"/>
    <w:rsid w:val="009762E5"/>
    <w:rsid w:val="0097639B"/>
    <w:rsid w:val="00976949"/>
    <w:rsid w:val="00976A39"/>
    <w:rsid w:val="00976A9E"/>
    <w:rsid w:val="00976B41"/>
    <w:rsid w:val="00976C35"/>
    <w:rsid w:val="00976D28"/>
    <w:rsid w:val="00976D7D"/>
    <w:rsid w:val="00976FC5"/>
    <w:rsid w:val="0097702B"/>
    <w:rsid w:val="00977136"/>
    <w:rsid w:val="0097736A"/>
    <w:rsid w:val="00977468"/>
    <w:rsid w:val="0097759D"/>
    <w:rsid w:val="0097759F"/>
    <w:rsid w:val="009777AC"/>
    <w:rsid w:val="00977883"/>
    <w:rsid w:val="00977A65"/>
    <w:rsid w:val="00977B35"/>
    <w:rsid w:val="00977DB4"/>
    <w:rsid w:val="00980307"/>
    <w:rsid w:val="00980477"/>
    <w:rsid w:val="009805BE"/>
    <w:rsid w:val="009806D2"/>
    <w:rsid w:val="009806E2"/>
    <w:rsid w:val="0098073B"/>
    <w:rsid w:val="009807FF"/>
    <w:rsid w:val="00980BA9"/>
    <w:rsid w:val="00980F5E"/>
    <w:rsid w:val="00981218"/>
    <w:rsid w:val="00981252"/>
    <w:rsid w:val="00981489"/>
    <w:rsid w:val="009814E1"/>
    <w:rsid w:val="00981663"/>
    <w:rsid w:val="009817B1"/>
    <w:rsid w:val="009817C3"/>
    <w:rsid w:val="0098187E"/>
    <w:rsid w:val="00981C54"/>
    <w:rsid w:val="00981CD9"/>
    <w:rsid w:val="009821FA"/>
    <w:rsid w:val="00982363"/>
    <w:rsid w:val="009823BC"/>
    <w:rsid w:val="00982405"/>
    <w:rsid w:val="009826FA"/>
    <w:rsid w:val="0098299A"/>
    <w:rsid w:val="00982F72"/>
    <w:rsid w:val="0098328A"/>
    <w:rsid w:val="00983349"/>
    <w:rsid w:val="009833A4"/>
    <w:rsid w:val="0098357F"/>
    <w:rsid w:val="009836F3"/>
    <w:rsid w:val="00983736"/>
    <w:rsid w:val="00983857"/>
    <w:rsid w:val="00983A48"/>
    <w:rsid w:val="00983B6E"/>
    <w:rsid w:val="00983D15"/>
    <w:rsid w:val="00983DDA"/>
    <w:rsid w:val="0098431D"/>
    <w:rsid w:val="009843C1"/>
    <w:rsid w:val="009844DB"/>
    <w:rsid w:val="009845D2"/>
    <w:rsid w:val="009846A1"/>
    <w:rsid w:val="009846CB"/>
    <w:rsid w:val="00984809"/>
    <w:rsid w:val="009848F9"/>
    <w:rsid w:val="00984C3D"/>
    <w:rsid w:val="0098516E"/>
    <w:rsid w:val="00985253"/>
    <w:rsid w:val="009853B3"/>
    <w:rsid w:val="009854ED"/>
    <w:rsid w:val="009855AA"/>
    <w:rsid w:val="00985B75"/>
    <w:rsid w:val="00985DE7"/>
    <w:rsid w:val="00985EE3"/>
    <w:rsid w:val="00985F71"/>
    <w:rsid w:val="00986300"/>
    <w:rsid w:val="00986508"/>
    <w:rsid w:val="009866D9"/>
    <w:rsid w:val="009867BC"/>
    <w:rsid w:val="0098682F"/>
    <w:rsid w:val="00986963"/>
    <w:rsid w:val="00986C22"/>
    <w:rsid w:val="00986EAF"/>
    <w:rsid w:val="0098745F"/>
    <w:rsid w:val="00987493"/>
    <w:rsid w:val="00987771"/>
    <w:rsid w:val="009878C2"/>
    <w:rsid w:val="00987999"/>
    <w:rsid w:val="00987D24"/>
    <w:rsid w:val="00987D2D"/>
    <w:rsid w:val="00987F79"/>
    <w:rsid w:val="0099017B"/>
    <w:rsid w:val="009901C3"/>
    <w:rsid w:val="009904F2"/>
    <w:rsid w:val="00990630"/>
    <w:rsid w:val="00990908"/>
    <w:rsid w:val="0099093A"/>
    <w:rsid w:val="009909A8"/>
    <w:rsid w:val="00990B27"/>
    <w:rsid w:val="00990B5A"/>
    <w:rsid w:val="00990BA8"/>
    <w:rsid w:val="00990F95"/>
    <w:rsid w:val="0099106C"/>
    <w:rsid w:val="00991365"/>
    <w:rsid w:val="00991761"/>
    <w:rsid w:val="00991EAF"/>
    <w:rsid w:val="00991ED2"/>
    <w:rsid w:val="0099216B"/>
    <w:rsid w:val="0099245F"/>
    <w:rsid w:val="009926E5"/>
    <w:rsid w:val="00992735"/>
    <w:rsid w:val="0099286C"/>
    <w:rsid w:val="009928C6"/>
    <w:rsid w:val="00992906"/>
    <w:rsid w:val="00992B69"/>
    <w:rsid w:val="00992B77"/>
    <w:rsid w:val="00992C8E"/>
    <w:rsid w:val="00992F01"/>
    <w:rsid w:val="009930DD"/>
    <w:rsid w:val="009930F0"/>
    <w:rsid w:val="00993174"/>
    <w:rsid w:val="009931E0"/>
    <w:rsid w:val="0099366F"/>
    <w:rsid w:val="0099375A"/>
    <w:rsid w:val="009937AE"/>
    <w:rsid w:val="009937B2"/>
    <w:rsid w:val="009937FF"/>
    <w:rsid w:val="00993A78"/>
    <w:rsid w:val="00993AC9"/>
    <w:rsid w:val="00993C26"/>
    <w:rsid w:val="00994015"/>
    <w:rsid w:val="00994431"/>
    <w:rsid w:val="0099476C"/>
    <w:rsid w:val="00994885"/>
    <w:rsid w:val="009949EA"/>
    <w:rsid w:val="00994AA5"/>
    <w:rsid w:val="00994C7E"/>
    <w:rsid w:val="00994CE4"/>
    <w:rsid w:val="00994CF1"/>
    <w:rsid w:val="00994DCA"/>
    <w:rsid w:val="00995072"/>
    <w:rsid w:val="0099576A"/>
    <w:rsid w:val="00995812"/>
    <w:rsid w:val="009958C7"/>
    <w:rsid w:val="009958DE"/>
    <w:rsid w:val="009958F7"/>
    <w:rsid w:val="00995DE3"/>
    <w:rsid w:val="009960D4"/>
    <w:rsid w:val="009960EC"/>
    <w:rsid w:val="00996211"/>
    <w:rsid w:val="009962C5"/>
    <w:rsid w:val="009963CD"/>
    <w:rsid w:val="00996537"/>
    <w:rsid w:val="00996A06"/>
    <w:rsid w:val="00996B79"/>
    <w:rsid w:val="00996DC0"/>
    <w:rsid w:val="00996F5F"/>
    <w:rsid w:val="009970A3"/>
    <w:rsid w:val="009970DD"/>
    <w:rsid w:val="00997549"/>
    <w:rsid w:val="00997A8F"/>
    <w:rsid w:val="00997ABE"/>
    <w:rsid w:val="00997B36"/>
    <w:rsid w:val="00997D6C"/>
    <w:rsid w:val="00997F0E"/>
    <w:rsid w:val="009A03E0"/>
    <w:rsid w:val="009A07A0"/>
    <w:rsid w:val="009A0802"/>
    <w:rsid w:val="009A0831"/>
    <w:rsid w:val="009A0B1F"/>
    <w:rsid w:val="009A0C9C"/>
    <w:rsid w:val="009A0DAA"/>
    <w:rsid w:val="009A0F71"/>
    <w:rsid w:val="009A0FBA"/>
    <w:rsid w:val="009A13EB"/>
    <w:rsid w:val="009A145E"/>
    <w:rsid w:val="009A153E"/>
    <w:rsid w:val="009A1601"/>
    <w:rsid w:val="009A161F"/>
    <w:rsid w:val="009A172F"/>
    <w:rsid w:val="009A1863"/>
    <w:rsid w:val="009A1C19"/>
    <w:rsid w:val="009A2AC6"/>
    <w:rsid w:val="009A2AD5"/>
    <w:rsid w:val="009A2D5F"/>
    <w:rsid w:val="009A2EA8"/>
    <w:rsid w:val="009A2FF4"/>
    <w:rsid w:val="009A2FF5"/>
    <w:rsid w:val="009A3131"/>
    <w:rsid w:val="009A3153"/>
    <w:rsid w:val="009A3265"/>
    <w:rsid w:val="009A32E5"/>
    <w:rsid w:val="009A3475"/>
    <w:rsid w:val="009A37DE"/>
    <w:rsid w:val="009A38F8"/>
    <w:rsid w:val="009A3BB6"/>
    <w:rsid w:val="009A3D0E"/>
    <w:rsid w:val="009A3FC7"/>
    <w:rsid w:val="009A417A"/>
    <w:rsid w:val="009A41BF"/>
    <w:rsid w:val="009A42D8"/>
    <w:rsid w:val="009A4349"/>
    <w:rsid w:val="009A4363"/>
    <w:rsid w:val="009A45E0"/>
    <w:rsid w:val="009A462D"/>
    <w:rsid w:val="009A4750"/>
    <w:rsid w:val="009A4784"/>
    <w:rsid w:val="009A4D42"/>
    <w:rsid w:val="009A4EA7"/>
    <w:rsid w:val="009A4FAA"/>
    <w:rsid w:val="009A4FBF"/>
    <w:rsid w:val="009A51C0"/>
    <w:rsid w:val="009A5263"/>
    <w:rsid w:val="009A57D3"/>
    <w:rsid w:val="009A5BF3"/>
    <w:rsid w:val="009A5CA3"/>
    <w:rsid w:val="009A5CBA"/>
    <w:rsid w:val="009A5D3D"/>
    <w:rsid w:val="009A5D50"/>
    <w:rsid w:val="009A60F5"/>
    <w:rsid w:val="009A649F"/>
    <w:rsid w:val="009A69C5"/>
    <w:rsid w:val="009A69D2"/>
    <w:rsid w:val="009A6A25"/>
    <w:rsid w:val="009A6BAB"/>
    <w:rsid w:val="009A6BBA"/>
    <w:rsid w:val="009A6DAA"/>
    <w:rsid w:val="009A6EE4"/>
    <w:rsid w:val="009A7155"/>
    <w:rsid w:val="009A7417"/>
    <w:rsid w:val="009A7EC7"/>
    <w:rsid w:val="009A7F62"/>
    <w:rsid w:val="009B0251"/>
    <w:rsid w:val="009B0255"/>
    <w:rsid w:val="009B030E"/>
    <w:rsid w:val="009B04B3"/>
    <w:rsid w:val="009B09E5"/>
    <w:rsid w:val="009B0D3C"/>
    <w:rsid w:val="009B0DB8"/>
    <w:rsid w:val="009B0F0F"/>
    <w:rsid w:val="009B0F54"/>
    <w:rsid w:val="009B110E"/>
    <w:rsid w:val="009B125B"/>
    <w:rsid w:val="009B1301"/>
    <w:rsid w:val="009B1460"/>
    <w:rsid w:val="009B147B"/>
    <w:rsid w:val="009B14A1"/>
    <w:rsid w:val="009B16C0"/>
    <w:rsid w:val="009B1F30"/>
    <w:rsid w:val="009B22FE"/>
    <w:rsid w:val="009B236F"/>
    <w:rsid w:val="009B2612"/>
    <w:rsid w:val="009B265B"/>
    <w:rsid w:val="009B26F0"/>
    <w:rsid w:val="009B2789"/>
    <w:rsid w:val="009B27B7"/>
    <w:rsid w:val="009B28D8"/>
    <w:rsid w:val="009B2B89"/>
    <w:rsid w:val="009B3539"/>
    <w:rsid w:val="009B371A"/>
    <w:rsid w:val="009B3A03"/>
    <w:rsid w:val="009B3AC2"/>
    <w:rsid w:val="009B3E2A"/>
    <w:rsid w:val="009B3E68"/>
    <w:rsid w:val="009B40AB"/>
    <w:rsid w:val="009B40CB"/>
    <w:rsid w:val="009B40E6"/>
    <w:rsid w:val="009B44F8"/>
    <w:rsid w:val="009B48CE"/>
    <w:rsid w:val="009B4B45"/>
    <w:rsid w:val="009B4DF4"/>
    <w:rsid w:val="009B50AC"/>
    <w:rsid w:val="009B50BD"/>
    <w:rsid w:val="009B50E8"/>
    <w:rsid w:val="009B5103"/>
    <w:rsid w:val="009B5197"/>
    <w:rsid w:val="009B5452"/>
    <w:rsid w:val="009B564E"/>
    <w:rsid w:val="009B56F7"/>
    <w:rsid w:val="009B5A88"/>
    <w:rsid w:val="009B5B8E"/>
    <w:rsid w:val="009B634A"/>
    <w:rsid w:val="009B63C9"/>
    <w:rsid w:val="009B6670"/>
    <w:rsid w:val="009B667C"/>
    <w:rsid w:val="009B6BAB"/>
    <w:rsid w:val="009B6CDD"/>
    <w:rsid w:val="009B6F68"/>
    <w:rsid w:val="009B7119"/>
    <w:rsid w:val="009B773C"/>
    <w:rsid w:val="009B7766"/>
    <w:rsid w:val="009B7775"/>
    <w:rsid w:val="009B77AB"/>
    <w:rsid w:val="009B78FF"/>
    <w:rsid w:val="009B7E74"/>
    <w:rsid w:val="009B7E87"/>
    <w:rsid w:val="009B7EB8"/>
    <w:rsid w:val="009C0093"/>
    <w:rsid w:val="009C0131"/>
    <w:rsid w:val="009C0169"/>
    <w:rsid w:val="009C03D2"/>
    <w:rsid w:val="009C0688"/>
    <w:rsid w:val="009C07F3"/>
    <w:rsid w:val="009C085F"/>
    <w:rsid w:val="009C0B98"/>
    <w:rsid w:val="009C0BAB"/>
    <w:rsid w:val="009C0BCF"/>
    <w:rsid w:val="009C0C2C"/>
    <w:rsid w:val="009C0DE4"/>
    <w:rsid w:val="009C13C0"/>
    <w:rsid w:val="009C189F"/>
    <w:rsid w:val="009C1D82"/>
    <w:rsid w:val="009C1EE4"/>
    <w:rsid w:val="009C26DB"/>
    <w:rsid w:val="009C28D0"/>
    <w:rsid w:val="009C28D6"/>
    <w:rsid w:val="009C2C1A"/>
    <w:rsid w:val="009C2C75"/>
    <w:rsid w:val="009C2D44"/>
    <w:rsid w:val="009C302C"/>
    <w:rsid w:val="009C3065"/>
    <w:rsid w:val="009C30A2"/>
    <w:rsid w:val="009C333B"/>
    <w:rsid w:val="009C33E3"/>
    <w:rsid w:val="009C3421"/>
    <w:rsid w:val="009C36D2"/>
    <w:rsid w:val="009C39DB"/>
    <w:rsid w:val="009C3BDC"/>
    <w:rsid w:val="009C3DE6"/>
    <w:rsid w:val="009C3E77"/>
    <w:rsid w:val="009C3EA7"/>
    <w:rsid w:val="009C3F5F"/>
    <w:rsid w:val="009C403E"/>
    <w:rsid w:val="009C43EA"/>
    <w:rsid w:val="009C4492"/>
    <w:rsid w:val="009C468C"/>
    <w:rsid w:val="009C477A"/>
    <w:rsid w:val="009C4813"/>
    <w:rsid w:val="009C48FF"/>
    <w:rsid w:val="009C4B16"/>
    <w:rsid w:val="009C4B27"/>
    <w:rsid w:val="009C4B43"/>
    <w:rsid w:val="009C4F91"/>
    <w:rsid w:val="009C527B"/>
    <w:rsid w:val="009C5478"/>
    <w:rsid w:val="009C54F3"/>
    <w:rsid w:val="009C5768"/>
    <w:rsid w:val="009C5781"/>
    <w:rsid w:val="009C58DF"/>
    <w:rsid w:val="009C5A57"/>
    <w:rsid w:val="009C5CAC"/>
    <w:rsid w:val="009C5E3C"/>
    <w:rsid w:val="009C6247"/>
    <w:rsid w:val="009C62FB"/>
    <w:rsid w:val="009C65EA"/>
    <w:rsid w:val="009C6693"/>
    <w:rsid w:val="009C6F0A"/>
    <w:rsid w:val="009C6F84"/>
    <w:rsid w:val="009C746B"/>
    <w:rsid w:val="009C74D2"/>
    <w:rsid w:val="009C7604"/>
    <w:rsid w:val="009C7633"/>
    <w:rsid w:val="009C793A"/>
    <w:rsid w:val="009C7C32"/>
    <w:rsid w:val="009C7F57"/>
    <w:rsid w:val="009D046D"/>
    <w:rsid w:val="009D0661"/>
    <w:rsid w:val="009D0B72"/>
    <w:rsid w:val="009D0E9A"/>
    <w:rsid w:val="009D1023"/>
    <w:rsid w:val="009D10BF"/>
    <w:rsid w:val="009D112A"/>
    <w:rsid w:val="009D1214"/>
    <w:rsid w:val="009D176E"/>
    <w:rsid w:val="009D1771"/>
    <w:rsid w:val="009D1871"/>
    <w:rsid w:val="009D1AC0"/>
    <w:rsid w:val="009D1E31"/>
    <w:rsid w:val="009D1EB0"/>
    <w:rsid w:val="009D242B"/>
    <w:rsid w:val="009D2518"/>
    <w:rsid w:val="009D271E"/>
    <w:rsid w:val="009D2C6F"/>
    <w:rsid w:val="009D2CB2"/>
    <w:rsid w:val="009D2D0F"/>
    <w:rsid w:val="009D2D23"/>
    <w:rsid w:val="009D2FAD"/>
    <w:rsid w:val="009D2FC0"/>
    <w:rsid w:val="009D3051"/>
    <w:rsid w:val="009D3117"/>
    <w:rsid w:val="009D31D3"/>
    <w:rsid w:val="009D37E4"/>
    <w:rsid w:val="009D39BE"/>
    <w:rsid w:val="009D3B0C"/>
    <w:rsid w:val="009D3F0D"/>
    <w:rsid w:val="009D406D"/>
    <w:rsid w:val="009D43F6"/>
    <w:rsid w:val="009D4420"/>
    <w:rsid w:val="009D4968"/>
    <w:rsid w:val="009D4B81"/>
    <w:rsid w:val="009D4CA4"/>
    <w:rsid w:val="009D4EC5"/>
    <w:rsid w:val="009D4ECA"/>
    <w:rsid w:val="009D4F24"/>
    <w:rsid w:val="009D4FE9"/>
    <w:rsid w:val="009D4FF0"/>
    <w:rsid w:val="009D50A9"/>
    <w:rsid w:val="009D50BC"/>
    <w:rsid w:val="009D50D2"/>
    <w:rsid w:val="009D5200"/>
    <w:rsid w:val="009D536E"/>
    <w:rsid w:val="009D574B"/>
    <w:rsid w:val="009D5BE3"/>
    <w:rsid w:val="009D5E2B"/>
    <w:rsid w:val="009D5FA1"/>
    <w:rsid w:val="009D6006"/>
    <w:rsid w:val="009D6024"/>
    <w:rsid w:val="009D61A4"/>
    <w:rsid w:val="009D6494"/>
    <w:rsid w:val="009D64AB"/>
    <w:rsid w:val="009D65BA"/>
    <w:rsid w:val="009D665B"/>
    <w:rsid w:val="009D682E"/>
    <w:rsid w:val="009D6897"/>
    <w:rsid w:val="009D69B5"/>
    <w:rsid w:val="009D6BE6"/>
    <w:rsid w:val="009D6EB3"/>
    <w:rsid w:val="009D703C"/>
    <w:rsid w:val="009D718F"/>
    <w:rsid w:val="009D7200"/>
    <w:rsid w:val="009D7987"/>
    <w:rsid w:val="009D79EF"/>
    <w:rsid w:val="009D7B23"/>
    <w:rsid w:val="009D7B62"/>
    <w:rsid w:val="009D7B89"/>
    <w:rsid w:val="009D7C12"/>
    <w:rsid w:val="009D7C86"/>
    <w:rsid w:val="009D7E56"/>
    <w:rsid w:val="009D7F86"/>
    <w:rsid w:val="009E0035"/>
    <w:rsid w:val="009E0047"/>
    <w:rsid w:val="009E00BC"/>
    <w:rsid w:val="009E023C"/>
    <w:rsid w:val="009E03B2"/>
    <w:rsid w:val="009E044A"/>
    <w:rsid w:val="009E068F"/>
    <w:rsid w:val="009E08D8"/>
    <w:rsid w:val="009E0957"/>
    <w:rsid w:val="009E0B69"/>
    <w:rsid w:val="009E0D0F"/>
    <w:rsid w:val="009E0E55"/>
    <w:rsid w:val="009E0E9A"/>
    <w:rsid w:val="009E0F10"/>
    <w:rsid w:val="009E100D"/>
    <w:rsid w:val="009E11DD"/>
    <w:rsid w:val="009E1377"/>
    <w:rsid w:val="009E143A"/>
    <w:rsid w:val="009E14E0"/>
    <w:rsid w:val="009E1513"/>
    <w:rsid w:val="009E1523"/>
    <w:rsid w:val="009E1BB6"/>
    <w:rsid w:val="009E1DA7"/>
    <w:rsid w:val="009E1DE9"/>
    <w:rsid w:val="009E1EBD"/>
    <w:rsid w:val="009E2678"/>
    <w:rsid w:val="009E27A7"/>
    <w:rsid w:val="009E27D1"/>
    <w:rsid w:val="009E283D"/>
    <w:rsid w:val="009E2BD7"/>
    <w:rsid w:val="009E2C07"/>
    <w:rsid w:val="009E2C8D"/>
    <w:rsid w:val="009E2CB9"/>
    <w:rsid w:val="009E2D67"/>
    <w:rsid w:val="009E3364"/>
    <w:rsid w:val="009E34AB"/>
    <w:rsid w:val="009E35DB"/>
    <w:rsid w:val="009E3605"/>
    <w:rsid w:val="009E3759"/>
    <w:rsid w:val="009E376C"/>
    <w:rsid w:val="009E3B14"/>
    <w:rsid w:val="009E3B48"/>
    <w:rsid w:val="009E4131"/>
    <w:rsid w:val="009E45C8"/>
    <w:rsid w:val="009E4699"/>
    <w:rsid w:val="009E47A3"/>
    <w:rsid w:val="009E47D0"/>
    <w:rsid w:val="009E4961"/>
    <w:rsid w:val="009E4A9D"/>
    <w:rsid w:val="009E4AA3"/>
    <w:rsid w:val="009E4CA2"/>
    <w:rsid w:val="009E5022"/>
    <w:rsid w:val="009E503F"/>
    <w:rsid w:val="009E5355"/>
    <w:rsid w:val="009E5466"/>
    <w:rsid w:val="009E54DE"/>
    <w:rsid w:val="009E5598"/>
    <w:rsid w:val="009E5892"/>
    <w:rsid w:val="009E5A3D"/>
    <w:rsid w:val="009E5AB6"/>
    <w:rsid w:val="009E5D77"/>
    <w:rsid w:val="009E60BB"/>
    <w:rsid w:val="009E62C5"/>
    <w:rsid w:val="009E6372"/>
    <w:rsid w:val="009E66BC"/>
    <w:rsid w:val="009E68B4"/>
    <w:rsid w:val="009E6C59"/>
    <w:rsid w:val="009E6E45"/>
    <w:rsid w:val="009E6F45"/>
    <w:rsid w:val="009E700A"/>
    <w:rsid w:val="009E7056"/>
    <w:rsid w:val="009E75E6"/>
    <w:rsid w:val="009E786B"/>
    <w:rsid w:val="009E79A2"/>
    <w:rsid w:val="009E7AE2"/>
    <w:rsid w:val="009E7E38"/>
    <w:rsid w:val="009F0079"/>
    <w:rsid w:val="009F01CA"/>
    <w:rsid w:val="009F08B3"/>
    <w:rsid w:val="009F08F3"/>
    <w:rsid w:val="009F0AB9"/>
    <w:rsid w:val="009F0AFE"/>
    <w:rsid w:val="009F0FD8"/>
    <w:rsid w:val="009F152E"/>
    <w:rsid w:val="009F179F"/>
    <w:rsid w:val="009F17E9"/>
    <w:rsid w:val="009F1F88"/>
    <w:rsid w:val="009F1FC6"/>
    <w:rsid w:val="009F210E"/>
    <w:rsid w:val="009F22E7"/>
    <w:rsid w:val="009F24E8"/>
    <w:rsid w:val="009F2523"/>
    <w:rsid w:val="009F2737"/>
    <w:rsid w:val="009F28A8"/>
    <w:rsid w:val="009F2AA8"/>
    <w:rsid w:val="009F2BD7"/>
    <w:rsid w:val="009F2CDB"/>
    <w:rsid w:val="009F306E"/>
    <w:rsid w:val="009F3277"/>
    <w:rsid w:val="009F3359"/>
    <w:rsid w:val="009F33AA"/>
    <w:rsid w:val="009F3443"/>
    <w:rsid w:val="009F344F"/>
    <w:rsid w:val="009F35ED"/>
    <w:rsid w:val="009F39E8"/>
    <w:rsid w:val="009F3B5F"/>
    <w:rsid w:val="009F3C4B"/>
    <w:rsid w:val="009F3E7A"/>
    <w:rsid w:val="009F4403"/>
    <w:rsid w:val="009F45D0"/>
    <w:rsid w:val="009F471C"/>
    <w:rsid w:val="009F47CE"/>
    <w:rsid w:val="009F49C0"/>
    <w:rsid w:val="009F49EF"/>
    <w:rsid w:val="009F4DF8"/>
    <w:rsid w:val="009F502B"/>
    <w:rsid w:val="009F58FF"/>
    <w:rsid w:val="009F60D6"/>
    <w:rsid w:val="009F61C6"/>
    <w:rsid w:val="009F6236"/>
    <w:rsid w:val="009F6683"/>
    <w:rsid w:val="009F6756"/>
    <w:rsid w:val="009F68F8"/>
    <w:rsid w:val="009F6C33"/>
    <w:rsid w:val="009F6C8A"/>
    <w:rsid w:val="009F71F0"/>
    <w:rsid w:val="009F7611"/>
    <w:rsid w:val="009F788C"/>
    <w:rsid w:val="009F78EA"/>
    <w:rsid w:val="009F7B38"/>
    <w:rsid w:val="009F7BF5"/>
    <w:rsid w:val="009F7C16"/>
    <w:rsid w:val="009F7DA2"/>
    <w:rsid w:val="00A00110"/>
    <w:rsid w:val="00A00302"/>
    <w:rsid w:val="00A005D0"/>
    <w:rsid w:val="00A00879"/>
    <w:rsid w:val="00A009B2"/>
    <w:rsid w:val="00A00D08"/>
    <w:rsid w:val="00A00F48"/>
    <w:rsid w:val="00A0161E"/>
    <w:rsid w:val="00A01BDE"/>
    <w:rsid w:val="00A01DEB"/>
    <w:rsid w:val="00A01F01"/>
    <w:rsid w:val="00A02188"/>
    <w:rsid w:val="00A0219F"/>
    <w:rsid w:val="00A02612"/>
    <w:rsid w:val="00A0271A"/>
    <w:rsid w:val="00A02A86"/>
    <w:rsid w:val="00A02D12"/>
    <w:rsid w:val="00A031D8"/>
    <w:rsid w:val="00A03264"/>
    <w:rsid w:val="00A03396"/>
    <w:rsid w:val="00A03613"/>
    <w:rsid w:val="00A036E7"/>
    <w:rsid w:val="00A03779"/>
    <w:rsid w:val="00A038F3"/>
    <w:rsid w:val="00A03A8F"/>
    <w:rsid w:val="00A03ED0"/>
    <w:rsid w:val="00A0402B"/>
    <w:rsid w:val="00A04088"/>
    <w:rsid w:val="00A041B2"/>
    <w:rsid w:val="00A0430E"/>
    <w:rsid w:val="00A0445B"/>
    <w:rsid w:val="00A046F4"/>
    <w:rsid w:val="00A048A8"/>
    <w:rsid w:val="00A0490C"/>
    <w:rsid w:val="00A049E8"/>
    <w:rsid w:val="00A04ADC"/>
    <w:rsid w:val="00A04B9D"/>
    <w:rsid w:val="00A04C01"/>
    <w:rsid w:val="00A04C23"/>
    <w:rsid w:val="00A04F49"/>
    <w:rsid w:val="00A051BD"/>
    <w:rsid w:val="00A053C5"/>
    <w:rsid w:val="00A058D9"/>
    <w:rsid w:val="00A05BB1"/>
    <w:rsid w:val="00A05F61"/>
    <w:rsid w:val="00A06107"/>
    <w:rsid w:val="00A0616D"/>
    <w:rsid w:val="00A0642D"/>
    <w:rsid w:val="00A0650E"/>
    <w:rsid w:val="00A06A17"/>
    <w:rsid w:val="00A06A97"/>
    <w:rsid w:val="00A06B4B"/>
    <w:rsid w:val="00A06C22"/>
    <w:rsid w:val="00A06CF5"/>
    <w:rsid w:val="00A0721B"/>
    <w:rsid w:val="00A073C5"/>
    <w:rsid w:val="00A075B4"/>
    <w:rsid w:val="00A076A0"/>
    <w:rsid w:val="00A078C9"/>
    <w:rsid w:val="00A07970"/>
    <w:rsid w:val="00A07B3E"/>
    <w:rsid w:val="00A07EEC"/>
    <w:rsid w:val="00A07EF8"/>
    <w:rsid w:val="00A07F29"/>
    <w:rsid w:val="00A1003D"/>
    <w:rsid w:val="00A100AF"/>
    <w:rsid w:val="00A1017A"/>
    <w:rsid w:val="00A1052A"/>
    <w:rsid w:val="00A10A6F"/>
    <w:rsid w:val="00A10AAC"/>
    <w:rsid w:val="00A10ABD"/>
    <w:rsid w:val="00A10B56"/>
    <w:rsid w:val="00A10CAA"/>
    <w:rsid w:val="00A10D0E"/>
    <w:rsid w:val="00A10D39"/>
    <w:rsid w:val="00A10E3D"/>
    <w:rsid w:val="00A115CB"/>
    <w:rsid w:val="00A11AC8"/>
    <w:rsid w:val="00A11D07"/>
    <w:rsid w:val="00A11D3A"/>
    <w:rsid w:val="00A1224F"/>
    <w:rsid w:val="00A12802"/>
    <w:rsid w:val="00A128B5"/>
    <w:rsid w:val="00A12A07"/>
    <w:rsid w:val="00A12A7A"/>
    <w:rsid w:val="00A12AF5"/>
    <w:rsid w:val="00A12B3F"/>
    <w:rsid w:val="00A12F6E"/>
    <w:rsid w:val="00A12FE5"/>
    <w:rsid w:val="00A130EB"/>
    <w:rsid w:val="00A13189"/>
    <w:rsid w:val="00A131C6"/>
    <w:rsid w:val="00A134E9"/>
    <w:rsid w:val="00A134EB"/>
    <w:rsid w:val="00A1356F"/>
    <w:rsid w:val="00A13581"/>
    <w:rsid w:val="00A135EF"/>
    <w:rsid w:val="00A136D6"/>
    <w:rsid w:val="00A13ABF"/>
    <w:rsid w:val="00A13B0A"/>
    <w:rsid w:val="00A13C1F"/>
    <w:rsid w:val="00A13C24"/>
    <w:rsid w:val="00A13E54"/>
    <w:rsid w:val="00A140E6"/>
    <w:rsid w:val="00A14363"/>
    <w:rsid w:val="00A14543"/>
    <w:rsid w:val="00A14B66"/>
    <w:rsid w:val="00A14CD1"/>
    <w:rsid w:val="00A14CE2"/>
    <w:rsid w:val="00A14D94"/>
    <w:rsid w:val="00A14DB5"/>
    <w:rsid w:val="00A14E36"/>
    <w:rsid w:val="00A14F9E"/>
    <w:rsid w:val="00A151BE"/>
    <w:rsid w:val="00A1520E"/>
    <w:rsid w:val="00A1524D"/>
    <w:rsid w:val="00A155A3"/>
    <w:rsid w:val="00A1560C"/>
    <w:rsid w:val="00A157F6"/>
    <w:rsid w:val="00A15A68"/>
    <w:rsid w:val="00A15B64"/>
    <w:rsid w:val="00A15B93"/>
    <w:rsid w:val="00A15EBD"/>
    <w:rsid w:val="00A15EDA"/>
    <w:rsid w:val="00A16073"/>
    <w:rsid w:val="00A16086"/>
    <w:rsid w:val="00A163D8"/>
    <w:rsid w:val="00A16453"/>
    <w:rsid w:val="00A166DD"/>
    <w:rsid w:val="00A168AD"/>
    <w:rsid w:val="00A169F5"/>
    <w:rsid w:val="00A16A61"/>
    <w:rsid w:val="00A16AC6"/>
    <w:rsid w:val="00A16DCE"/>
    <w:rsid w:val="00A17303"/>
    <w:rsid w:val="00A17BDC"/>
    <w:rsid w:val="00A17DBF"/>
    <w:rsid w:val="00A17E76"/>
    <w:rsid w:val="00A17F4E"/>
    <w:rsid w:val="00A17F63"/>
    <w:rsid w:val="00A2049C"/>
    <w:rsid w:val="00A20641"/>
    <w:rsid w:val="00A20851"/>
    <w:rsid w:val="00A2094E"/>
    <w:rsid w:val="00A209FA"/>
    <w:rsid w:val="00A20B7B"/>
    <w:rsid w:val="00A2108A"/>
    <w:rsid w:val="00A2137A"/>
    <w:rsid w:val="00A21448"/>
    <w:rsid w:val="00A2158F"/>
    <w:rsid w:val="00A2159B"/>
    <w:rsid w:val="00A2159F"/>
    <w:rsid w:val="00A215FA"/>
    <w:rsid w:val="00A2193B"/>
    <w:rsid w:val="00A219F9"/>
    <w:rsid w:val="00A21A4F"/>
    <w:rsid w:val="00A21E75"/>
    <w:rsid w:val="00A22140"/>
    <w:rsid w:val="00A22335"/>
    <w:rsid w:val="00A22737"/>
    <w:rsid w:val="00A22901"/>
    <w:rsid w:val="00A23369"/>
    <w:rsid w:val="00A2351A"/>
    <w:rsid w:val="00A23569"/>
    <w:rsid w:val="00A23894"/>
    <w:rsid w:val="00A23BE7"/>
    <w:rsid w:val="00A23F4F"/>
    <w:rsid w:val="00A24206"/>
    <w:rsid w:val="00A244BE"/>
    <w:rsid w:val="00A24669"/>
    <w:rsid w:val="00A24ABB"/>
    <w:rsid w:val="00A24AF9"/>
    <w:rsid w:val="00A24BE3"/>
    <w:rsid w:val="00A24C97"/>
    <w:rsid w:val="00A24CA0"/>
    <w:rsid w:val="00A24DCD"/>
    <w:rsid w:val="00A24F78"/>
    <w:rsid w:val="00A250FF"/>
    <w:rsid w:val="00A25155"/>
    <w:rsid w:val="00A25188"/>
    <w:rsid w:val="00A2519D"/>
    <w:rsid w:val="00A25206"/>
    <w:rsid w:val="00A25381"/>
    <w:rsid w:val="00A253B4"/>
    <w:rsid w:val="00A255DD"/>
    <w:rsid w:val="00A25A0C"/>
    <w:rsid w:val="00A25B78"/>
    <w:rsid w:val="00A25C43"/>
    <w:rsid w:val="00A25D4C"/>
    <w:rsid w:val="00A2603D"/>
    <w:rsid w:val="00A264A9"/>
    <w:rsid w:val="00A26521"/>
    <w:rsid w:val="00A26552"/>
    <w:rsid w:val="00A26727"/>
    <w:rsid w:val="00A26763"/>
    <w:rsid w:val="00A26783"/>
    <w:rsid w:val="00A2690F"/>
    <w:rsid w:val="00A26928"/>
    <w:rsid w:val="00A2694E"/>
    <w:rsid w:val="00A26956"/>
    <w:rsid w:val="00A26A54"/>
    <w:rsid w:val="00A26B79"/>
    <w:rsid w:val="00A26C69"/>
    <w:rsid w:val="00A26D01"/>
    <w:rsid w:val="00A26DBC"/>
    <w:rsid w:val="00A26DCF"/>
    <w:rsid w:val="00A270E0"/>
    <w:rsid w:val="00A271B8"/>
    <w:rsid w:val="00A27785"/>
    <w:rsid w:val="00A27E35"/>
    <w:rsid w:val="00A27F31"/>
    <w:rsid w:val="00A27F7C"/>
    <w:rsid w:val="00A30017"/>
    <w:rsid w:val="00A300E0"/>
    <w:rsid w:val="00A30187"/>
    <w:rsid w:val="00A302AD"/>
    <w:rsid w:val="00A3073D"/>
    <w:rsid w:val="00A307FD"/>
    <w:rsid w:val="00A30886"/>
    <w:rsid w:val="00A30947"/>
    <w:rsid w:val="00A30EF7"/>
    <w:rsid w:val="00A30F5A"/>
    <w:rsid w:val="00A31097"/>
    <w:rsid w:val="00A312AB"/>
    <w:rsid w:val="00A313BD"/>
    <w:rsid w:val="00A317E4"/>
    <w:rsid w:val="00A31C43"/>
    <w:rsid w:val="00A320FC"/>
    <w:rsid w:val="00A32156"/>
    <w:rsid w:val="00A3259D"/>
    <w:rsid w:val="00A32915"/>
    <w:rsid w:val="00A33113"/>
    <w:rsid w:val="00A331C8"/>
    <w:rsid w:val="00A336D2"/>
    <w:rsid w:val="00A33772"/>
    <w:rsid w:val="00A33D39"/>
    <w:rsid w:val="00A33D77"/>
    <w:rsid w:val="00A33DC5"/>
    <w:rsid w:val="00A341CD"/>
    <w:rsid w:val="00A34216"/>
    <w:rsid w:val="00A3421D"/>
    <w:rsid w:val="00A3448A"/>
    <w:rsid w:val="00A34751"/>
    <w:rsid w:val="00A349D3"/>
    <w:rsid w:val="00A34A41"/>
    <w:rsid w:val="00A34A5D"/>
    <w:rsid w:val="00A34B46"/>
    <w:rsid w:val="00A34E9C"/>
    <w:rsid w:val="00A34EB9"/>
    <w:rsid w:val="00A34F3E"/>
    <w:rsid w:val="00A34F61"/>
    <w:rsid w:val="00A34F99"/>
    <w:rsid w:val="00A351B5"/>
    <w:rsid w:val="00A3520B"/>
    <w:rsid w:val="00A35235"/>
    <w:rsid w:val="00A352EB"/>
    <w:rsid w:val="00A35462"/>
    <w:rsid w:val="00A355C5"/>
    <w:rsid w:val="00A359E4"/>
    <w:rsid w:val="00A35A9C"/>
    <w:rsid w:val="00A35B31"/>
    <w:rsid w:val="00A361C8"/>
    <w:rsid w:val="00A36297"/>
    <w:rsid w:val="00A362D9"/>
    <w:rsid w:val="00A36368"/>
    <w:rsid w:val="00A3638F"/>
    <w:rsid w:val="00A36A7B"/>
    <w:rsid w:val="00A36D49"/>
    <w:rsid w:val="00A36D7F"/>
    <w:rsid w:val="00A36DD6"/>
    <w:rsid w:val="00A36DE3"/>
    <w:rsid w:val="00A36E5A"/>
    <w:rsid w:val="00A36FC5"/>
    <w:rsid w:val="00A371E7"/>
    <w:rsid w:val="00A373AA"/>
    <w:rsid w:val="00A376FA"/>
    <w:rsid w:val="00A37C46"/>
    <w:rsid w:val="00A37DBB"/>
    <w:rsid w:val="00A37EE7"/>
    <w:rsid w:val="00A37FE2"/>
    <w:rsid w:val="00A400F8"/>
    <w:rsid w:val="00A4028A"/>
    <w:rsid w:val="00A4031D"/>
    <w:rsid w:val="00A40C90"/>
    <w:rsid w:val="00A40CB1"/>
    <w:rsid w:val="00A40CB3"/>
    <w:rsid w:val="00A40D37"/>
    <w:rsid w:val="00A40DEA"/>
    <w:rsid w:val="00A41270"/>
    <w:rsid w:val="00A413AC"/>
    <w:rsid w:val="00A4173D"/>
    <w:rsid w:val="00A4187F"/>
    <w:rsid w:val="00A4190B"/>
    <w:rsid w:val="00A419AC"/>
    <w:rsid w:val="00A419CF"/>
    <w:rsid w:val="00A41E09"/>
    <w:rsid w:val="00A41E2B"/>
    <w:rsid w:val="00A41FC6"/>
    <w:rsid w:val="00A4248E"/>
    <w:rsid w:val="00A425E2"/>
    <w:rsid w:val="00A425FB"/>
    <w:rsid w:val="00A42718"/>
    <w:rsid w:val="00A42B6C"/>
    <w:rsid w:val="00A42F7E"/>
    <w:rsid w:val="00A42FB2"/>
    <w:rsid w:val="00A434C1"/>
    <w:rsid w:val="00A435AF"/>
    <w:rsid w:val="00A43611"/>
    <w:rsid w:val="00A43668"/>
    <w:rsid w:val="00A438AF"/>
    <w:rsid w:val="00A439B0"/>
    <w:rsid w:val="00A43A13"/>
    <w:rsid w:val="00A43C60"/>
    <w:rsid w:val="00A43CB3"/>
    <w:rsid w:val="00A44143"/>
    <w:rsid w:val="00A44158"/>
    <w:rsid w:val="00A44424"/>
    <w:rsid w:val="00A4449F"/>
    <w:rsid w:val="00A4494E"/>
    <w:rsid w:val="00A44B78"/>
    <w:rsid w:val="00A44BAB"/>
    <w:rsid w:val="00A44EF8"/>
    <w:rsid w:val="00A453A3"/>
    <w:rsid w:val="00A457F8"/>
    <w:rsid w:val="00A45898"/>
    <w:rsid w:val="00A45B74"/>
    <w:rsid w:val="00A45DF9"/>
    <w:rsid w:val="00A45E8A"/>
    <w:rsid w:val="00A46374"/>
    <w:rsid w:val="00A46658"/>
    <w:rsid w:val="00A4686D"/>
    <w:rsid w:val="00A468DE"/>
    <w:rsid w:val="00A46992"/>
    <w:rsid w:val="00A469DB"/>
    <w:rsid w:val="00A46A1A"/>
    <w:rsid w:val="00A46F37"/>
    <w:rsid w:val="00A471A9"/>
    <w:rsid w:val="00A471DB"/>
    <w:rsid w:val="00A47388"/>
    <w:rsid w:val="00A473E0"/>
    <w:rsid w:val="00A476E6"/>
    <w:rsid w:val="00A478D1"/>
    <w:rsid w:val="00A47AE2"/>
    <w:rsid w:val="00A47CC2"/>
    <w:rsid w:val="00A47D4E"/>
    <w:rsid w:val="00A47DEF"/>
    <w:rsid w:val="00A50245"/>
    <w:rsid w:val="00A50265"/>
    <w:rsid w:val="00A50A6D"/>
    <w:rsid w:val="00A514DB"/>
    <w:rsid w:val="00A5163A"/>
    <w:rsid w:val="00A51A7A"/>
    <w:rsid w:val="00A51BFF"/>
    <w:rsid w:val="00A51D6C"/>
    <w:rsid w:val="00A51DDD"/>
    <w:rsid w:val="00A520BE"/>
    <w:rsid w:val="00A52181"/>
    <w:rsid w:val="00A521BC"/>
    <w:rsid w:val="00A5222F"/>
    <w:rsid w:val="00A5242F"/>
    <w:rsid w:val="00A52509"/>
    <w:rsid w:val="00A52669"/>
    <w:rsid w:val="00A52752"/>
    <w:rsid w:val="00A5293B"/>
    <w:rsid w:val="00A52AAE"/>
    <w:rsid w:val="00A52AF3"/>
    <w:rsid w:val="00A52C1A"/>
    <w:rsid w:val="00A52E1D"/>
    <w:rsid w:val="00A52FAD"/>
    <w:rsid w:val="00A5320E"/>
    <w:rsid w:val="00A5329F"/>
    <w:rsid w:val="00A532E1"/>
    <w:rsid w:val="00A5335D"/>
    <w:rsid w:val="00A533F7"/>
    <w:rsid w:val="00A5357E"/>
    <w:rsid w:val="00A539A5"/>
    <w:rsid w:val="00A53C5D"/>
    <w:rsid w:val="00A53FB5"/>
    <w:rsid w:val="00A543C2"/>
    <w:rsid w:val="00A5470A"/>
    <w:rsid w:val="00A54753"/>
    <w:rsid w:val="00A5488E"/>
    <w:rsid w:val="00A549EF"/>
    <w:rsid w:val="00A54AD1"/>
    <w:rsid w:val="00A54C4B"/>
    <w:rsid w:val="00A54D74"/>
    <w:rsid w:val="00A54E28"/>
    <w:rsid w:val="00A551A1"/>
    <w:rsid w:val="00A551FB"/>
    <w:rsid w:val="00A555DF"/>
    <w:rsid w:val="00A55804"/>
    <w:rsid w:val="00A5582B"/>
    <w:rsid w:val="00A55929"/>
    <w:rsid w:val="00A559BA"/>
    <w:rsid w:val="00A55CA1"/>
    <w:rsid w:val="00A56015"/>
    <w:rsid w:val="00A5603B"/>
    <w:rsid w:val="00A560B1"/>
    <w:rsid w:val="00A56169"/>
    <w:rsid w:val="00A56810"/>
    <w:rsid w:val="00A568D0"/>
    <w:rsid w:val="00A569C6"/>
    <w:rsid w:val="00A56EEE"/>
    <w:rsid w:val="00A5709D"/>
    <w:rsid w:val="00A57435"/>
    <w:rsid w:val="00A57801"/>
    <w:rsid w:val="00A57921"/>
    <w:rsid w:val="00A57968"/>
    <w:rsid w:val="00A600C8"/>
    <w:rsid w:val="00A60148"/>
    <w:rsid w:val="00A601C6"/>
    <w:rsid w:val="00A60AAD"/>
    <w:rsid w:val="00A60DB8"/>
    <w:rsid w:val="00A60E5B"/>
    <w:rsid w:val="00A60F1D"/>
    <w:rsid w:val="00A60F49"/>
    <w:rsid w:val="00A61245"/>
    <w:rsid w:val="00A612C8"/>
    <w:rsid w:val="00A61444"/>
    <w:rsid w:val="00A61499"/>
    <w:rsid w:val="00A6183D"/>
    <w:rsid w:val="00A6189E"/>
    <w:rsid w:val="00A618A9"/>
    <w:rsid w:val="00A619AD"/>
    <w:rsid w:val="00A61C6E"/>
    <w:rsid w:val="00A61CC7"/>
    <w:rsid w:val="00A61DDC"/>
    <w:rsid w:val="00A61DFF"/>
    <w:rsid w:val="00A61FFF"/>
    <w:rsid w:val="00A6213B"/>
    <w:rsid w:val="00A62656"/>
    <w:rsid w:val="00A62870"/>
    <w:rsid w:val="00A62A77"/>
    <w:rsid w:val="00A62DEF"/>
    <w:rsid w:val="00A631C3"/>
    <w:rsid w:val="00A63483"/>
    <w:rsid w:val="00A63A8D"/>
    <w:rsid w:val="00A63D3F"/>
    <w:rsid w:val="00A63D84"/>
    <w:rsid w:val="00A640DA"/>
    <w:rsid w:val="00A6412E"/>
    <w:rsid w:val="00A64208"/>
    <w:rsid w:val="00A64305"/>
    <w:rsid w:val="00A643B0"/>
    <w:rsid w:val="00A644F5"/>
    <w:rsid w:val="00A64789"/>
    <w:rsid w:val="00A64A5B"/>
    <w:rsid w:val="00A64F3F"/>
    <w:rsid w:val="00A65219"/>
    <w:rsid w:val="00A6539C"/>
    <w:rsid w:val="00A65508"/>
    <w:rsid w:val="00A657D7"/>
    <w:rsid w:val="00A6589A"/>
    <w:rsid w:val="00A65ABA"/>
    <w:rsid w:val="00A65C97"/>
    <w:rsid w:val="00A6603C"/>
    <w:rsid w:val="00A660AC"/>
    <w:rsid w:val="00A6620F"/>
    <w:rsid w:val="00A6684B"/>
    <w:rsid w:val="00A66A1C"/>
    <w:rsid w:val="00A66BC7"/>
    <w:rsid w:val="00A670D6"/>
    <w:rsid w:val="00A67121"/>
    <w:rsid w:val="00A6716C"/>
    <w:rsid w:val="00A671B9"/>
    <w:rsid w:val="00A67302"/>
    <w:rsid w:val="00A67A44"/>
    <w:rsid w:val="00A67A81"/>
    <w:rsid w:val="00A67E6C"/>
    <w:rsid w:val="00A700E9"/>
    <w:rsid w:val="00A70231"/>
    <w:rsid w:val="00A7046F"/>
    <w:rsid w:val="00A70708"/>
    <w:rsid w:val="00A7083E"/>
    <w:rsid w:val="00A709B7"/>
    <w:rsid w:val="00A70A8F"/>
    <w:rsid w:val="00A70C26"/>
    <w:rsid w:val="00A70C50"/>
    <w:rsid w:val="00A70D70"/>
    <w:rsid w:val="00A70E08"/>
    <w:rsid w:val="00A711B2"/>
    <w:rsid w:val="00A7155F"/>
    <w:rsid w:val="00A7163D"/>
    <w:rsid w:val="00A7172A"/>
    <w:rsid w:val="00A7199E"/>
    <w:rsid w:val="00A71AB6"/>
    <w:rsid w:val="00A71B99"/>
    <w:rsid w:val="00A71D1F"/>
    <w:rsid w:val="00A71FC8"/>
    <w:rsid w:val="00A720BC"/>
    <w:rsid w:val="00A721B0"/>
    <w:rsid w:val="00A724E4"/>
    <w:rsid w:val="00A72545"/>
    <w:rsid w:val="00A72899"/>
    <w:rsid w:val="00A72A74"/>
    <w:rsid w:val="00A72CC8"/>
    <w:rsid w:val="00A72CD7"/>
    <w:rsid w:val="00A72E08"/>
    <w:rsid w:val="00A72EA1"/>
    <w:rsid w:val="00A72F0C"/>
    <w:rsid w:val="00A72F21"/>
    <w:rsid w:val="00A7311C"/>
    <w:rsid w:val="00A73142"/>
    <w:rsid w:val="00A731A8"/>
    <w:rsid w:val="00A7336F"/>
    <w:rsid w:val="00A7349C"/>
    <w:rsid w:val="00A73793"/>
    <w:rsid w:val="00A738F5"/>
    <w:rsid w:val="00A739D0"/>
    <w:rsid w:val="00A739F3"/>
    <w:rsid w:val="00A73A1E"/>
    <w:rsid w:val="00A73D44"/>
    <w:rsid w:val="00A73E19"/>
    <w:rsid w:val="00A73FF8"/>
    <w:rsid w:val="00A741D1"/>
    <w:rsid w:val="00A744D7"/>
    <w:rsid w:val="00A748D4"/>
    <w:rsid w:val="00A74946"/>
    <w:rsid w:val="00A74BB9"/>
    <w:rsid w:val="00A74CA4"/>
    <w:rsid w:val="00A7541A"/>
    <w:rsid w:val="00A75842"/>
    <w:rsid w:val="00A75AE9"/>
    <w:rsid w:val="00A75C7F"/>
    <w:rsid w:val="00A75CF0"/>
    <w:rsid w:val="00A75D87"/>
    <w:rsid w:val="00A75F80"/>
    <w:rsid w:val="00A761C7"/>
    <w:rsid w:val="00A761D4"/>
    <w:rsid w:val="00A76607"/>
    <w:rsid w:val="00A7667C"/>
    <w:rsid w:val="00A7670B"/>
    <w:rsid w:val="00A7672F"/>
    <w:rsid w:val="00A76834"/>
    <w:rsid w:val="00A76ADB"/>
    <w:rsid w:val="00A76EA9"/>
    <w:rsid w:val="00A76F08"/>
    <w:rsid w:val="00A77096"/>
    <w:rsid w:val="00A77268"/>
    <w:rsid w:val="00A77A44"/>
    <w:rsid w:val="00A77EC4"/>
    <w:rsid w:val="00A80115"/>
    <w:rsid w:val="00A8021F"/>
    <w:rsid w:val="00A8022A"/>
    <w:rsid w:val="00A8029F"/>
    <w:rsid w:val="00A808AE"/>
    <w:rsid w:val="00A809D5"/>
    <w:rsid w:val="00A80A11"/>
    <w:rsid w:val="00A80EE4"/>
    <w:rsid w:val="00A80F2E"/>
    <w:rsid w:val="00A8126B"/>
    <w:rsid w:val="00A8139E"/>
    <w:rsid w:val="00A81566"/>
    <w:rsid w:val="00A8174D"/>
    <w:rsid w:val="00A8183B"/>
    <w:rsid w:val="00A8187E"/>
    <w:rsid w:val="00A819A0"/>
    <w:rsid w:val="00A81D60"/>
    <w:rsid w:val="00A81ED5"/>
    <w:rsid w:val="00A81FC7"/>
    <w:rsid w:val="00A820F1"/>
    <w:rsid w:val="00A822E2"/>
    <w:rsid w:val="00A82535"/>
    <w:rsid w:val="00A82602"/>
    <w:rsid w:val="00A826DC"/>
    <w:rsid w:val="00A82B3B"/>
    <w:rsid w:val="00A82C7E"/>
    <w:rsid w:val="00A82E22"/>
    <w:rsid w:val="00A8324E"/>
    <w:rsid w:val="00A838F0"/>
    <w:rsid w:val="00A83904"/>
    <w:rsid w:val="00A83925"/>
    <w:rsid w:val="00A8397F"/>
    <w:rsid w:val="00A83B2A"/>
    <w:rsid w:val="00A83D49"/>
    <w:rsid w:val="00A83D8B"/>
    <w:rsid w:val="00A83E3F"/>
    <w:rsid w:val="00A8409C"/>
    <w:rsid w:val="00A844FA"/>
    <w:rsid w:val="00A84A03"/>
    <w:rsid w:val="00A84D10"/>
    <w:rsid w:val="00A84D32"/>
    <w:rsid w:val="00A85E4F"/>
    <w:rsid w:val="00A85EBE"/>
    <w:rsid w:val="00A860C0"/>
    <w:rsid w:val="00A86337"/>
    <w:rsid w:val="00A86605"/>
    <w:rsid w:val="00A86869"/>
    <w:rsid w:val="00A86C2F"/>
    <w:rsid w:val="00A86E0C"/>
    <w:rsid w:val="00A87168"/>
    <w:rsid w:val="00A87281"/>
    <w:rsid w:val="00A8735F"/>
    <w:rsid w:val="00A8738B"/>
    <w:rsid w:val="00A873C5"/>
    <w:rsid w:val="00A877EC"/>
    <w:rsid w:val="00A878D4"/>
    <w:rsid w:val="00A87DF6"/>
    <w:rsid w:val="00A87E1E"/>
    <w:rsid w:val="00A87E81"/>
    <w:rsid w:val="00A87EA0"/>
    <w:rsid w:val="00A90197"/>
    <w:rsid w:val="00A902CB"/>
    <w:rsid w:val="00A904D1"/>
    <w:rsid w:val="00A90CF6"/>
    <w:rsid w:val="00A91067"/>
    <w:rsid w:val="00A910AD"/>
    <w:rsid w:val="00A9152E"/>
    <w:rsid w:val="00A915E9"/>
    <w:rsid w:val="00A9163A"/>
    <w:rsid w:val="00A91B31"/>
    <w:rsid w:val="00A91DEE"/>
    <w:rsid w:val="00A91E87"/>
    <w:rsid w:val="00A9267D"/>
    <w:rsid w:val="00A926D4"/>
    <w:rsid w:val="00A92773"/>
    <w:rsid w:val="00A92879"/>
    <w:rsid w:val="00A9295D"/>
    <w:rsid w:val="00A92A2B"/>
    <w:rsid w:val="00A92D79"/>
    <w:rsid w:val="00A92E97"/>
    <w:rsid w:val="00A93031"/>
    <w:rsid w:val="00A9314F"/>
    <w:rsid w:val="00A93343"/>
    <w:rsid w:val="00A93483"/>
    <w:rsid w:val="00A93594"/>
    <w:rsid w:val="00A9382F"/>
    <w:rsid w:val="00A93A59"/>
    <w:rsid w:val="00A93AE5"/>
    <w:rsid w:val="00A93B8F"/>
    <w:rsid w:val="00A93C6C"/>
    <w:rsid w:val="00A93EC0"/>
    <w:rsid w:val="00A940C4"/>
    <w:rsid w:val="00A940D2"/>
    <w:rsid w:val="00A94277"/>
    <w:rsid w:val="00A9442A"/>
    <w:rsid w:val="00A944BC"/>
    <w:rsid w:val="00A944EF"/>
    <w:rsid w:val="00A944FF"/>
    <w:rsid w:val="00A94793"/>
    <w:rsid w:val="00A9490A"/>
    <w:rsid w:val="00A94D46"/>
    <w:rsid w:val="00A9539E"/>
    <w:rsid w:val="00A95455"/>
    <w:rsid w:val="00A954C0"/>
    <w:rsid w:val="00A9557D"/>
    <w:rsid w:val="00A95627"/>
    <w:rsid w:val="00A956C6"/>
    <w:rsid w:val="00A957C0"/>
    <w:rsid w:val="00A95864"/>
    <w:rsid w:val="00A959CE"/>
    <w:rsid w:val="00A95B7D"/>
    <w:rsid w:val="00A95CEA"/>
    <w:rsid w:val="00A9660F"/>
    <w:rsid w:val="00A96694"/>
    <w:rsid w:val="00A96908"/>
    <w:rsid w:val="00A96B82"/>
    <w:rsid w:val="00A96DFF"/>
    <w:rsid w:val="00A97088"/>
    <w:rsid w:val="00A97208"/>
    <w:rsid w:val="00A9720F"/>
    <w:rsid w:val="00A97394"/>
    <w:rsid w:val="00A976AA"/>
    <w:rsid w:val="00A97992"/>
    <w:rsid w:val="00A97A87"/>
    <w:rsid w:val="00A97FCD"/>
    <w:rsid w:val="00AA016F"/>
    <w:rsid w:val="00AA03AC"/>
    <w:rsid w:val="00AA03F1"/>
    <w:rsid w:val="00AA066B"/>
    <w:rsid w:val="00AA06AD"/>
    <w:rsid w:val="00AA08D2"/>
    <w:rsid w:val="00AA0D2D"/>
    <w:rsid w:val="00AA128E"/>
    <w:rsid w:val="00AA12F4"/>
    <w:rsid w:val="00AA1777"/>
    <w:rsid w:val="00AA1B0D"/>
    <w:rsid w:val="00AA1B90"/>
    <w:rsid w:val="00AA1C75"/>
    <w:rsid w:val="00AA1C83"/>
    <w:rsid w:val="00AA1D2C"/>
    <w:rsid w:val="00AA1DDC"/>
    <w:rsid w:val="00AA1ED6"/>
    <w:rsid w:val="00AA20F1"/>
    <w:rsid w:val="00AA2267"/>
    <w:rsid w:val="00AA23A0"/>
    <w:rsid w:val="00AA23AF"/>
    <w:rsid w:val="00AA2894"/>
    <w:rsid w:val="00AA298F"/>
    <w:rsid w:val="00AA2A24"/>
    <w:rsid w:val="00AA30B3"/>
    <w:rsid w:val="00AA37E8"/>
    <w:rsid w:val="00AA3A50"/>
    <w:rsid w:val="00AA3C32"/>
    <w:rsid w:val="00AA3C82"/>
    <w:rsid w:val="00AA3CFA"/>
    <w:rsid w:val="00AA3D9A"/>
    <w:rsid w:val="00AA3E84"/>
    <w:rsid w:val="00AA3E89"/>
    <w:rsid w:val="00AA429D"/>
    <w:rsid w:val="00AA437E"/>
    <w:rsid w:val="00AA4497"/>
    <w:rsid w:val="00AA466C"/>
    <w:rsid w:val="00AA4954"/>
    <w:rsid w:val="00AA4A94"/>
    <w:rsid w:val="00AA4C1C"/>
    <w:rsid w:val="00AA4C65"/>
    <w:rsid w:val="00AA4ED9"/>
    <w:rsid w:val="00AA4F3E"/>
    <w:rsid w:val="00AA5076"/>
    <w:rsid w:val="00AA51D6"/>
    <w:rsid w:val="00AA52CD"/>
    <w:rsid w:val="00AA5578"/>
    <w:rsid w:val="00AA5707"/>
    <w:rsid w:val="00AA5E4E"/>
    <w:rsid w:val="00AA5ECB"/>
    <w:rsid w:val="00AA5F75"/>
    <w:rsid w:val="00AA627B"/>
    <w:rsid w:val="00AA644E"/>
    <w:rsid w:val="00AA647A"/>
    <w:rsid w:val="00AA67A4"/>
    <w:rsid w:val="00AA6859"/>
    <w:rsid w:val="00AA6CAC"/>
    <w:rsid w:val="00AA6F59"/>
    <w:rsid w:val="00AA7352"/>
    <w:rsid w:val="00AA75D5"/>
    <w:rsid w:val="00AA7749"/>
    <w:rsid w:val="00AA7768"/>
    <w:rsid w:val="00AA7806"/>
    <w:rsid w:val="00AA7849"/>
    <w:rsid w:val="00AA7ACE"/>
    <w:rsid w:val="00AA7CFB"/>
    <w:rsid w:val="00AA7E95"/>
    <w:rsid w:val="00AB00B3"/>
    <w:rsid w:val="00AB0379"/>
    <w:rsid w:val="00AB046A"/>
    <w:rsid w:val="00AB06F4"/>
    <w:rsid w:val="00AB0867"/>
    <w:rsid w:val="00AB09EC"/>
    <w:rsid w:val="00AB0A86"/>
    <w:rsid w:val="00AB0BC8"/>
    <w:rsid w:val="00AB0DCF"/>
    <w:rsid w:val="00AB11CA"/>
    <w:rsid w:val="00AB124E"/>
    <w:rsid w:val="00AB1322"/>
    <w:rsid w:val="00AB14D9"/>
    <w:rsid w:val="00AB1A0C"/>
    <w:rsid w:val="00AB1B15"/>
    <w:rsid w:val="00AB1B2C"/>
    <w:rsid w:val="00AB1B32"/>
    <w:rsid w:val="00AB2221"/>
    <w:rsid w:val="00AB247B"/>
    <w:rsid w:val="00AB267D"/>
    <w:rsid w:val="00AB28B2"/>
    <w:rsid w:val="00AB2947"/>
    <w:rsid w:val="00AB2D0A"/>
    <w:rsid w:val="00AB2E2D"/>
    <w:rsid w:val="00AB2EB6"/>
    <w:rsid w:val="00AB318E"/>
    <w:rsid w:val="00AB32D2"/>
    <w:rsid w:val="00AB33C1"/>
    <w:rsid w:val="00AB3986"/>
    <w:rsid w:val="00AB39D4"/>
    <w:rsid w:val="00AB3AB7"/>
    <w:rsid w:val="00AB3B66"/>
    <w:rsid w:val="00AB3D3A"/>
    <w:rsid w:val="00AB3FDE"/>
    <w:rsid w:val="00AB406A"/>
    <w:rsid w:val="00AB41A1"/>
    <w:rsid w:val="00AB431D"/>
    <w:rsid w:val="00AB489D"/>
    <w:rsid w:val="00AB4AB8"/>
    <w:rsid w:val="00AB4B65"/>
    <w:rsid w:val="00AB50C0"/>
    <w:rsid w:val="00AB5294"/>
    <w:rsid w:val="00AB533F"/>
    <w:rsid w:val="00AB53D0"/>
    <w:rsid w:val="00AB55BA"/>
    <w:rsid w:val="00AB563D"/>
    <w:rsid w:val="00AB56AC"/>
    <w:rsid w:val="00AB594E"/>
    <w:rsid w:val="00AB5952"/>
    <w:rsid w:val="00AB5A3C"/>
    <w:rsid w:val="00AB5AA6"/>
    <w:rsid w:val="00AB5EA2"/>
    <w:rsid w:val="00AB5FC0"/>
    <w:rsid w:val="00AB618B"/>
    <w:rsid w:val="00AB63AE"/>
    <w:rsid w:val="00AB655E"/>
    <w:rsid w:val="00AB69D9"/>
    <w:rsid w:val="00AB70DE"/>
    <w:rsid w:val="00AB7209"/>
    <w:rsid w:val="00AB7303"/>
    <w:rsid w:val="00AB7444"/>
    <w:rsid w:val="00AB78FF"/>
    <w:rsid w:val="00AB7DD4"/>
    <w:rsid w:val="00AB7E92"/>
    <w:rsid w:val="00AC007F"/>
    <w:rsid w:val="00AC05F8"/>
    <w:rsid w:val="00AC0616"/>
    <w:rsid w:val="00AC0772"/>
    <w:rsid w:val="00AC079D"/>
    <w:rsid w:val="00AC0E19"/>
    <w:rsid w:val="00AC0E37"/>
    <w:rsid w:val="00AC0EF4"/>
    <w:rsid w:val="00AC0F07"/>
    <w:rsid w:val="00AC1134"/>
    <w:rsid w:val="00AC11C3"/>
    <w:rsid w:val="00AC139A"/>
    <w:rsid w:val="00AC154B"/>
    <w:rsid w:val="00AC15BF"/>
    <w:rsid w:val="00AC1835"/>
    <w:rsid w:val="00AC19E5"/>
    <w:rsid w:val="00AC1A72"/>
    <w:rsid w:val="00AC1AEA"/>
    <w:rsid w:val="00AC1B2A"/>
    <w:rsid w:val="00AC1D7F"/>
    <w:rsid w:val="00AC1DA6"/>
    <w:rsid w:val="00AC25FC"/>
    <w:rsid w:val="00AC2742"/>
    <w:rsid w:val="00AC294C"/>
    <w:rsid w:val="00AC2B61"/>
    <w:rsid w:val="00AC2ECD"/>
    <w:rsid w:val="00AC3037"/>
    <w:rsid w:val="00AC3067"/>
    <w:rsid w:val="00AC3119"/>
    <w:rsid w:val="00AC31AA"/>
    <w:rsid w:val="00AC3696"/>
    <w:rsid w:val="00AC36EC"/>
    <w:rsid w:val="00AC3F2B"/>
    <w:rsid w:val="00AC3FB4"/>
    <w:rsid w:val="00AC3FD0"/>
    <w:rsid w:val="00AC4359"/>
    <w:rsid w:val="00AC445A"/>
    <w:rsid w:val="00AC47A7"/>
    <w:rsid w:val="00AC49FB"/>
    <w:rsid w:val="00AC4B5D"/>
    <w:rsid w:val="00AC5041"/>
    <w:rsid w:val="00AC515D"/>
    <w:rsid w:val="00AC51E4"/>
    <w:rsid w:val="00AC524F"/>
    <w:rsid w:val="00AC5306"/>
    <w:rsid w:val="00AC5470"/>
    <w:rsid w:val="00AC54B8"/>
    <w:rsid w:val="00AC5898"/>
    <w:rsid w:val="00AC5A10"/>
    <w:rsid w:val="00AC5B2C"/>
    <w:rsid w:val="00AC5ED2"/>
    <w:rsid w:val="00AC5FF9"/>
    <w:rsid w:val="00AC61C5"/>
    <w:rsid w:val="00AC6714"/>
    <w:rsid w:val="00AC69D4"/>
    <w:rsid w:val="00AC6BA2"/>
    <w:rsid w:val="00AC6DFE"/>
    <w:rsid w:val="00AC706A"/>
    <w:rsid w:val="00AC7162"/>
    <w:rsid w:val="00AC7589"/>
    <w:rsid w:val="00AC7632"/>
    <w:rsid w:val="00AC794A"/>
    <w:rsid w:val="00AC7AF6"/>
    <w:rsid w:val="00AC7BD9"/>
    <w:rsid w:val="00AC7E9E"/>
    <w:rsid w:val="00AC7EB8"/>
    <w:rsid w:val="00AC7F97"/>
    <w:rsid w:val="00AC7FD1"/>
    <w:rsid w:val="00AC7FE3"/>
    <w:rsid w:val="00AD011B"/>
    <w:rsid w:val="00AD037B"/>
    <w:rsid w:val="00AD038C"/>
    <w:rsid w:val="00AD040C"/>
    <w:rsid w:val="00AD044A"/>
    <w:rsid w:val="00AD0673"/>
    <w:rsid w:val="00AD08D7"/>
    <w:rsid w:val="00AD0AA3"/>
    <w:rsid w:val="00AD0B68"/>
    <w:rsid w:val="00AD0C17"/>
    <w:rsid w:val="00AD1389"/>
    <w:rsid w:val="00AD171E"/>
    <w:rsid w:val="00AD17E8"/>
    <w:rsid w:val="00AD1830"/>
    <w:rsid w:val="00AD1F08"/>
    <w:rsid w:val="00AD233B"/>
    <w:rsid w:val="00AD2444"/>
    <w:rsid w:val="00AD25FE"/>
    <w:rsid w:val="00AD2B7B"/>
    <w:rsid w:val="00AD2D93"/>
    <w:rsid w:val="00AD2ED0"/>
    <w:rsid w:val="00AD303D"/>
    <w:rsid w:val="00AD3239"/>
    <w:rsid w:val="00AD33E3"/>
    <w:rsid w:val="00AD397E"/>
    <w:rsid w:val="00AD3F94"/>
    <w:rsid w:val="00AD44E5"/>
    <w:rsid w:val="00AD4600"/>
    <w:rsid w:val="00AD4727"/>
    <w:rsid w:val="00AD47BC"/>
    <w:rsid w:val="00AD4A5A"/>
    <w:rsid w:val="00AD4ABC"/>
    <w:rsid w:val="00AD4CD4"/>
    <w:rsid w:val="00AD4E01"/>
    <w:rsid w:val="00AD4E6D"/>
    <w:rsid w:val="00AD4F13"/>
    <w:rsid w:val="00AD513E"/>
    <w:rsid w:val="00AD52C2"/>
    <w:rsid w:val="00AD561E"/>
    <w:rsid w:val="00AD5652"/>
    <w:rsid w:val="00AD56C0"/>
    <w:rsid w:val="00AD56E2"/>
    <w:rsid w:val="00AD57B7"/>
    <w:rsid w:val="00AD580A"/>
    <w:rsid w:val="00AD586A"/>
    <w:rsid w:val="00AD59C6"/>
    <w:rsid w:val="00AD59E4"/>
    <w:rsid w:val="00AD5B7A"/>
    <w:rsid w:val="00AD5D39"/>
    <w:rsid w:val="00AD5E40"/>
    <w:rsid w:val="00AD5FA6"/>
    <w:rsid w:val="00AD5FBA"/>
    <w:rsid w:val="00AD6258"/>
    <w:rsid w:val="00AD6378"/>
    <w:rsid w:val="00AD658C"/>
    <w:rsid w:val="00AD663D"/>
    <w:rsid w:val="00AD66FD"/>
    <w:rsid w:val="00AD67B3"/>
    <w:rsid w:val="00AD6D72"/>
    <w:rsid w:val="00AD6E0B"/>
    <w:rsid w:val="00AD6E1E"/>
    <w:rsid w:val="00AD6F0F"/>
    <w:rsid w:val="00AD71D9"/>
    <w:rsid w:val="00AD746A"/>
    <w:rsid w:val="00AD7858"/>
    <w:rsid w:val="00AD78D8"/>
    <w:rsid w:val="00AD79C4"/>
    <w:rsid w:val="00AD7A78"/>
    <w:rsid w:val="00AD7B06"/>
    <w:rsid w:val="00AD7B78"/>
    <w:rsid w:val="00AD7E0A"/>
    <w:rsid w:val="00AD7F42"/>
    <w:rsid w:val="00AE0323"/>
    <w:rsid w:val="00AE0393"/>
    <w:rsid w:val="00AE09A3"/>
    <w:rsid w:val="00AE09D1"/>
    <w:rsid w:val="00AE0BA5"/>
    <w:rsid w:val="00AE0BDA"/>
    <w:rsid w:val="00AE0E72"/>
    <w:rsid w:val="00AE1158"/>
    <w:rsid w:val="00AE12B4"/>
    <w:rsid w:val="00AE12FB"/>
    <w:rsid w:val="00AE13B6"/>
    <w:rsid w:val="00AE1501"/>
    <w:rsid w:val="00AE1A94"/>
    <w:rsid w:val="00AE1FB6"/>
    <w:rsid w:val="00AE20CB"/>
    <w:rsid w:val="00AE21EA"/>
    <w:rsid w:val="00AE22C4"/>
    <w:rsid w:val="00AE22E5"/>
    <w:rsid w:val="00AE2403"/>
    <w:rsid w:val="00AE25C5"/>
    <w:rsid w:val="00AE2605"/>
    <w:rsid w:val="00AE2761"/>
    <w:rsid w:val="00AE27AC"/>
    <w:rsid w:val="00AE29CF"/>
    <w:rsid w:val="00AE2D02"/>
    <w:rsid w:val="00AE3135"/>
    <w:rsid w:val="00AE3299"/>
    <w:rsid w:val="00AE3434"/>
    <w:rsid w:val="00AE361F"/>
    <w:rsid w:val="00AE36FF"/>
    <w:rsid w:val="00AE3877"/>
    <w:rsid w:val="00AE38BC"/>
    <w:rsid w:val="00AE3A6C"/>
    <w:rsid w:val="00AE40E0"/>
    <w:rsid w:val="00AE432C"/>
    <w:rsid w:val="00AE45DD"/>
    <w:rsid w:val="00AE49A8"/>
    <w:rsid w:val="00AE49AF"/>
    <w:rsid w:val="00AE4DBA"/>
    <w:rsid w:val="00AE4F07"/>
    <w:rsid w:val="00AE5136"/>
    <w:rsid w:val="00AE5A5A"/>
    <w:rsid w:val="00AE5F6B"/>
    <w:rsid w:val="00AE5FF6"/>
    <w:rsid w:val="00AE6114"/>
    <w:rsid w:val="00AE617C"/>
    <w:rsid w:val="00AE6366"/>
    <w:rsid w:val="00AE63B0"/>
    <w:rsid w:val="00AE63E3"/>
    <w:rsid w:val="00AE653C"/>
    <w:rsid w:val="00AE660A"/>
    <w:rsid w:val="00AE662A"/>
    <w:rsid w:val="00AE6740"/>
    <w:rsid w:val="00AE691B"/>
    <w:rsid w:val="00AE6A1F"/>
    <w:rsid w:val="00AE6A8B"/>
    <w:rsid w:val="00AE6B4F"/>
    <w:rsid w:val="00AE6C47"/>
    <w:rsid w:val="00AE6D03"/>
    <w:rsid w:val="00AE6E31"/>
    <w:rsid w:val="00AE6E85"/>
    <w:rsid w:val="00AE7043"/>
    <w:rsid w:val="00AE73A2"/>
    <w:rsid w:val="00AE73A4"/>
    <w:rsid w:val="00AE73E0"/>
    <w:rsid w:val="00AE743F"/>
    <w:rsid w:val="00AE748A"/>
    <w:rsid w:val="00AE7A16"/>
    <w:rsid w:val="00AE7A2F"/>
    <w:rsid w:val="00AE7ABF"/>
    <w:rsid w:val="00AE7B75"/>
    <w:rsid w:val="00AE7CD8"/>
    <w:rsid w:val="00AE7D89"/>
    <w:rsid w:val="00AE7E58"/>
    <w:rsid w:val="00AF007B"/>
    <w:rsid w:val="00AF0266"/>
    <w:rsid w:val="00AF02C8"/>
    <w:rsid w:val="00AF05BB"/>
    <w:rsid w:val="00AF0737"/>
    <w:rsid w:val="00AF081D"/>
    <w:rsid w:val="00AF0AD8"/>
    <w:rsid w:val="00AF0C4C"/>
    <w:rsid w:val="00AF0F9A"/>
    <w:rsid w:val="00AF108D"/>
    <w:rsid w:val="00AF1165"/>
    <w:rsid w:val="00AF136D"/>
    <w:rsid w:val="00AF17A0"/>
    <w:rsid w:val="00AF187F"/>
    <w:rsid w:val="00AF1937"/>
    <w:rsid w:val="00AF1A79"/>
    <w:rsid w:val="00AF1C5D"/>
    <w:rsid w:val="00AF1EF1"/>
    <w:rsid w:val="00AF1F6E"/>
    <w:rsid w:val="00AF2307"/>
    <w:rsid w:val="00AF2637"/>
    <w:rsid w:val="00AF2684"/>
    <w:rsid w:val="00AF272D"/>
    <w:rsid w:val="00AF2801"/>
    <w:rsid w:val="00AF293F"/>
    <w:rsid w:val="00AF2A2C"/>
    <w:rsid w:val="00AF2D73"/>
    <w:rsid w:val="00AF2DC1"/>
    <w:rsid w:val="00AF2F33"/>
    <w:rsid w:val="00AF3274"/>
    <w:rsid w:val="00AF3341"/>
    <w:rsid w:val="00AF386F"/>
    <w:rsid w:val="00AF3938"/>
    <w:rsid w:val="00AF3AC5"/>
    <w:rsid w:val="00AF3B83"/>
    <w:rsid w:val="00AF3BB4"/>
    <w:rsid w:val="00AF3DB2"/>
    <w:rsid w:val="00AF3E90"/>
    <w:rsid w:val="00AF40A9"/>
    <w:rsid w:val="00AF40FA"/>
    <w:rsid w:val="00AF417A"/>
    <w:rsid w:val="00AF4265"/>
    <w:rsid w:val="00AF42D7"/>
    <w:rsid w:val="00AF46FD"/>
    <w:rsid w:val="00AF47CA"/>
    <w:rsid w:val="00AF486A"/>
    <w:rsid w:val="00AF4933"/>
    <w:rsid w:val="00AF499A"/>
    <w:rsid w:val="00AF4B3E"/>
    <w:rsid w:val="00AF4BB5"/>
    <w:rsid w:val="00AF4D71"/>
    <w:rsid w:val="00AF4DAB"/>
    <w:rsid w:val="00AF5975"/>
    <w:rsid w:val="00AF5D6E"/>
    <w:rsid w:val="00AF6083"/>
    <w:rsid w:val="00AF618E"/>
    <w:rsid w:val="00AF6896"/>
    <w:rsid w:val="00AF68A5"/>
    <w:rsid w:val="00AF69C1"/>
    <w:rsid w:val="00AF6A24"/>
    <w:rsid w:val="00AF6C5F"/>
    <w:rsid w:val="00AF6E5F"/>
    <w:rsid w:val="00AF6EF1"/>
    <w:rsid w:val="00AF70BF"/>
    <w:rsid w:val="00AF73A6"/>
    <w:rsid w:val="00AF73C7"/>
    <w:rsid w:val="00AF740D"/>
    <w:rsid w:val="00AF746A"/>
    <w:rsid w:val="00AF76A5"/>
    <w:rsid w:val="00AF7717"/>
    <w:rsid w:val="00AF773F"/>
    <w:rsid w:val="00AF784C"/>
    <w:rsid w:val="00AF7C51"/>
    <w:rsid w:val="00AF7D09"/>
    <w:rsid w:val="00AF7D53"/>
    <w:rsid w:val="00AF7D92"/>
    <w:rsid w:val="00B005D3"/>
    <w:rsid w:val="00B006FE"/>
    <w:rsid w:val="00B007CB"/>
    <w:rsid w:val="00B00827"/>
    <w:rsid w:val="00B009A2"/>
    <w:rsid w:val="00B00ECE"/>
    <w:rsid w:val="00B00FAF"/>
    <w:rsid w:val="00B0102F"/>
    <w:rsid w:val="00B01080"/>
    <w:rsid w:val="00B01173"/>
    <w:rsid w:val="00B012AE"/>
    <w:rsid w:val="00B01536"/>
    <w:rsid w:val="00B0170B"/>
    <w:rsid w:val="00B0183C"/>
    <w:rsid w:val="00B01843"/>
    <w:rsid w:val="00B01A75"/>
    <w:rsid w:val="00B01D10"/>
    <w:rsid w:val="00B01D3D"/>
    <w:rsid w:val="00B02446"/>
    <w:rsid w:val="00B024DF"/>
    <w:rsid w:val="00B02545"/>
    <w:rsid w:val="00B026B0"/>
    <w:rsid w:val="00B0281B"/>
    <w:rsid w:val="00B02AA9"/>
    <w:rsid w:val="00B02FA3"/>
    <w:rsid w:val="00B02FDF"/>
    <w:rsid w:val="00B032BC"/>
    <w:rsid w:val="00B03513"/>
    <w:rsid w:val="00B03641"/>
    <w:rsid w:val="00B036D5"/>
    <w:rsid w:val="00B036E3"/>
    <w:rsid w:val="00B038AB"/>
    <w:rsid w:val="00B0390D"/>
    <w:rsid w:val="00B039EC"/>
    <w:rsid w:val="00B04154"/>
    <w:rsid w:val="00B04283"/>
    <w:rsid w:val="00B04412"/>
    <w:rsid w:val="00B0455B"/>
    <w:rsid w:val="00B04587"/>
    <w:rsid w:val="00B0464A"/>
    <w:rsid w:val="00B04A43"/>
    <w:rsid w:val="00B04BC3"/>
    <w:rsid w:val="00B04C08"/>
    <w:rsid w:val="00B04EEC"/>
    <w:rsid w:val="00B04FE7"/>
    <w:rsid w:val="00B05084"/>
    <w:rsid w:val="00B05148"/>
    <w:rsid w:val="00B05197"/>
    <w:rsid w:val="00B054ED"/>
    <w:rsid w:val="00B05629"/>
    <w:rsid w:val="00B0583E"/>
    <w:rsid w:val="00B05A4A"/>
    <w:rsid w:val="00B05B0F"/>
    <w:rsid w:val="00B05CC2"/>
    <w:rsid w:val="00B06171"/>
    <w:rsid w:val="00B064D0"/>
    <w:rsid w:val="00B065E1"/>
    <w:rsid w:val="00B069A5"/>
    <w:rsid w:val="00B073C1"/>
    <w:rsid w:val="00B077AF"/>
    <w:rsid w:val="00B079A9"/>
    <w:rsid w:val="00B07B01"/>
    <w:rsid w:val="00B07C0D"/>
    <w:rsid w:val="00B07EC4"/>
    <w:rsid w:val="00B07F7B"/>
    <w:rsid w:val="00B10378"/>
    <w:rsid w:val="00B106B7"/>
    <w:rsid w:val="00B1091B"/>
    <w:rsid w:val="00B10C2B"/>
    <w:rsid w:val="00B10E50"/>
    <w:rsid w:val="00B110BC"/>
    <w:rsid w:val="00B114E9"/>
    <w:rsid w:val="00B11514"/>
    <w:rsid w:val="00B116F5"/>
    <w:rsid w:val="00B11A59"/>
    <w:rsid w:val="00B11AFE"/>
    <w:rsid w:val="00B11B25"/>
    <w:rsid w:val="00B11F71"/>
    <w:rsid w:val="00B12153"/>
    <w:rsid w:val="00B122AC"/>
    <w:rsid w:val="00B12333"/>
    <w:rsid w:val="00B1239E"/>
    <w:rsid w:val="00B12662"/>
    <w:rsid w:val="00B126B9"/>
    <w:rsid w:val="00B127ED"/>
    <w:rsid w:val="00B128B9"/>
    <w:rsid w:val="00B12C48"/>
    <w:rsid w:val="00B12E13"/>
    <w:rsid w:val="00B130C6"/>
    <w:rsid w:val="00B13330"/>
    <w:rsid w:val="00B1353C"/>
    <w:rsid w:val="00B136DB"/>
    <w:rsid w:val="00B1372A"/>
    <w:rsid w:val="00B137CB"/>
    <w:rsid w:val="00B139D7"/>
    <w:rsid w:val="00B13B19"/>
    <w:rsid w:val="00B13BF3"/>
    <w:rsid w:val="00B13BF5"/>
    <w:rsid w:val="00B13C34"/>
    <w:rsid w:val="00B143A2"/>
    <w:rsid w:val="00B144DB"/>
    <w:rsid w:val="00B14759"/>
    <w:rsid w:val="00B149A3"/>
    <w:rsid w:val="00B1516F"/>
    <w:rsid w:val="00B1554E"/>
    <w:rsid w:val="00B157F9"/>
    <w:rsid w:val="00B158A5"/>
    <w:rsid w:val="00B15A1A"/>
    <w:rsid w:val="00B15A6F"/>
    <w:rsid w:val="00B15CC0"/>
    <w:rsid w:val="00B15D76"/>
    <w:rsid w:val="00B16130"/>
    <w:rsid w:val="00B161E8"/>
    <w:rsid w:val="00B165D0"/>
    <w:rsid w:val="00B16818"/>
    <w:rsid w:val="00B16EB4"/>
    <w:rsid w:val="00B170CB"/>
    <w:rsid w:val="00B170CF"/>
    <w:rsid w:val="00B17100"/>
    <w:rsid w:val="00B17B88"/>
    <w:rsid w:val="00B17B8D"/>
    <w:rsid w:val="00B17C2C"/>
    <w:rsid w:val="00B200E1"/>
    <w:rsid w:val="00B20224"/>
    <w:rsid w:val="00B20256"/>
    <w:rsid w:val="00B20279"/>
    <w:rsid w:val="00B20341"/>
    <w:rsid w:val="00B2039D"/>
    <w:rsid w:val="00B204CF"/>
    <w:rsid w:val="00B2064D"/>
    <w:rsid w:val="00B20782"/>
    <w:rsid w:val="00B2092D"/>
    <w:rsid w:val="00B20B88"/>
    <w:rsid w:val="00B20C8A"/>
    <w:rsid w:val="00B20CE5"/>
    <w:rsid w:val="00B20D09"/>
    <w:rsid w:val="00B214A4"/>
    <w:rsid w:val="00B2151A"/>
    <w:rsid w:val="00B21578"/>
    <w:rsid w:val="00B21878"/>
    <w:rsid w:val="00B21A87"/>
    <w:rsid w:val="00B21C5A"/>
    <w:rsid w:val="00B223FE"/>
    <w:rsid w:val="00B2242C"/>
    <w:rsid w:val="00B22801"/>
    <w:rsid w:val="00B22924"/>
    <w:rsid w:val="00B229D6"/>
    <w:rsid w:val="00B22BDE"/>
    <w:rsid w:val="00B22CF9"/>
    <w:rsid w:val="00B23068"/>
    <w:rsid w:val="00B232A2"/>
    <w:rsid w:val="00B232C3"/>
    <w:rsid w:val="00B2330A"/>
    <w:rsid w:val="00B2331D"/>
    <w:rsid w:val="00B23488"/>
    <w:rsid w:val="00B235B3"/>
    <w:rsid w:val="00B235D8"/>
    <w:rsid w:val="00B23834"/>
    <w:rsid w:val="00B23B28"/>
    <w:rsid w:val="00B23D99"/>
    <w:rsid w:val="00B2430C"/>
    <w:rsid w:val="00B24382"/>
    <w:rsid w:val="00B2472E"/>
    <w:rsid w:val="00B247BF"/>
    <w:rsid w:val="00B24AFA"/>
    <w:rsid w:val="00B24DBE"/>
    <w:rsid w:val="00B24F0A"/>
    <w:rsid w:val="00B250EE"/>
    <w:rsid w:val="00B258FF"/>
    <w:rsid w:val="00B259CA"/>
    <w:rsid w:val="00B259E3"/>
    <w:rsid w:val="00B260BE"/>
    <w:rsid w:val="00B26446"/>
    <w:rsid w:val="00B264E9"/>
    <w:rsid w:val="00B26D6A"/>
    <w:rsid w:val="00B26E4C"/>
    <w:rsid w:val="00B26E66"/>
    <w:rsid w:val="00B27259"/>
    <w:rsid w:val="00B274A4"/>
    <w:rsid w:val="00B2759F"/>
    <w:rsid w:val="00B27607"/>
    <w:rsid w:val="00B2763F"/>
    <w:rsid w:val="00B27739"/>
    <w:rsid w:val="00B27AAC"/>
    <w:rsid w:val="00B27FD7"/>
    <w:rsid w:val="00B305C6"/>
    <w:rsid w:val="00B30618"/>
    <w:rsid w:val="00B3079B"/>
    <w:rsid w:val="00B30929"/>
    <w:rsid w:val="00B3095F"/>
    <w:rsid w:val="00B30A29"/>
    <w:rsid w:val="00B30B80"/>
    <w:rsid w:val="00B30EC4"/>
    <w:rsid w:val="00B30F20"/>
    <w:rsid w:val="00B30F60"/>
    <w:rsid w:val="00B312F8"/>
    <w:rsid w:val="00B31461"/>
    <w:rsid w:val="00B314CF"/>
    <w:rsid w:val="00B31673"/>
    <w:rsid w:val="00B3186E"/>
    <w:rsid w:val="00B31C29"/>
    <w:rsid w:val="00B322BF"/>
    <w:rsid w:val="00B326C8"/>
    <w:rsid w:val="00B32793"/>
    <w:rsid w:val="00B329F7"/>
    <w:rsid w:val="00B329FB"/>
    <w:rsid w:val="00B329FE"/>
    <w:rsid w:val="00B32DC9"/>
    <w:rsid w:val="00B32E1C"/>
    <w:rsid w:val="00B32FBB"/>
    <w:rsid w:val="00B330D6"/>
    <w:rsid w:val="00B33297"/>
    <w:rsid w:val="00B337BA"/>
    <w:rsid w:val="00B33BBA"/>
    <w:rsid w:val="00B33BF3"/>
    <w:rsid w:val="00B33DB5"/>
    <w:rsid w:val="00B347FF"/>
    <w:rsid w:val="00B34828"/>
    <w:rsid w:val="00B34A46"/>
    <w:rsid w:val="00B34E0D"/>
    <w:rsid w:val="00B3512D"/>
    <w:rsid w:val="00B35296"/>
    <w:rsid w:val="00B355E5"/>
    <w:rsid w:val="00B35710"/>
    <w:rsid w:val="00B3578A"/>
    <w:rsid w:val="00B36072"/>
    <w:rsid w:val="00B36208"/>
    <w:rsid w:val="00B363C6"/>
    <w:rsid w:val="00B36783"/>
    <w:rsid w:val="00B368F7"/>
    <w:rsid w:val="00B37001"/>
    <w:rsid w:val="00B37043"/>
    <w:rsid w:val="00B37074"/>
    <w:rsid w:val="00B372AA"/>
    <w:rsid w:val="00B37353"/>
    <w:rsid w:val="00B37424"/>
    <w:rsid w:val="00B3742E"/>
    <w:rsid w:val="00B378BE"/>
    <w:rsid w:val="00B37B47"/>
    <w:rsid w:val="00B37B83"/>
    <w:rsid w:val="00B37D3E"/>
    <w:rsid w:val="00B37EC7"/>
    <w:rsid w:val="00B37F24"/>
    <w:rsid w:val="00B40360"/>
    <w:rsid w:val="00B403AB"/>
    <w:rsid w:val="00B40445"/>
    <w:rsid w:val="00B405C9"/>
    <w:rsid w:val="00B405FA"/>
    <w:rsid w:val="00B407FA"/>
    <w:rsid w:val="00B409C0"/>
    <w:rsid w:val="00B409E0"/>
    <w:rsid w:val="00B40ABC"/>
    <w:rsid w:val="00B40AEC"/>
    <w:rsid w:val="00B40CF5"/>
    <w:rsid w:val="00B40D77"/>
    <w:rsid w:val="00B40FCD"/>
    <w:rsid w:val="00B41073"/>
    <w:rsid w:val="00B415AC"/>
    <w:rsid w:val="00B4161E"/>
    <w:rsid w:val="00B4183B"/>
    <w:rsid w:val="00B41888"/>
    <w:rsid w:val="00B419C4"/>
    <w:rsid w:val="00B41ABE"/>
    <w:rsid w:val="00B41B46"/>
    <w:rsid w:val="00B41F61"/>
    <w:rsid w:val="00B41FA8"/>
    <w:rsid w:val="00B42355"/>
    <w:rsid w:val="00B42576"/>
    <w:rsid w:val="00B425F4"/>
    <w:rsid w:val="00B42639"/>
    <w:rsid w:val="00B42D2E"/>
    <w:rsid w:val="00B42E54"/>
    <w:rsid w:val="00B42EA5"/>
    <w:rsid w:val="00B4330D"/>
    <w:rsid w:val="00B433CF"/>
    <w:rsid w:val="00B43498"/>
    <w:rsid w:val="00B436CC"/>
    <w:rsid w:val="00B43858"/>
    <w:rsid w:val="00B438E8"/>
    <w:rsid w:val="00B43A42"/>
    <w:rsid w:val="00B43DF7"/>
    <w:rsid w:val="00B44209"/>
    <w:rsid w:val="00B4422F"/>
    <w:rsid w:val="00B444BF"/>
    <w:rsid w:val="00B44800"/>
    <w:rsid w:val="00B448E4"/>
    <w:rsid w:val="00B44D8B"/>
    <w:rsid w:val="00B44D9A"/>
    <w:rsid w:val="00B451BD"/>
    <w:rsid w:val="00B45A52"/>
    <w:rsid w:val="00B45D5E"/>
    <w:rsid w:val="00B45DFC"/>
    <w:rsid w:val="00B45EA6"/>
    <w:rsid w:val="00B45EB4"/>
    <w:rsid w:val="00B46175"/>
    <w:rsid w:val="00B461A6"/>
    <w:rsid w:val="00B4668F"/>
    <w:rsid w:val="00B466CE"/>
    <w:rsid w:val="00B4685A"/>
    <w:rsid w:val="00B47477"/>
    <w:rsid w:val="00B47513"/>
    <w:rsid w:val="00B47571"/>
    <w:rsid w:val="00B479C0"/>
    <w:rsid w:val="00B47BF3"/>
    <w:rsid w:val="00B47C7F"/>
    <w:rsid w:val="00B47DE2"/>
    <w:rsid w:val="00B47F96"/>
    <w:rsid w:val="00B500CA"/>
    <w:rsid w:val="00B501AF"/>
    <w:rsid w:val="00B5028D"/>
    <w:rsid w:val="00B502C4"/>
    <w:rsid w:val="00B509A8"/>
    <w:rsid w:val="00B509C2"/>
    <w:rsid w:val="00B50D02"/>
    <w:rsid w:val="00B50EE7"/>
    <w:rsid w:val="00B50F85"/>
    <w:rsid w:val="00B50F96"/>
    <w:rsid w:val="00B5120B"/>
    <w:rsid w:val="00B514EC"/>
    <w:rsid w:val="00B51AA4"/>
    <w:rsid w:val="00B51C4D"/>
    <w:rsid w:val="00B51CC8"/>
    <w:rsid w:val="00B523F4"/>
    <w:rsid w:val="00B52739"/>
    <w:rsid w:val="00B52889"/>
    <w:rsid w:val="00B52AD9"/>
    <w:rsid w:val="00B52B57"/>
    <w:rsid w:val="00B52B7A"/>
    <w:rsid w:val="00B52C41"/>
    <w:rsid w:val="00B52D0E"/>
    <w:rsid w:val="00B52DFC"/>
    <w:rsid w:val="00B52F36"/>
    <w:rsid w:val="00B53168"/>
    <w:rsid w:val="00B53220"/>
    <w:rsid w:val="00B53222"/>
    <w:rsid w:val="00B53651"/>
    <w:rsid w:val="00B53706"/>
    <w:rsid w:val="00B537D6"/>
    <w:rsid w:val="00B537F8"/>
    <w:rsid w:val="00B538A1"/>
    <w:rsid w:val="00B5393B"/>
    <w:rsid w:val="00B53B18"/>
    <w:rsid w:val="00B53D14"/>
    <w:rsid w:val="00B53D98"/>
    <w:rsid w:val="00B53F1F"/>
    <w:rsid w:val="00B54024"/>
    <w:rsid w:val="00B540CE"/>
    <w:rsid w:val="00B54260"/>
    <w:rsid w:val="00B543FA"/>
    <w:rsid w:val="00B54521"/>
    <w:rsid w:val="00B54653"/>
    <w:rsid w:val="00B548B7"/>
    <w:rsid w:val="00B54AD1"/>
    <w:rsid w:val="00B54BDF"/>
    <w:rsid w:val="00B54C71"/>
    <w:rsid w:val="00B54CE8"/>
    <w:rsid w:val="00B54D93"/>
    <w:rsid w:val="00B55200"/>
    <w:rsid w:val="00B552ED"/>
    <w:rsid w:val="00B55464"/>
    <w:rsid w:val="00B55515"/>
    <w:rsid w:val="00B5556C"/>
    <w:rsid w:val="00B55628"/>
    <w:rsid w:val="00B55819"/>
    <w:rsid w:val="00B55DB8"/>
    <w:rsid w:val="00B56769"/>
    <w:rsid w:val="00B567E0"/>
    <w:rsid w:val="00B5694E"/>
    <w:rsid w:val="00B56D88"/>
    <w:rsid w:val="00B56EAC"/>
    <w:rsid w:val="00B57031"/>
    <w:rsid w:val="00B57169"/>
    <w:rsid w:val="00B57405"/>
    <w:rsid w:val="00B575C8"/>
    <w:rsid w:val="00B578D5"/>
    <w:rsid w:val="00B579A5"/>
    <w:rsid w:val="00B57B0D"/>
    <w:rsid w:val="00B57BD2"/>
    <w:rsid w:val="00B57CE3"/>
    <w:rsid w:val="00B57D00"/>
    <w:rsid w:val="00B57D41"/>
    <w:rsid w:val="00B6037A"/>
    <w:rsid w:val="00B6045E"/>
    <w:rsid w:val="00B60A08"/>
    <w:rsid w:val="00B60A7D"/>
    <w:rsid w:val="00B60A83"/>
    <w:rsid w:val="00B60C1F"/>
    <w:rsid w:val="00B61068"/>
    <w:rsid w:val="00B612FD"/>
    <w:rsid w:val="00B61419"/>
    <w:rsid w:val="00B6194D"/>
    <w:rsid w:val="00B61AB2"/>
    <w:rsid w:val="00B61BBB"/>
    <w:rsid w:val="00B61D1F"/>
    <w:rsid w:val="00B61FA2"/>
    <w:rsid w:val="00B622D6"/>
    <w:rsid w:val="00B6240B"/>
    <w:rsid w:val="00B62693"/>
    <w:rsid w:val="00B627B3"/>
    <w:rsid w:val="00B62A39"/>
    <w:rsid w:val="00B62B8A"/>
    <w:rsid w:val="00B62E2A"/>
    <w:rsid w:val="00B6334B"/>
    <w:rsid w:val="00B639D2"/>
    <w:rsid w:val="00B63A84"/>
    <w:rsid w:val="00B63FCE"/>
    <w:rsid w:val="00B640B6"/>
    <w:rsid w:val="00B64176"/>
    <w:rsid w:val="00B641A0"/>
    <w:rsid w:val="00B642BB"/>
    <w:rsid w:val="00B64496"/>
    <w:rsid w:val="00B64807"/>
    <w:rsid w:val="00B648A3"/>
    <w:rsid w:val="00B649C6"/>
    <w:rsid w:val="00B651B2"/>
    <w:rsid w:val="00B6548D"/>
    <w:rsid w:val="00B65564"/>
    <w:rsid w:val="00B65BE1"/>
    <w:rsid w:val="00B65C52"/>
    <w:rsid w:val="00B65C57"/>
    <w:rsid w:val="00B65DC6"/>
    <w:rsid w:val="00B661CA"/>
    <w:rsid w:val="00B664C7"/>
    <w:rsid w:val="00B66760"/>
    <w:rsid w:val="00B668B3"/>
    <w:rsid w:val="00B66976"/>
    <w:rsid w:val="00B66BBD"/>
    <w:rsid w:val="00B66C4E"/>
    <w:rsid w:val="00B66E3F"/>
    <w:rsid w:val="00B66FA5"/>
    <w:rsid w:val="00B66FC2"/>
    <w:rsid w:val="00B67199"/>
    <w:rsid w:val="00B6728D"/>
    <w:rsid w:val="00B67407"/>
    <w:rsid w:val="00B6759E"/>
    <w:rsid w:val="00B6764A"/>
    <w:rsid w:val="00B676D4"/>
    <w:rsid w:val="00B67929"/>
    <w:rsid w:val="00B67AD5"/>
    <w:rsid w:val="00B67D53"/>
    <w:rsid w:val="00B70009"/>
    <w:rsid w:val="00B70875"/>
    <w:rsid w:val="00B70DAA"/>
    <w:rsid w:val="00B70F23"/>
    <w:rsid w:val="00B7115C"/>
    <w:rsid w:val="00B71184"/>
    <w:rsid w:val="00B71186"/>
    <w:rsid w:val="00B713BA"/>
    <w:rsid w:val="00B71424"/>
    <w:rsid w:val="00B715E9"/>
    <w:rsid w:val="00B7176F"/>
    <w:rsid w:val="00B71BFC"/>
    <w:rsid w:val="00B71D04"/>
    <w:rsid w:val="00B71D87"/>
    <w:rsid w:val="00B71E6A"/>
    <w:rsid w:val="00B71F66"/>
    <w:rsid w:val="00B724D9"/>
    <w:rsid w:val="00B7255D"/>
    <w:rsid w:val="00B725B7"/>
    <w:rsid w:val="00B7265C"/>
    <w:rsid w:val="00B72869"/>
    <w:rsid w:val="00B72B4C"/>
    <w:rsid w:val="00B72B4D"/>
    <w:rsid w:val="00B72B63"/>
    <w:rsid w:val="00B72C53"/>
    <w:rsid w:val="00B72FA4"/>
    <w:rsid w:val="00B732AA"/>
    <w:rsid w:val="00B732DE"/>
    <w:rsid w:val="00B7331E"/>
    <w:rsid w:val="00B733A4"/>
    <w:rsid w:val="00B735B6"/>
    <w:rsid w:val="00B7378A"/>
    <w:rsid w:val="00B7391E"/>
    <w:rsid w:val="00B739DA"/>
    <w:rsid w:val="00B739F6"/>
    <w:rsid w:val="00B73B5B"/>
    <w:rsid w:val="00B73BDE"/>
    <w:rsid w:val="00B73C94"/>
    <w:rsid w:val="00B73D96"/>
    <w:rsid w:val="00B73DCD"/>
    <w:rsid w:val="00B7424A"/>
    <w:rsid w:val="00B742A5"/>
    <w:rsid w:val="00B742E2"/>
    <w:rsid w:val="00B74498"/>
    <w:rsid w:val="00B7483C"/>
    <w:rsid w:val="00B749FB"/>
    <w:rsid w:val="00B74AA2"/>
    <w:rsid w:val="00B74C77"/>
    <w:rsid w:val="00B74DA9"/>
    <w:rsid w:val="00B7512B"/>
    <w:rsid w:val="00B75356"/>
    <w:rsid w:val="00B754F4"/>
    <w:rsid w:val="00B75728"/>
    <w:rsid w:val="00B759B7"/>
    <w:rsid w:val="00B75EE5"/>
    <w:rsid w:val="00B75F40"/>
    <w:rsid w:val="00B7616A"/>
    <w:rsid w:val="00B761C1"/>
    <w:rsid w:val="00B7621E"/>
    <w:rsid w:val="00B763D6"/>
    <w:rsid w:val="00B7642B"/>
    <w:rsid w:val="00B76765"/>
    <w:rsid w:val="00B767B7"/>
    <w:rsid w:val="00B76A92"/>
    <w:rsid w:val="00B76BD3"/>
    <w:rsid w:val="00B76D84"/>
    <w:rsid w:val="00B76DE7"/>
    <w:rsid w:val="00B76E00"/>
    <w:rsid w:val="00B76E30"/>
    <w:rsid w:val="00B76EFB"/>
    <w:rsid w:val="00B7715B"/>
    <w:rsid w:val="00B77181"/>
    <w:rsid w:val="00B77189"/>
    <w:rsid w:val="00B77315"/>
    <w:rsid w:val="00B7735A"/>
    <w:rsid w:val="00B77619"/>
    <w:rsid w:val="00B77699"/>
    <w:rsid w:val="00B7772E"/>
    <w:rsid w:val="00B778E8"/>
    <w:rsid w:val="00B77CE8"/>
    <w:rsid w:val="00B77ECC"/>
    <w:rsid w:val="00B77F2C"/>
    <w:rsid w:val="00B80229"/>
    <w:rsid w:val="00B80337"/>
    <w:rsid w:val="00B80563"/>
    <w:rsid w:val="00B808F0"/>
    <w:rsid w:val="00B80B06"/>
    <w:rsid w:val="00B8101D"/>
    <w:rsid w:val="00B811F8"/>
    <w:rsid w:val="00B815B4"/>
    <w:rsid w:val="00B815EE"/>
    <w:rsid w:val="00B8161E"/>
    <w:rsid w:val="00B81A6C"/>
    <w:rsid w:val="00B81D59"/>
    <w:rsid w:val="00B820AA"/>
    <w:rsid w:val="00B82295"/>
    <w:rsid w:val="00B822F0"/>
    <w:rsid w:val="00B825DD"/>
    <w:rsid w:val="00B8292A"/>
    <w:rsid w:val="00B829E2"/>
    <w:rsid w:val="00B82A96"/>
    <w:rsid w:val="00B82ABA"/>
    <w:rsid w:val="00B82BF3"/>
    <w:rsid w:val="00B82DEB"/>
    <w:rsid w:val="00B82E7C"/>
    <w:rsid w:val="00B8318A"/>
    <w:rsid w:val="00B8366F"/>
    <w:rsid w:val="00B8384C"/>
    <w:rsid w:val="00B83870"/>
    <w:rsid w:val="00B83973"/>
    <w:rsid w:val="00B83AE6"/>
    <w:rsid w:val="00B840C4"/>
    <w:rsid w:val="00B84335"/>
    <w:rsid w:val="00B84356"/>
    <w:rsid w:val="00B84419"/>
    <w:rsid w:val="00B847A3"/>
    <w:rsid w:val="00B848E7"/>
    <w:rsid w:val="00B84A84"/>
    <w:rsid w:val="00B84BE3"/>
    <w:rsid w:val="00B84BEC"/>
    <w:rsid w:val="00B84C2B"/>
    <w:rsid w:val="00B84C74"/>
    <w:rsid w:val="00B84E3A"/>
    <w:rsid w:val="00B84F30"/>
    <w:rsid w:val="00B85128"/>
    <w:rsid w:val="00B8524B"/>
    <w:rsid w:val="00B8552B"/>
    <w:rsid w:val="00B85731"/>
    <w:rsid w:val="00B858A3"/>
    <w:rsid w:val="00B858C6"/>
    <w:rsid w:val="00B85DE5"/>
    <w:rsid w:val="00B85E7D"/>
    <w:rsid w:val="00B8603A"/>
    <w:rsid w:val="00B862A8"/>
    <w:rsid w:val="00B864D1"/>
    <w:rsid w:val="00B864DD"/>
    <w:rsid w:val="00B86849"/>
    <w:rsid w:val="00B86962"/>
    <w:rsid w:val="00B86B03"/>
    <w:rsid w:val="00B86B80"/>
    <w:rsid w:val="00B86E1E"/>
    <w:rsid w:val="00B86E5C"/>
    <w:rsid w:val="00B86EA6"/>
    <w:rsid w:val="00B870A6"/>
    <w:rsid w:val="00B8754E"/>
    <w:rsid w:val="00B8769D"/>
    <w:rsid w:val="00B8790D"/>
    <w:rsid w:val="00B87A03"/>
    <w:rsid w:val="00B87D90"/>
    <w:rsid w:val="00B90132"/>
    <w:rsid w:val="00B90593"/>
    <w:rsid w:val="00B90D31"/>
    <w:rsid w:val="00B90F73"/>
    <w:rsid w:val="00B91295"/>
    <w:rsid w:val="00B91340"/>
    <w:rsid w:val="00B91531"/>
    <w:rsid w:val="00B91577"/>
    <w:rsid w:val="00B9178B"/>
    <w:rsid w:val="00B91A05"/>
    <w:rsid w:val="00B91A15"/>
    <w:rsid w:val="00B91C72"/>
    <w:rsid w:val="00B91E0F"/>
    <w:rsid w:val="00B91FF6"/>
    <w:rsid w:val="00B92072"/>
    <w:rsid w:val="00B92299"/>
    <w:rsid w:val="00B92FFC"/>
    <w:rsid w:val="00B930D7"/>
    <w:rsid w:val="00B931BC"/>
    <w:rsid w:val="00B93280"/>
    <w:rsid w:val="00B933F6"/>
    <w:rsid w:val="00B93699"/>
    <w:rsid w:val="00B9369C"/>
    <w:rsid w:val="00B93773"/>
    <w:rsid w:val="00B9397E"/>
    <w:rsid w:val="00B939EC"/>
    <w:rsid w:val="00B93B59"/>
    <w:rsid w:val="00B93BB0"/>
    <w:rsid w:val="00B93F4A"/>
    <w:rsid w:val="00B93F6B"/>
    <w:rsid w:val="00B9406A"/>
    <w:rsid w:val="00B9412D"/>
    <w:rsid w:val="00B94150"/>
    <w:rsid w:val="00B944E9"/>
    <w:rsid w:val="00B94614"/>
    <w:rsid w:val="00B9475D"/>
    <w:rsid w:val="00B94A41"/>
    <w:rsid w:val="00B94B09"/>
    <w:rsid w:val="00B94DE6"/>
    <w:rsid w:val="00B94EB8"/>
    <w:rsid w:val="00B94F18"/>
    <w:rsid w:val="00B95011"/>
    <w:rsid w:val="00B950BF"/>
    <w:rsid w:val="00B9535C"/>
    <w:rsid w:val="00B95610"/>
    <w:rsid w:val="00B956E2"/>
    <w:rsid w:val="00B95828"/>
    <w:rsid w:val="00B95C2D"/>
    <w:rsid w:val="00B95D6F"/>
    <w:rsid w:val="00B96717"/>
    <w:rsid w:val="00B9673E"/>
    <w:rsid w:val="00B96802"/>
    <w:rsid w:val="00B96899"/>
    <w:rsid w:val="00B96BF6"/>
    <w:rsid w:val="00B96C15"/>
    <w:rsid w:val="00B96D72"/>
    <w:rsid w:val="00B96DF0"/>
    <w:rsid w:val="00B96E55"/>
    <w:rsid w:val="00B97083"/>
    <w:rsid w:val="00B975B0"/>
    <w:rsid w:val="00B97645"/>
    <w:rsid w:val="00B976CE"/>
    <w:rsid w:val="00B97832"/>
    <w:rsid w:val="00B978D1"/>
    <w:rsid w:val="00B97B22"/>
    <w:rsid w:val="00B97B63"/>
    <w:rsid w:val="00B97CDA"/>
    <w:rsid w:val="00B97D9E"/>
    <w:rsid w:val="00B97E16"/>
    <w:rsid w:val="00BA00BB"/>
    <w:rsid w:val="00BA0143"/>
    <w:rsid w:val="00BA038B"/>
    <w:rsid w:val="00BA047E"/>
    <w:rsid w:val="00BA0790"/>
    <w:rsid w:val="00BA08D8"/>
    <w:rsid w:val="00BA0AA7"/>
    <w:rsid w:val="00BA0B85"/>
    <w:rsid w:val="00BA0D63"/>
    <w:rsid w:val="00BA0E24"/>
    <w:rsid w:val="00BA0F94"/>
    <w:rsid w:val="00BA10C9"/>
    <w:rsid w:val="00BA11DA"/>
    <w:rsid w:val="00BA12CE"/>
    <w:rsid w:val="00BA14DC"/>
    <w:rsid w:val="00BA1505"/>
    <w:rsid w:val="00BA1506"/>
    <w:rsid w:val="00BA169B"/>
    <w:rsid w:val="00BA1C73"/>
    <w:rsid w:val="00BA1D70"/>
    <w:rsid w:val="00BA1DB3"/>
    <w:rsid w:val="00BA1EE0"/>
    <w:rsid w:val="00BA2280"/>
    <w:rsid w:val="00BA246E"/>
    <w:rsid w:val="00BA26A3"/>
    <w:rsid w:val="00BA27B6"/>
    <w:rsid w:val="00BA29AE"/>
    <w:rsid w:val="00BA2A08"/>
    <w:rsid w:val="00BA2AAE"/>
    <w:rsid w:val="00BA2E17"/>
    <w:rsid w:val="00BA2E49"/>
    <w:rsid w:val="00BA3012"/>
    <w:rsid w:val="00BA306B"/>
    <w:rsid w:val="00BA31A3"/>
    <w:rsid w:val="00BA324E"/>
    <w:rsid w:val="00BA34F4"/>
    <w:rsid w:val="00BA354B"/>
    <w:rsid w:val="00BA35FE"/>
    <w:rsid w:val="00BA37EE"/>
    <w:rsid w:val="00BA3C80"/>
    <w:rsid w:val="00BA3CDE"/>
    <w:rsid w:val="00BA3D0A"/>
    <w:rsid w:val="00BA3E75"/>
    <w:rsid w:val="00BA413C"/>
    <w:rsid w:val="00BA4306"/>
    <w:rsid w:val="00BA45D7"/>
    <w:rsid w:val="00BA4857"/>
    <w:rsid w:val="00BA48B3"/>
    <w:rsid w:val="00BA4C1B"/>
    <w:rsid w:val="00BA4DD6"/>
    <w:rsid w:val="00BA4EB0"/>
    <w:rsid w:val="00BA4EB3"/>
    <w:rsid w:val="00BA5032"/>
    <w:rsid w:val="00BA56D2"/>
    <w:rsid w:val="00BA56DF"/>
    <w:rsid w:val="00BA57CB"/>
    <w:rsid w:val="00BA5805"/>
    <w:rsid w:val="00BA5829"/>
    <w:rsid w:val="00BA595D"/>
    <w:rsid w:val="00BA5AC1"/>
    <w:rsid w:val="00BA5D16"/>
    <w:rsid w:val="00BA5FC7"/>
    <w:rsid w:val="00BA6290"/>
    <w:rsid w:val="00BA6829"/>
    <w:rsid w:val="00BA68F8"/>
    <w:rsid w:val="00BA6A08"/>
    <w:rsid w:val="00BA6A10"/>
    <w:rsid w:val="00BA6ADA"/>
    <w:rsid w:val="00BA6B06"/>
    <w:rsid w:val="00BA6B50"/>
    <w:rsid w:val="00BA6B63"/>
    <w:rsid w:val="00BA6E85"/>
    <w:rsid w:val="00BA6ED2"/>
    <w:rsid w:val="00BA6F13"/>
    <w:rsid w:val="00BA712A"/>
    <w:rsid w:val="00BA716F"/>
    <w:rsid w:val="00BA71B5"/>
    <w:rsid w:val="00BA755E"/>
    <w:rsid w:val="00BA765D"/>
    <w:rsid w:val="00BA769E"/>
    <w:rsid w:val="00BA76E0"/>
    <w:rsid w:val="00BA7F14"/>
    <w:rsid w:val="00BB0069"/>
    <w:rsid w:val="00BB024D"/>
    <w:rsid w:val="00BB0299"/>
    <w:rsid w:val="00BB09B3"/>
    <w:rsid w:val="00BB0C58"/>
    <w:rsid w:val="00BB0CE8"/>
    <w:rsid w:val="00BB0D90"/>
    <w:rsid w:val="00BB0DFB"/>
    <w:rsid w:val="00BB0FCA"/>
    <w:rsid w:val="00BB1032"/>
    <w:rsid w:val="00BB1251"/>
    <w:rsid w:val="00BB12A9"/>
    <w:rsid w:val="00BB13DB"/>
    <w:rsid w:val="00BB1746"/>
    <w:rsid w:val="00BB17B1"/>
    <w:rsid w:val="00BB1A32"/>
    <w:rsid w:val="00BB1BDF"/>
    <w:rsid w:val="00BB1E41"/>
    <w:rsid w:val="00BB1EBE"/>
    <w:rsid w:val="00BB2241"/>
    <w:rsid w:val="00BB24BA"/>
    <w:rsid w:val="00BB24E3"/>
    <w:rsid w:val="00BB26B5"/>
    <w:rsid w:val="00BB28B3"/>
    <w:rsid w:val="00BB2968"/>
    <w:rsid w:val="00BB2A25"/>
    <w:rsid w:val="00BB2A95"/>
    <w:rsid w:val="00BB2AB1"/>
    <w:rsid w:val="00BB2AE9"/>
    <w:rsid w:val="00BB2BFF"/>
    <w:rsid w:val="00BB2C7A"/>
    <w:rsid w:val="00BB2DBB"/>
    <w:rsid w:val="00BB2E1D"/>
    <w:rsid w:val="00BB2EEE"/>
    <w:rsid w:val="00BB2F3F"/>
    <w:rsid w:val="00BB2FF7"/>
    <w:rsid w:val="00BB3171"/>
    <w:rsid w:val="00BB31BF"/>
    <w:rsid w:val="00BB3247"/>
    <w:rsid w:val="00BB3A1C"/>
    <w:rsid w:val="00BB3CD9"/>
    <w:rsid w:val="00BB40AA"/>
    <w:rsid w:val="00BB40BD"/>
    <w:rsid w:val="00BB463F"/>
    <w:rsid w:val="00BB48A5"/>
    <w:rsid w:val="00BB4970"/>
    <w:rsid w:val="00BB4C4C"/>
    <w:rsid w:val="00BB50E8"/>
    <w:rsid w:val="00BB51E9"/>
    <w:rsid w:val="00BB54E5"/>
    <w:rsid w:val="00BB557C"/>
    <w:rsid w:val="00BB58AC"/>
    <w:rsid w:val="00BB59D1"/>
    <w:rsid w:val="00BB5A2F"/>
    <w:rsid w:val="00BB5AF6"/>
    <w:rsid w:val="00BB5B0F"/>
    <w:rsid w:val="00BB5E34"/>
    <w:rsid w:val="00BB6045"/>
    <w:rsid w:val="00BB613A"/>
    <w:rsid w:val="00BB64A5"/>
    <w:rsid w:val="00BB6512"/>
    <w:rsid w:val="00BB6D05"/>
    <w:rsid w:val="00BB6D0F"/>
    <w:rsid w:val="00BB6DFD"/>
    <w:rsid w:val="00BB6EAD"/>
    <w:rsid w:val="00BB72D8"/>
    <w:rsid w:val="00BB7304"/>
    <w:rsid w:val="00BB764B"/>
    <w:rsid w:val="00BB76DD"/>
    <w:rsid w:val="00BB7CCF"/>
    <w:rsid w:val="00BB7F72"/>
    <w:rsid w:val="00BB7F88"/>
    <w:rsid w:val="00BC0507"/>
    <w:rsid w:val="00BC0509"/>
    <w:rsid w:val="00BC06AB"/>
    <w:rsid w:val="00BC074C"/>
    <w:rsid w:val="00BC07C7"/>
    <w:rsid w:val="00BC0AEB"/>
    <w:rsid w:val="00BC0DC2"/>
    <w:rsid w:val="00BC0F03"/>
    <w:rsid w:val="00BC0FDC"/>
    <w:rsid w:val="00BC12D8"/>
    <w:rsid w:val="00BC12E9"/>
    <w:rsid w:val="00BC14CD"/>
    <w:rsid w:val="00BC1696"/>
    <w:rsid w:val="00BC17FE"/>
    <w:rsid w:val="00BC18F0"/>
    <w:rsid w:val="00BC1B8D"/>
    <w:rsid w:val="00BC1BA0"/>
    <w:rsid w:val="00BC1D4A"/>
    <w:rsid w:val="00BC1E06"/>
    <w:rsid w:val="00BC25BB"/>
    <w:rsid w:val="00BC25E4"/>
    <w:rsid w:val="00BC27D7"/>
    <w:rsid w:val="00BC2888"/>
    <w:rsid w:val="00BC2C29"/>
    <w:rsid w:val="00BC3053"/>
    <w:rsid w:val="00BC306F"/>
    <w:rsid w:val="00BC33BF"/>
    <w:rsid w:val="00BC33DF"/>
    <w:rsid w:val="00BC33F9"/>
    <w:rsid w:val="00BC34D1"/>
    <w:rsid w:val="00BC34F3"/>
    <w:rsid w:val="00BC380D"/>
    <w:rsid w:val="00BC3F10"/>
    <w:rsid w:val="00BC409E"/>
    <w:rsid w:val="00BC4387"/>
    <w:rsid w:val="00BC4785"/>
    <w:rsid w:val="00BC4B84"/>
    <w:rsid w:val="00BC4C77"/>
    <w:rsid w:val="00BC4D2E"/>
    <w:rsid w:val="00BC4F90"/>
    <w:rsid w:val="00BC5355"/>
    <w:rsid w:val="00BC5D6E"/>
    <w:rsid w:val="00BC5DE5"/>
    <w:rsid w:val="00BC5EF7"/>
    <w:rsid w:val="00BC6783"/>
    <w:rsid w:val="00BC689A"/>
    <w:rsid w:val="00BC69BD"/>
    <w:rsid w:val="00BC69F3"/>
    <w:rsid w:val="00BC6A3B"/>
    <w:rsid w:val="00BC6AA3"/>
    <w:rsid w:val="00BC6AF5"/>
    <w:rsid w:val="00BC6BD4"/>
    <w:rsid w:val="00BC6D1D"/>
    <w:rsid w:val="00BC6FE5"/>
    <w:rsid w:val="00BC77D8"/>
    <w:rsid w:val="00BC78EA"/>
    <w:rsid w:val="00BC7A1B"/>
    <w:rsid w:val="00BC7A82"/>
    <w:rsid w:val="00BC7E87"/>
    <w:rsid w:val="00BC7FF9"/>
    <w:rsid w:val="00BD0267"/>
    <w:rsid w:val="00BD042D"/>
    <w:rsid w:val="00BD0586"/>
    <w:rsid w:val="00BD09C3"/>
    <w:rsid w:val="00BD0AFF"/>
    <w:rsid w:val="00BD0BD0"/>
    <w:rsid w:val="00BD1321"/>
    <w:rsid w:val="00BD13DD"/>
    <w:rsid w:val="00BD147F"/>
    <w:rsid w:val="00BD1529"/>
    <w:rsid w:val="00BD1775"/>
    <w:rsid w:val="00BD17AF"/>
    <w:rsid w:val="00BD18B7"/>
    <w:rsid w:val="00BD1EF0"/>
    <w:rsid w:val="00BD1F26"/>
    <w:rsid w:val="00BD20C1"/>
    <w:rsid w:val="00BD2177"/>
    <w:rsid w:val="00BD23D6"/>
    <w:rsid w:val="00BD25F7"/>
    <w:rsid w:val="00BD2955"/>
    <w:rsid w:val="00BD2B1F"/>
    <w:rsid w:val="00BD2B60"/>
    <w:rsid w:val="00BD2C53"/>
    <w:rsid w:val="00BD2CA8"/>
    <w:rsid w:val="00BD33D2"/>
    <w:rsid w:val="00BD38C6"/>
    <w:rsid w:val="00BD3D68"/>
    <w:rsid w:val="00BD3D8A"/>
    <w:rsid w:val="00BD3DAC"/>
    <w:rsid w:val="00BD439E"/>
    <w:rsid w:val="00BD4473"/>
    <w:rsid w:val="00BD4577"/>
    <w:rsid w:val="00BD45EF"/>
    <w:rsid w:val="00BD48AC"/>
    <w:rsid w:val="00BD4BF0"/>
    <w:rsid w:val="00BD4D92"/>
    <w:rsid w:val="00BD5223"/>
    <w:rsid w:val="00BD54F1"/>
    <w:rsid w:val="00BD5F1A"/>
    <w:rsid w:val="00BD5F1B"/>
    <w:rsid w:val="00BD5FF1"/>
    <w:rsid w:val="00BD614C"/>
    <w:rsid w:val="00BD659C"/>
    <w:rsid w:val="00BD66B8"/>
    <w:rsid w:val="00BD6748"/>
    <w:rsid w:val="00BD6F5E"/>
    <w:rsid w:val="00BD717D"/>
    <w:rsid w:val="00BD71F9"/>
    <w:rsid w:val="00BD72D9"/>
    <w:rsid w:val="00BD745D"/>
    <w:rsid w:val="00BD7519"/>
    <w:rsid w:val="00BD763C"/>
    <w:rsid w:val="00BD795D"/>
    <w:rsid w:val="00BD7B03"/>
    <w:rsid w:val="00BD7D20"/>
    <w:rsid w:val="00BD7DF1"/>
    <w:rsid w:val="00BD7E11"/>
    <w:rsid w:val="00BD7EC6"/>
    <w:rsid w:val="00BE0173"/>
    <w:rsid w:val="00BE0174"/>
    <w:rsid w:val="00BE02A1"/>
    <w:rsid w:val="00BE035D"/>
    <w:rsid w:val="00BE09C6"/>
    <w:rsid w:val="00BE0A6F"/>
    <w:rsid w:val="00BE0BCA"/>
    <w:rsid w:val="00BE0CB5"/>
    <w:rsid w:val="00BE0CE5"/>
    <w:rsid w:val="00BE1112"/>
    <w:rsid w:val="00BE11AC"/>
    <w:rsid w:val="00BE1234"/>
    <w:rsid w:val="00BE1775"/>
    <w:rsid w:val="00BE19C8"/>
    <w:rsid w:val="00BE1AD9"/>
    <w:rsid w:val="00BE1C4C"/>
    <w:rsid w:val="00BE1CAF"/>
    <w:rsid w:val="00BE1D23"/>
    <w:rsid w:val="00BE1D7E"/>
    <w:rsid w:val="00BE1D83"/>
    <w:rsid w:val="00BE20DB"/>
    <w:rsid w:val="00BE2679"/>
    <w:rsid w:val="00BE26EE"/>
    <w:rsid w:val="00BE2724"/>
    <w:rsid w:val="00BE27DA"/>
    <w:rsid w:val="00BE292A"/>
    <w:rsid w:val="00BE2BE0"/>
    <w:rsid w:val="00BE2CA0"/>
    <w:rsid w:val="00BE2CB9"/>
    <w:rsid w:val="00BE2FA6"/>
    <w:rsid w:val="00BE333F"/>
    <w:rsid w:val="00BE371C"/>
    <w:rsid w:val="00BE388D"/>
    <w:rsid w:val="00BE3ADA"/>
    <w:rsid w:val="00BE3AEB"/>
    <w:rsid w:val="00BE3C7A"/>
    <w:rsid w:val="00BE3C7C"/>
    <w:rsid w:val="00BE4103"/>
    <w:rsid w:val="00BE4224"/>
    <w:rsid w:val="00BE435C"/>
    <w:rsid w:val="00BE4373"/>
    <w:rsid w:val="00BE43F2"/>
    <w:rsid w:val="00BE446D"/>
    <w:rsid w:val="00BE451A"/>
    <w:rsid w:val="00BE4775"/>
    <w:rsid w:val="00BE4777"/>
    <w:rsid w:val="00BE4C4A"/>
    <w:rsid w:val="00BE4D7D"/>
    <w:rsid w:val="00BE4E1D"/>
    <w:rsid w:val="00BE51BB"/>
    <w:rsid w:val="00BE538A"/>
    <w:rsid w:val="00BE5414"/>
    <w:rsid w:val="00BE5990"/>
    <w:rsid w:val="00BE5A64"/>
    <w:rsid w:val="00BE626D"/>
    <w:rsid w:val="00BE63DD"/>
    <w:rsid w:val="00BE6483"/>
    <w:rsid w:val="00BE6822"/>
    <w:rsid w:val="00BE6848"/>
    <w:rsid w:val="00BE6A36"/>
    <w:rsid w:val="00BE6DFF"/>
    <w:rsid w:val="00BE6E70"/>
    <w:rsid w:val="00BE7227"/>
    <w:rsid w:val="00BE724E"/>
    <w:rsid w:val="00BE7271"/>
    <w:rsid w:val="00BE72E4"/>
    <w:rsid w:val="00BE7406"/>
    <w:rsid w:val="00BE74FE"/>
    <w:rsid w:val="00BE7603"/>
    <w:rsid w:val="00BE76F1"/>
    <w:rsid w:val="00BE7787"/>
    <w:rsid w:val="00BE7CB6"/>
    <w:rsid w:val="00BE7D07"/>
    <w:rsid w:val="00BF0329"/>
    <w:rsid w:val="00BF03BA"/>
    <w:rsid w:val="00BF0590"/>
    <w:rsid w:val="00BF0916"/>
    <w:rsid w:val="00BF0A26"/>
    <w:rsid w:val="00BF0AB1"/>
    <w:rsid w:val="00BF0D7F"/>
    <w:rsid w:val="00BF0F2B"/>
    <w:rsid w:val="00BF12BA"/>
    <w:rsid w:val="00BF14E9"/>
    <w:rsid w:val="00BF1566"/>
    <w:rsid w:val="00BF1664"/>
    <w:rsid w:val="00BF1C2E"/>
    <w:rsid w:val="00BF1DEE"/>
    <w:rsid w:val="00BF20BA"/>
    <w:rsid w:val="00BF21D0"/>
    <w:rsid w:val="00BF28DC"/>
    <w:rsid w:val="00BF292C"/>
    <w:rsid w:val="00BF2B76"/>
    <w:rsid w:val="00BF2F73"/>
    <w:rsid w:val="00BF30F3"/>
    <w:rsid w:val="00BF3279"/>
    <w:rsid w:val="00BF32A7"/>
    <w:rsid w:val="00BF33B0"/>
    <w:rsid w:val="00BF33C2"/>
    <w:rsid w:val="00BF345C"/>
    <w:rsid w:val="00BF357F"/>
    <w:rsid w:val="00BF3609"/>
    <w:rsid w:val="00BF38A8"/>
    <w:rsid w:val="00BF3ACC"/>
    <w:rsid w:val="00BF3BCF"/>
    <w:rsid w:val="00BF3D0F"/>
    <w:rsid w:val="00BF3E54"/>
    <w:rsid w:val="00BF4088"/>
    <w:rsid w:val="00BF41B8"/>
    <w:rsid w:val="00BF446D"/>
    <w:rsid w:val="00BF4758"/>
    <w:rsid w:val="00BF485B"/>
    <w:rsid w:val="00BF4B2D"/>
    <w:rsid w:val="00BF4D71"/>
    <w:rsid w:val="00BF4F29"/>
    <w:rsid w:val="00BF500F"/>
    <w:rsid w:val="00BF510E"/>
    <w:rsid w:val="00BF52A6"/>
    <w:rsid w:val="00BF53F4"/>
    <w:rsid w:val="00BF5648"/>
    <w:rsid w:val="00BF5A2E"/>
    <w:rsid w:val="00BF5A8F"/>
    <w:rsid w:val="00BF5D87"/>
    <w:rsid w:val="00BF5DC3"/>
    <w:rsid w:val="00BF5ED5"/>
    <w:rsid w:val="00BF6160"/>
    <w:rsid w:val="00BF61E2"/>
    <w:rsid w:val="00BF64E3"/>
    <w:rsid w:val="00BF68FF"/>
    <w:rsid w:val="00BF692A"/>
    <w:rsid w:val="00BF6C19"/>
    <w:rsid w:val="00BF6FE9"/>
    <w:rsid w:val="00BF71F9"/>
    <w:rsid w:val="00BF7316"/>
    <w:rsid w:val="00BF736B"/>
    <w:rsid w:val="00BF74C7"/>
    <w:rsid w:val="00BF755B"/>
    <w:rsid w:val="00BF75D6"/>
    <w:rsid w:val="00BF7A74"/>
    <w:rsid w:val="00BF7D6A"/>
    <w:rsid w:val="00BF7E5C"/>
    <w:rsid w:val="00C00112"/>
    <w:rsid w:val="00C00339"/>
    <w:rsid w:val="00C0046D"/>
    <w:rsid w:val="00C00A07"/>
    <w:rsid w:val="00C00F0D"/>
    <w:rsid w:val="00C00F61"/>
    <w:rsid w:val="00C0101C"/>
    <w:rsid w:val="00C01279"/>
    <w:rsid w:val="00C015E3"/>
    <w:rsid w:val="00C015F1"/>
    <w:rsid w:val="00C01862"/>
    <w:rsid w:val="00C01881"/>
    <w:rsid w:val="00C01D88"/>
    <w:rsid w:val="00C01F33"/>
    <w:rsid w:val="00C0218B"/>
    <w:rsid w:val="00C02391"/>
    <w:rsid w:val="00C02C9A"/>
    <w:rsid w:val="00C02CC6"/>
    <w:rsid w:val="00C03636"/>
    <w:rsid w:val="00C03715"/>
    <w:rsid w:val="00C03A5C"/>
    <w:rsid w:val="00C03AEE"/>
    <w:rsid w:val="00C03BA0"/>
    <w:rsid w:val="00C040F7"/>
    <w:rsid w:val="00C0416E"/>
    <w:rsid w:val="00C04301"/>
    <w:rsid w:val="00C043BD"/>
    <w:rsid w:val="00C0447D"/>
    <w:rsid w:val="00C044AB"/>
    <w:rsid w:val="00C044C5"/>
    <w:rsid w:val="00C04614"/>
    <w:rsid w:val="00C04955"/>
    <w:rsid w:val="00C04B0E"/>
    <w:rsid w:val="00C04B21"/>
    <w:rsid w:val="00C04C50"/>
    <w:rsid w:val="00C04D61"/>
    <w:rsid w:val="00C04E35"/>
    <w:rsid w:val="00C051D2"/>
    <w:rsid w:val="00C056B3"/>
    <w:rsid w:val="00C05706"/>
    <w:rsid w:val="00C058B2"/>
    <w:rsid w:val="00C05AB2"/>
    <w:rsid w:val="00C05B68"/>
    <w:rsid w:val="00C05BAC"/>
    <w:rsid w:val="00C05D3F"/>
    <w:rsid w:val="00C05D96"/>
    <w:rsid w:val="00C05ED4"/>
    <w:rsid w:val="00C06208"/>
    <w:rsid w:val="00C06266"/>
    <w:rsid w:val="00C065B2"/>
    <w:rsid w:val="00C06802"/>
    <w:rsid w:val="00C06819"/>
    <w:rsid w:val="00C06C54"/>
    <w:rsid w:val="00C06CED"/>
    <w:rsid w:val="00C07193"/>
    <w:rsid w:val="00C071B0"/>
    <w:rsid w:val="00C071DE"/>
    <w:rsid w:val="00C07377"/>
    <w:rsid w:val="00C07BF6"/>
    <w:rsid w:val="00C10124"/>
    <w:rsid w:val="00C10131"/>
    <w:rsid w:val="00C102AB"/>
    <w:rsid w:val="00C103BB"/>
    <w:rsid w:val="00C103D6"/>
    <w:rsid w:val="00C10438"/>
    <w:rsid w:val="00C10478"/>
    <w:rsid w:val="00C10675"/>
    <w:rsid w:val="00C10778"/>
    <w:rsid w:val="00C10920"/>
    <w:rsid w:val="00C10ACF"/>
    <w:rsid w:val="00C10CAE"/>
    <w:rsid w:val="00C10E97"/>
    <w:rsid w:val="00C1105D"/>
    <w:rsid w:val="00C113A6"/>
    <w:rsid w:val="00C115A3"/>
    <w:rsid w:val="00C115CA"/>
    <w:rsid w:val="00C11665"/>
    <w:rsid w:val="00C11786"/>
    <w:rsid w:val="00C118AA"/>
    <w:rsid w:val="00C119A4"/>
    <w:rsid w:val="00C11BB3"/>
    <w:rsid w:val="00C11CEA"/>
    <w:rsid w:val="00C11DDA"/>
    <w:rsid w:val="00C11FCB"/>
    <w:rsid w:val="00C1200D"/>
    <w:rsid w:val="00C12107"/>
    <w:rsid w:val="00C12559"/>
    <w:rsid w:val="00C126BA"/>
    <w:rsid w:val="00C12781"/>
    <w:rsid w:val="00C12AFC"/>
    <w:rsid w:val="00C12BBC"/>
    <w:rsid w:val="00C12C8F"/>
    <w:rsid w:val="00C12FC6"/>
    <w:rsid w:val="00C13395"/>
    <w:rsid w:val="00C133C8"/>
    <w:rsid w:val="00C134C3"/>
    <w:rsid w:val="00C1353B"/>
    <w:rsid w:val="00C136F6"/>
    <w:rsid w:val="00C13741"/>
    <w:rsid w:val="00C13C74"/>
    <w:rsid w:val="00C14112"/>
    <w:rsid w:val="00C1412B"/>
    <w:rsid w:val="00C1436B"/>
    <w:rsid w:val="00C143C0"/>
    <w:rsid w:val="00C145AE"/>
    <w:rsid w:val="00C14760"/>
    <w:rsid w:val="00C1499A"/>
    <w:rsid w:val="00C14C20"/>
    <w:rsid w:val="00C14D4B"/>
    <w:rsid w:val="00C14FF8"/>
    <w:rsid w:val="00C15040"/>
    <w:rsid w:val="00C1506F"/>
    <w:rsid w:val="00C15105"/>
    <w:rsid w:val="00C151CC"/>
    <w:rsid w:val="00C1528F"/>
    <w:rsid w:val="00C154A0"/>
    <w:rsid w:val="00C154BB"/>
    <w:rsid w:val="00C157EE"/>
    <w:rsid w:val="00C15AD9"/>
    <w:rsid w:val="00C15B15"/>
    <w:rsid w:val="00C15CDA"/>
    <w:rsid w:val="00C15CE0"/>
    <w:rsid w:val="00C15E98"/>
    <w:rsid w:val="00C161E6"/>
    <w:rsid w:val="00C16494"/>
    <w:rsid w:val="00C16A82"/>
    <w:rsid w:val="00C16CED"/>
    <w:rsid w:val="00C16D80"/>
    <w:rsid w:val="00C16E2B"/>
    <w:rsid w:val="00C16F64"/>
    <w:rsid w:val="00C17103"/>
    <w:rsid w:val="00C17197"/>
    <w:rsid w:val="00C172E2"/>
    <w:rsid w:val="00C174D1"/>
    <w:rsid w:val="00C17616"/>
    <w:rsid w:val="00C17765"/>
    <w:rsid w:val="00C17895"/>
    <w:rsid w:val="00C1789F"/>
    <w:rsid w:val="00C17DD2"/>
    <w:rsid w:val="00C17EF1"/>
    <w:rsid w:val="00C20067"/>
    <w:rsid w:val="00C20262"/>
    <w:rsid w:val="00C202E1"/>
    <w:rsid w:val="00C20446"/>
    <w:rsid w:val="00C205C9"/>
    <w:rsid w:val="00C20835"/>
    <w:rsid w:val="00C2087B"/>
    <w:rsid w:val="00C2099B"/>
    <w:rsid w:val="00C20A21"/>
    <w:rsid w:val="00C20B07"/>
    <w:rsid w:val="00C20B7B"/>
    <w:rsid w:val="00C20CEC"/>
    <w:rsid w:val="00C20F3A"/>
    <w:rsid w:val="00C21266"/>
    <w:rsid w:val="00C2139D"/>
    <w:rsid w:val="00C2159C"/>
    <w:rsid w:val="00C21720"/>
    <w:rsid w:val="00C2182D"/>
    <w:rsid w:val="00C21BD9"/>
    <w:rsid w:val="00C21F12"/>
    <w:rsid w:val="00C21FBA"/>
    <w:rsid w:val="00C220B3"/>
    <w:rsid w:val="00C222F4"/>
    <w:rsid w:val="00C2245D"/>
    <w:rsid w:val="00C22471"/>
    <w:rsid w:val="00C22663"/>
    <w:rsid w:val="00C22724"/>
    <w:rsid w:val="00C227BA"/>
    <w:rsid w:val="00C22A65"/>
    <w:rsid w:val="00C22E40"/>
    <w:rsid w:val="00C2307D"/>
    <w:rsid w:val="00C23084"/>
    <w:rsid w:val="00C234B1"/>
    <w:rsid w:val="00C2361E"/>
    <w:rsid w:val="00C23649"/>
    <w:rsid w:val="00C23670"/>
    <w:rsid w:val="00C2370A"/>
    <w:rsid w:val="00C2379A"/>
    <w:rsid w:val="00C23874"/>
    <w:rsid w:val="00C23A1C"/>
    <w:rsid w:val="00C24047"/>
    <w:rsid w:val="00C24081"/>
    <w:rsid w:val="00C24119"/>
    <w:rsid w:val="00C2420F"/>
    <w:rsid w:val="00C242CD"/>
    <w:rsid w:val="00C243D6"/>
    <w:rsid w:val="00C244D7"/>
    <w:rsid w:val="00C24520"/>
    <w:rsid w:val="00C2462B"/>
    <w:rsid w:val="00C2465E"/>
    <w:rsid w:val="00C249F6"/>
    <w:rsid w:val="00C24AFC"/>
    <w:rsid w:val="00C24D22"/>
    <w:rsid w:val="00C24F91"/>
    <w:rsid w:val="00C2502A"/>
    <w:rsid w:val="00C2505C"/>
    <w:rsid w:val="00C25067"/>
    <w:rsid w:val="00C25157"/>
    <w:rsid w:val="00C2515A"/>
    <w:rsid w:val="00C25543"/>
    <w:rsid w:val="00C25640"/>
    <w:rsid w:val="00C2574B"/>
    <w:rsid w:val="00C25916"/>
    <w:rsid w:val="00C25BBA"/>
    <w:rsid w:val="00C25C21"/>
    <w:rsid w:val="00C25D40"/>
    <w:rsid w:val="00C25FB4"/>
    <w:rsid w:val="00C2608C"/>
    <w:rsid w:val="00C2610B"/>
    <w:rsid w:val="00C262B0"/>
    <w:rsid w:val="00C2694E"/>
    <w:rsid w:val="00C26CC7"/>
    <w:rsid w:val="00C26DED"/>
    <w:rsid w:val="00C2710A"/>
    <w:rsid w:val="00C275CD"/>
    <w:rsid w:val="00C27846"/>
    <w:rsid w:val="00C27863"/>
    <w:rsid w:val="00C27902"/>
    <w:rsid w:val="00C279B5"/>
    <w:rsid w:val="00C27B6F"/>
    <w:rsid w:val="00C27C19"/>
    <w:rsid w:val="00C27C45"/>
    <w:rsid w:val="00C30129"/>
    <w:rsid w:val="00C3015D"/>
    <w:rsid w:val="00C30469"/>
    <w:rsid w:val="00C304FE"/>
    <w:rsid w:val="00C3071E"/>
    <w:rsid w:val="00C307F5"/>
    <w:rsid w:val="00C308BB"/>
    <w:rsid w:val="00C30971"/>
    <w:rsid w:val="00C309E5"/>
    <w:rsid w:val="00C30AC5"/>
    <w:rsid w:val="00C30CEA"/>
    <w:rsid w:val="00C30E7B"/>
    <w:rsid w:val="00C315F4"/>
    <w:rsid w:val="00C31605"/>
    <w:rsid w:val="00C31AA5"/>
    <w:rsid w:val="00C31BE5"/>
    <w:rsid w:val="00C31D9D"/>
    <w:rsid w:val="00C31ED5"/>
    <w:rsid w:val="00C3217D"/>
    <w:rsid w:val="00C3258C"/>
    <w:rsid w:val="00C326BB"/>
    <w:rsid w:val="00C32AB6"/>
    <w:rsid w:val="00C32C62"/>
    <w:rsid w:val="00C32EF2"/>
    <w:rsid w:val="00C32FAD"/>
    <w:rsid w:val="00C330A3"/>
    <w:rsid w:val="00C33243"/>
    <w:rsid w:val="00C3365B"/>
    <w:rsid w:val="00C339D9"/>
    <w:rsid w:val="00C33DCC"/>
    <w:rsid w:val="00C33DF2"/>
    <w:rsid w:val="00C33F52"/>
    <w:rsid w:val="00C3402E"/>
    <w:rsid w:val="00C34279"/>
    <w:rsid w:val="00C34A64"/>
    <w:rsid w:val="00C34C0D"/>
    <w:rsid w:val="00C34FB1"/>
    <w:rsid w:val="00C350C2"/>
    <w:rsid w:val="00C356E1"/>
    <w:rsid w:val="00C356EF"/>
    <w:rsid w:val="00C35C02"/>
    <w:rsid w:val="00C35F79"/>
    <w:rsid w:val="00C36183"/>
    <w:rsid w:val="00C3624D"/>
    <w:rsid w:val="00C36298"/>
    <w:rsid w:val="00C36644"/>
    <w:rsid w:val="00C36683"/>
    <w:rsid w:val="00C367F2"/>
    <w:rsid w:val="00C36AC7"/>
    <w:rsid w:val="00C36FB1"/>
    <w:rsid w:val="00C3719D"/>
    <w:rsid w:val="00C37239"/>
    <w:rsid w:val="00C37417"/>
    <w:rsid w:val="00C37667"/>
    <w:rsid w:val="00C37754"/>
    <w:rsid w:val="00C3778D"/>
    <w:rsid w:val="00C378B2"/>
    <w:rsid w:val="00C37A2F"/>
    <w:rsid w:val="00C37A82"/>
    <w:rsid w:val="00C37AD8"/>
    <w:rsid w:val="00C37B9C"/>
    <w:rsid w:val="00C37CB2"/>
    <w:rsid w:val="00C37E27"/>
    <w:rsid w:val="00C37F30"/>
    <w:rsid w:val="00C4004B"/>
    <w:rsid w:val="00C40052"/>
    <w:rsid w:val="00C406CE"/>
    <w:rsid w:val="00C4074D"/>
    <w:rsid w:val="00C40A94"/>
    <w:rsid w:val="00C40B4D"/>
    <w:rsid w:val="00C40D72"/>
    <w:rsid w:val="00C40D97"/>
    <w:rsid w:val="00C411A7"/>
    <w:rsid w:val="00C412F7"/>
    <w:rsid w:val="00C41536"/>
    <w:rsid w:val="00C415E3"/>
    <w:rsid w:val="00C41705"/>
    <w:rsid w:val="00C41738"/>
    <w:rsid w:val="00C41D28"/>
    <w:rsid w:val="00C41EDE"/>
    <w:rsid w:val="00C41FA7"/>
    <w:rsid w:val="00C421DF"/>
    <w:rsid w:val="00C42C9D"/>
    <w:rsid w:val="00C42E00"/>
    <w:rsid w:val="00C43139"/>
    <w:rsid w:val="00C4329F"/>
    <w:rsid w:val="00C4348B"/>
    <w:rsid w:val="00C435CE"/>
    <w:rsid w:val="00C4369A"/>
    <w:rsid w:val="00C436E6"/>
    <w:rsid w:val="00C43ACD"/>
    <w:rsid w:val="00C43BC1"/>
    <w:rsid w:val="00C4402F"/>
    <w:rsid w:val="00C4462F"/>
    <w:rsid w:val="00C447D8"/>
    <w:rsid w:val="00C44A83"/>
    <w:rsid w:val="00C44BCA"/>
    <w:rsid w:val="00C44D87"/>
    <w:rsid w:val="00C44E0B"/>
    <w:rsid w:val="00C44EAA"/>
    <w:rsid w:val="00C44F12"/>
    <w:rsid w:val="00C44FAE"/>
    <w:rsid w:val="00C45058"/>
    <w:rsid w:val="00C451EA"/>
    <w:rsid w:val="00C45307"/>
    <w:rsid w:val="00C45351"/>
    <w:rsid w:val="00C45548"/>
    <w:rsid w:val="00C459E2"/>
    <w:rsid w:val="00C45B6C"/>
    <w:rsid w:val="00C45CAE"/>
    <w:rsid w:val="00C45EAA"/>
    <w:rsid w:val="00C45FA9"/>
    <w:rsid w:val="00C4624B"/>
    <w:rsid w:val="00C46616"/>
    <w:rsid w:val="00C46934"/>
    <w:rsid w:val="00C46938"/>
    <w:rsid w:val="00C46A95"/>
    <w:rsid w:val="00C46B11"/>
    <w:rsid w:val="00C46C7C"/>
    <w:rsid w:val="00C46F2D"/>
    <w:rsid w:val="00C470AC"/>
    <w:rsid w:val="00C47315"/>
    <w:rsid w:val="00C4731F"/>
    <w:rsid w:val="00C473A5"/>
    <w:rsid w:val="00C47670"/>
    <w:rsid w:val="00C4798D"/>
    <w:rsid w:val="00C47D0C"/>
    <w:rsid w:val="00C47EFF"/>
    <w:rsid w:val="00C50512"/>
    <w:rsid w:val="00C505FF"/>
    <w:rsid w:val="00C50B44"/>
    <w:rsid w:val="00C51340"/>
    <w:rsid w:val="00C51553"/>
    <w:rsid w:val="00C51BC9"/>
    <w:rsid w:val="00C51D7D"/>
    <w:rsid w:val="00C51EE8"/>
    <w:rsid w:val="00C51F04"/>
    <w:rsid w:val="00C520CC"/>
    <w:rsid w:val="00C52217"/>
    <w:rsid w:val="00C527EA"/>
    <w:rsid w:val="00C52A30"/>
    <w:rsid w:val="00C52BF0"/>
    <w:rsid w:val="00C52C7D"/>
    <w:rsid w:val="00C52C83"/>
    <w:rsid w:val="00C52CAD"/>
    <w:rsid w:val="00C52CFB"/>
    <w:rsid w:val="00C52FEF"/>
    <w:rsid w:val="00C531D7"/>
    <w:rsid w:val="00C53252"/>
    <w:rsid w:val="00C532AF"/>
    <w:rsid w:val="00C532BF"/>
    <w:rsid w:val="00C532F2"/>
    <w:rsid w:val="00C535AD"/>
    <w:rsid w:val="00C53643"/>
    <w:rsid w:val="00C53652"/>
    <w:rsid w:val="00C53665"/>
    <w:rsid w:val="00C53A45"/>
    <w:rsid w:val="00C53B19"/>
    <w:rsid w:val="00C53B32"/>
    <w:rsid w:val="00C53BB4"/>
    <w:rsid w:val="00C53C9B"/>
    <w:rsid w:val="00C53E1C"/>
    <w:rsid w:val="00C53EC9"/>
    <w:rsid w:val="00C5432E"/>
    <w:rsid w:val="00C54894"/>
    <w:rsid w:val="00C5491F"/>
    <w:rsid w:val="00C54995"/>
    <w:rsid w:val="00C54D41"/>
    <w:rsid w:val="00C54F54"/>
    <w:rsid w:val="00C5548E"/>
    <w:rsid w:val="00C557D6"/>
    <w:rsid w:val="00C55895"/>
    <w:rsid w:val="00C55BBD"/>
    <w:rsid w:val="00C55DBE"/>
    <w:rsid w:val="00C56164"/>
    <w:rsid w:val="00C56325"/>
    <w:rsid w:val="00C5645D"/>
    <w:rsid w:val="00C568C2"/>
    <w:rsid w:val="00C56DE5"/>
    <w:rsid w:val="00C56F12"/>
    <w:rsid w:val="00C57149"/>
    <w:rsid w:val="00C57306"/>
    <w:rsid w:val="00C577D7"/>
    <w:rsid w:val="00C57A36"/>
    <w:rsid w:val="00C57BF9"/>
    <w:rsid w:val="00C57E76"/>
    <w:rsid w:val="00C6032F"/>
    <w:rsid w:val="00C60767"/>
    <w:rsid w:val="00C60783"/>
    <w:rsid w:val="00C60BA5"/>
    <w:rsid w:val="00C60DBD"/>
    <w:rsid w:val="00C60DE7"/>
    <w:rsid w:val="00C60DF4"/>
    <w:rsid w:val="00C60E2E"/>
    <w:rsid w:val="00C60FBA"/>
    <w:rsid w:val="00C61341"/>
    <w:rsid w:val="00C6142F"/>
    <w:rsid w:val="00C619AE"/>
    <w:rsid w:val="00C61B45"/>
    <w:rsid w:val="00C61C8C"/>
    <w:rsid w:val="00C61C94"/>
    <w:rsid w:val="00C6208F"/>
    <w:rsid w:val="00C62153"/>
    <w:rsid w:val="00C622C7"/>
    <w:rsid w:val="00C62337"/>
    <w:rsid w:val="00C624CF"/>
    <w:rsid w:val="00C624D8"/>
    <w:rsid w:val="00C62568"/>
    <w:rsid w:val="00C625B6"/>
    <w:rsid w:val="00C626D0"/>
    <w:rsid w:val="00C627E5"/>
    <w:rsid w:val="00C628F8"/>
    <w:rsid w:val="00C62977"/>
    <w:rsid w:val="00C629AC"/>
    <w:rsid w:val="00C62A31"/>
    <w:rsid w:val="00C62AAD"/>
    <w:rsid w:val="00C62C42"/>
    <w:rsid w:val="00C62EDF"/>
    <w:rsid w:val="00C62F13"/>
    <w:rsid w:val="00C631D1"/>
    <w:rsid w:val="00C631D4"/>
    <w:rsid w:val="00C6351F"/>
    <w:rsid w:val="00C63580"/>
    <w:rsid w:val="00C63ADF"/>
    <w:rsid w:val="00C63AEF"/>
    <w:rsid w:val="00C64145"/>
    <w:rsid w:val="00C64672"/>
    <w:rsid w:val="00C6488D"/>
    <w:rsid w:val="00C648D4"/>
    <w:rsid w:val="00C648E9"/>
    <w:rsid w:val="00C64934"/>
    <w:rsid w:val="00C64949"/>
    <w:rsid w:val="00C64AD1"/>
    <w:rsid w:val="00C64AEE"/>
    <w:rsid w:val="00C64C8B"/>
    <w:rsid w:val="00C64F8F"/>
    <w:rsid w:val="00C65067"/>
    <w:rsid w:val="00C652EA"/>
    <w:rsid w:val="00C654B6"/>
    <w:rsid w:val="00C65596"/>
    <w:rsid w:val="00C6566C"/>
    <w:rsid w:val="00C657CE"/>
    <w:rsid w:val="00C657E0"/>
    <w:rsid w:val="00C6580F"/>
    <w:rsid w:val="00C65CD0"/>
    <w:rsid w:val="00C65D17"/>
    <w:rsid w:val="00C65E82"/>
    <w:rsid w:val="00C66435"/>
    <w:rsid w:val="00C66C38"/>
    <w:rsid w:val="00C66D15"/>
    <w:rsid w:val="00C66D3C"/>
    <w:rsid w:val="00C66E1E"/>
    <w:rsid w:val="00C670F9"/>
    <w:rsid w:val="00C6789F"/>
    <w:rsid w:val="00C67ADA"/>
    <w:rsid w:val="00C67B3A"/>
    <w:rsid w:val="00C67BC7"/>
    <w:rsid w:val="00C67BD4"/>
    <w:rsid w:val="00C67BF3"/>
    <w:rsid w:val="00C67DA7"/>
    <w:rsid w:val="00C67F9B"/>
    <w:rsid w:val="00C700DF"/>
    <w:rsid w:val="00C70125"/>
    <w:rsid w:val="00C7012D"/>
    <w:rsid w:val="00C705EC"/>
    <w:rsid w:val="00C70697"/>
    <w:rsid w:val="00C7081F"/>
    <w:rsid w:val="00C70BE9"/>
    <w:rsid w:val="00C70F85"/>
    <w:rsid w:val="00C70FD1"/>
    <w:rsid w:val="00C7112A"/>
    <w:rsid w:val="00C71178"/>
    <w:rsid w:val="00C71281"/>
    <w:rsid w:val="00C7139F"/>
    <w:rsid w:val="00C713D3"/>
    <w:rsid w:val="00C716D1"/>
    <w:rsid w:val="00C717D6"/>
    <w:rsid w:val="00C72093"/>
    <w:rsid w:val="00C724BB"/>
    <w:rsid w:val="00C729F4"/>
    <w:rsid w:val="00C72D32"/>
    <w:rsid w:val="00C72EF4"/>
    <w:rsid w:val="00C730BB"/>
    <w:rsid w:val="00C732B8"/>
    <w:rsid w:val="00C73324"/>
    <w:rsid w:val="00C7365B"/>
    <w:rsid w:val="00C736AF"/>
    <w:rsid w:val="00C73880"/>
    <w:rsid w:val="00C73A0C"/>
    <w:rsid w:val="00C74013"/>
    <w:rsid w:val="00C74239"/>
    <w:rsid w:val="00C742BF"/>
    <w:rsid w:val="00C744FE"/>
    <w:rsid w:val="00C74C3E"/>
    <w:rsid w:val="00C7530E"/>
    <w:rsid w:val="00C75495"/>
    <w:rsid w:val="00C75582"/>
    <w:rsid w:val="00C75810"/>
    <w:rsid w:val="00C758C3"/>
    <w:rsid w:val="00C75B37"/>
    <w:rsid w:val="00C75C0B"/>
    <w:rsid w:val="00C75C37"/>
    <w:rsid w:val="00C75C65"/>
    <w:rsid w:val="00C75D2F"/>
    <w:rsid w:val="00C75FE3"/>
    <w:rsid w:val="00C7617F"/>
    <w:rsid w:val="00C7626C"/>
    <w:rsid w:val="00C763D9"/>
    <w:rsid w:val="00C764A5"/>
    <w:rsid w:val="00C764D5"/>
    <w:rsid w:val="00C767AA"/>
    <w:rsid w:val="00C767BE"/>
    <w:rsid w:val="00C768A9"/>
    <w:rsid w:val="00C76C58"/>
    <w:rsid w:val="00C76D0C"/>
    <w:rsid w:val="00C76E3C"/>
    <w:rsid w:val="00C77190"/>
    <w:rsid w:val="00C771C7"/>
    <w:rsid w:val="00C77598"/>
    <w:rsid w:val="00C775B9"/>
    <w:rsid w:val="00C77684"/>
    <w:rsid w:val="00C77775"/>
    <w:rsid w:val="00C777DC"/>
    <w:rsid w:val="00C779B8"/>
    <w:rsid w:val="00C77A32"/>
    <w:rsid w:val="00C77A6A"/>
    <w:rsid w:val="00C77A7E"/>
    <w:rsid w:val="00C77ABE"/>
    <w:rsid w:val="00C77C22"/>
    <w:rsid w:val="00C77E4B"/>
    <w:rsid w:val="00C8009A"/>
    <w:rsid w:val="00C8011B"/>
    <w:rsid w:val="00C8029F"/>
    <w:rsid w:val="00C80379"/>
    <w:rsid w:val="00C80515"/>
    <w:rsid w:val="00C806FC"/>
    <w:rsid w:val="00C8086C"/>
    <w:rsid w:val="00C809CA"/>
    <w:rsid w:val="00C809CE"/>
    <w:rsid w:val="00C80BB9"/>
    <w:rsid w:val="00C814F9"/>
    <w:rsid w:val="00C81568"/>
    <w:rsid w:val="00C816E4"/>
    <w:rsid w:val="00C81A7A"/>
    <w:rsid w:val="00C81AF5"/>
    <w:rsid w:val="00C81B0F"/>
    <w:rsid w:val="00C8209D"/>
    <w:rsid w:val="00C820DA"/>
    <w:rsid w:val="00C8234B"/>
    <w:rsid w:val="00C824B0"/>
    <w:rsid w:val="00C8263E"/>
    <w:rsid w:val="00C828F7"/>
    <w:rsid w:val="00C82B63"/>
    <w:rsid w:val="00C82D95"/>
    <w:rsid w:val="00C82E82"/>
    <w:rsid w:val="00C83057"/>
    <w:rsid w:val="00C83100"/>
    <w:rsid w:val="00C8317C"/>
    <w:rsid w:val="00C831A4"/>
    <w:rsid w:val="00C83343"/>
    <w:rsid w:val="00C8367F"/>
    <w:rsid w:val="00C83748"/>
    <w:rsid w:val="00C8385E"/>
    <w:rsid w:val="00C839BD"/>
    <w:rsid w:val="00C83D14"/>
    <w:rsid w:val="00C83EDB"/>
    <w:rsid w:val="00C83F0F"/>
    <w:rsid w:val="00C840EA"/>
    <w:rsid w:val="00C84323"/>
    <w:rsid w:val="00C84401"/>
    <w:rsid w:val="00C844E1"/>
    <w:rsid w:val="00C849AA"/>
    <w:rsid w:val="00C84B15"/>
    <w:rsid w:val="00C84FB2"/>
    <w:rsid w:val="00C8509F"/>
    <w:rsid w:val="00C85285"/>
    <w:rsid w:val="00C8530E"/>
    <w:rsid w:val="00C85569"/>
    <w:rsid w:val="00C85B51"/>
    <w:rsid w:val="00C85BA6"/>
    <w:rsid w:val="00C85D56"/>
    <w:rsid w:val="00C85E51"/>
    <w:rsid w:val="00C85E5F"/>
    <w:rsid w:val="00C85EA3"/>
    <w:rsid w:val="00C85EDB"/>
    <w:rsid w:val="00C86136"/>
    <w:rsid w:val="00C8663D"/>
    <w:rsid w:val="00C8677E"/>
    <w:rsid w:val="00C86B79"/>
    <w:rsid w:val="00C86C4E"/>
    <w:rsid w:val="00C8723C"/>
    <w:rsid w:val="00C8740A"/>
    <w:rsid w:val="00C875C1"/>
    <w:rsid w:val="00C8762C"/>
    <w:rsid w:val="00C876E9"/>
    <w:rsid w:val="00C877C9"/>
    <w:rsid w:val="00C87B8E"/>
    <w:rsid w:val="00C87C44"/>
    <w:rsid w:val="00C87D46"/>
    <w:rsid w:val="00C87D4C"/>
    <w:rsid w:val="00C87D7F"/>
    <w:rsid w:val="00C87F79"/>
    <w:rsid w:val="00C9027A"/>
    <w:rsid w:val="00C904B0"/>
    <w:rsid w:val="00C9068E"/>
    <w:rsid w:val="00C9069F"/>
    <w:rsid w:val="00C90858"/>
    <w:rsid w:val="00C909C1"/>
    <w:rsid w:val="00C90D1F"/>
    <w:rsid w:val="00C90ED6"/>
    <w:rsid w:val="00C90F18"/>
    <w:rsid w:val="00C90F84"/>
    <w:rsid w:val="00C913C9"/>
    <w:rsid w:val="00C9147F"/>
    <w:rsid w:val="00C914AC"/>
    <w:rsid w:val="00C915FF"/>
    <w:rsid w:val="00C91641"/>
    <w:rsid w:val="00C91796"/>
    <w:rsid w:val="00C918AB"/>
    <w:rsid w:val="00C91A6E"/>
    <w:rsid w:val="00C91C65"/>
    <w:rsid w:val="00C91F10"/>
    <w:rsid w:val="00C91F6C"/>
    <w:rsid w:val="00C9208D"/>
    <w:rsid w:val="00C92093"/>
    <w:rsid w:val="00C9260A"/>
    <w:rsid w:val="00C92657"/>
    <w:rsid w:val="00C926DE"/>
    <w:rsid w:val="00C92ADA"/>
    <w:rsid w:val="00C92B03"/>
    <w:rsid w:val="00C92B0E"/>
    <w:rsid w:val="00C92F45"/>
    <w:rsid w:val="00C92F71"/>
    <w:rsid w:val="00C933D1"/>
    <w:rsid w:val="00C93481"/>
    <w:rsid w:val="00C93620"/>
    <w:rsid w:val="00C937D1"/>
    <w:rsid w:val="00C93814"/>
    <w:rsid w:val="00C93A65"/>
    <w:rsid w:val="00C93C30"/>
    <w:rsid w:val="00C93C4B"/>
    <w:rsid w:val="00C93D6D"/>
    <w:rsid w:val="00C93E74"/>
    <w:rsid w:val="00C9414E"/>
    <w:rsid w:val="00C94160"/>
    <w:rsid w:val="00C94231"/>
    <w:rsid w:val="00C944AB"/>
    <w:rsid w:val="00C9463B"/>
    <w:rsid w:val="00C94851"/>
    <w:rsid w:val="00C948AE"/>
    <w:rsid w:val="00C94EB7"/>
    <w:rsid w:val="00C9505E"/>
    <w:rsid w:val="00C950E0"/>
    <w:rsid w:val="00C9512E"/>
    <w:rsid w:val="00C9518E"/>
    <w:rsid w:val="00C9548C"/>
    <w:rsid w:val="00C955A9"/>
    <w:rsid w:val="00C955EF"/>
    <w:rsid w:val="00C95B40"/>
    <w:rsid w:val="00C95B7A"/>
    <w:rsid w:val="00C95E3A"/>
    <w:rsid w:val="00C95F0C"/>
    <w:rsid w:val="00C960F8"/>
    <w:rsid w:val="00C961B9"/>
    <w:rsid w:val="00C962F4"/>
    <w:rsid w:val="00C963AA"/>
    <w:rsid w:val="00C963C8"/>
    <w:rsid w:val="00C965CF"/>
    <w:rsid w:val="00C9684E"/>
    <w:rsid w:val="00C96A7C"/>
    <w:rsid w:val="00C96B20"/>
    <w:rsid w:val="00C96B40"/>
    <w:rsid w:val="00C96BFE"/>
    <w:rsid w:val="00C96C52"/>
    <w:rsid w:val="00C96C6D"/>
    <w:rsid w:val="00C9725D"/>
    <w:rsid w:val="00C97276"/>
    <w:rsid w:val="00C972EA"/>
    <w:rsid w:val="00C9770F"/>
    <w:rsid w:val="00C9773A"/>
    <w:rsid w:val="00C97897"/>
    <w:rsid w:val="00C97D71"/>
    <w:rsid w:val="00C97F48"/>
    <w:rsid w:val="00C97F65"/>
    <w:rsid w:val="00CA00EB"/>
    <w:rsid w:val="00CA04FA"/>
    <w:rsid w:val="00CA07AF"/>
    <w:rsid w:val="00CA094A"/>
    <w:rsid w:val="00CA0D2C"/>
    <w:rsid w:val="00CA0DFB"/>
    <w:rsid w:val="00CA0F5B"/>
    <w:rsid w:val="00CA0F85"/>
    <w:rsid w:val="00CA11A4"/>
    <w:rsid w:val="00CA1379"/>
    <w:rsid w:val="00CA1573"/>
    <w:rsid w:val="00CA1876"/>
    <w:rsid w:val="00CA1B3A"/>
    <w:rsid w:val="00CA1D28"/>
    <w:rsid w:val="00CA1DCC"/>
    <w:rsid w:val="00CA1E6A"/>
    <w:rsid w:val="00CA1ED8"/>
    <w:rsid w:val="00CA1FF0"/>
    <w:rsid w:val="00CA21CA"/>
    <w:rsid w:val="00CA23ED"/>
    <w:rsid w:val="00CA2736"/>
    <w:rsid w:val="00CA2916"/>
    <w:rsid w:val="00CA2917"/>
    <w:rsid w:val="00CA2C31"/>
    <w:rsid w:val="00CA2F4F"/>
    <w:rsid w:val="00CA317E"/>
    <w:rsid w:val="00CA3374"/>
    <w:rsid w:val="00CA3697"/>
    <w:rsid w:val="00CA36F6"/>
    <w:rsid w:val="00CA37FE"/>
    <w:rsid w:val="00CA3ACF"/>
    <w:rsid w:val="00CA3C50"/>
    <w:rsid w:val="00CA3DF8"/>
    <w:rsid w:val="00CA3F11"/>
    <w:rsid w:val="00CA3F16"/>
    <w:rsid w:val="00CA42E1"/>
    <w:rsid w:val="00CA46D6"/>
    <w:rsid w:val="00CA4BED"/>
    <w:rsid w:val="00CA4CD8"/>
    <w:rsid w:val="00CA4F2D"/>
    <w:rsid w:val="00CA50C8"/>
    <w:rsid w:val="00CA562B"/>
    <w:rsid w:val="00CA57F9"/>
    <w:rsid w:val="00CA5C14"/>
    <w:rsid w:val="00CA6459"/>
    <w:rsid w:val="00CA6618"/>
    <w:rsid w:val="00CA6A9B"/>
    <w:rsid w:val="00CA6E67"/>
    <w:rsid w:val="00CA739E"/>
    <w:rsid w:val="00CA73A5"/>
    <w:rsid w:val="00CA7753"/>
    <w:rsid w:val="00CA788F"/>
    <w:rsid w:val="00CA7CBF"/>
    <w:rsid w:val="00CA7D60"/>
    <w:rsid w:val="00CA7DD7"/>
    <w:rsid w:val="00CA7F72"/>
    <w:rsid w:val="00CB00DE"/>
    <w:rsid w:val="00CB04CE"/>
    <w:rsid w:val="00CB059C"/>
    <w:rsid w:val="00CB0682"/>
    <w:rsid w:val="00CB0693"/>
    <w:rsid w:val="00CB0822"/>
    <w:rsid w:val="00CB0934"/>
    <w:rsid w:val="00CB1225"/>
    <w:rsid w:val="00CB1300"/>
    <w:rsid w:val="00CB153C"/>
    <w:rsid w:val="00CB1E2B"/>
    <w:rsid w:val="00CB1F63"/>
    <w:rsid w:val="00CB220B"/>
    <w:rsid w:val="00CB2766"/>
    <w:rsid w:val="00CB28F7"/>
    <w:rsid w:val="00CB2A50"/>
    <w:rsid w:val="00CB2D62"/>
    <w:rsid w:val="00CB30F3"/>
    <w:rsid w:val="00CB3103"/>
    <w:rsid w:val="00CB32F0"/>
    <w:rsid w:val="00CB32F9"/>
    <w:rsid w:val="00CB3335"/>
    <w:rsid w:val="00CB37E0"/>
    <w:rsid w:val="00CB38E8"/>
    <w:rsid w:val="00CB39E1"/>
    <w:rsid w:val="00CB3A25"/>
    <w:rsid w:val="00CB3BA4"/>
    <w:rsid w:val="00CB3BDB"/>
    <w:rsid w:val="00CB3D16"/>
    <w:rsid w:val="00CB3E1D"/>
    <w:rsid w:val="00CB40DB"/>
    <w:rsid w:val="00CB40FB"/>
    <w:rsid w:val="00CB4124"/>
    <w:rsid w:val="00CB437A"/>
    <w:rsid w:val="00CB4470"/>
    <w:rsid w:val="00CB46A7"/>
    <w:rsid w:val="00CB4BB6"/>
    <w:rsid w:val="00CB4BD8"/>
    <w:rsid w:val="00CB5558"/>
    <w:rsid w:val="00CB569C"/>
    <w:rsid w:val="00CB5728"/>
    <w:rsid w:val="00CB5BA2"/>
    <w:rsid w:val="00CB5C0A"/>
    <w:rsid w:val="00CB5CB5"/>
    <w:rsid w:val="00CB617D"/>
    <w:rsid w:val="00CB6290"/>
    <w:rsid w:val="00CB6822"/>
    <w:rsid w:val="00CB69CE"/>
    <w:rsid w:val="00CB6A85"/>
    <w:rsid w:val="00CB6C2B"/>
    <w:rsid w:val="00CB6DE7"/>
    <w:rsid w:val="00CB7170"/>
    <w:rsid w:val="00CB79FE"/>
    <w:rsid w:val="00CB7E14"/>
    <w:rsid w:val="00CB7FEA"/>
    <w:rsid w:val="00CC040E"/>
    <w:rsid w:val="00CC04E4"/>
    <w:rsid w:val="00CC0601"/>
    <w:rsid w:val="00CC06A5"/>
    <w:rsid w:val="00CC06BF"/>
    <w:rsid w:val="00CC094A"/>
    <w:rsid w:val="00CC0A95"/>
    <w:rsid w:val="00CC0AB1"/>
    <w:rsid w:val="00CC0ABF"/>
    <w:rsid w:val="00CC0B5F"/>
    <w:rsid w:val="00CC0B8E"/>
    <w:rsid w:val="00CC0BC5"/>
    <w:rsid w:val="00CC0CED"/>
    <w:rsid w:val="00CC0D6A"/>
    <w:rsid w:val="00CC0F65"/>
    <w:rsid w:val="00CC0FF6"/>
    <w:rsid w:val="00CC111F"/>
    <w:rsid w:val="00CC11B6"/>
    <w:rsid w:val="00CC120E"/>
    <w:rsid w:val="00CC1851"/>
    <w:rsid w:val="00CC18FB"/>
    <w:rsid w:val="00CC1AAA"/>
    <w:rsid w:val="00CC1C0C"/>
    <w:rsid w:val="00CC1DAD"/>
    <w:rsid w:val="00CC1FB1"/>
    <w:rsid w:val="00CC2011"/>
    <w:rsid w:val="00CC2042"/>
    <w:rsid w:val="00CC204D"/>
    <w:rsid w:val="00CC20E1"/>
    <w:rsid w:val="00CC23B3"/>
    <w:rsid w:val="00CC261F"/>
    <w:rsid w:val="00CC2AF9"/>
    <w:rsid w:val="00CC2BCF"/>
    <w:rsid w:val="00CC2BEF"/>
    <w:rsid w:val="00CC2D40"/>
    <w:rsid w:val="00CC2E5F"/>
    <w:rsid w:val="00CC3099"/>
    <w:rsid w:val="00CC3440"/>
    <w:rsid w:val="00CC3483"/>
    <w:rsid w:val="00CC37B5"/>
    <w:rsid w:val="00CC3831"/>
    <w:rsid w:val="00CC39BF"/>
    <w:rsid w:val="00CC3AFD"/>
    <w:rsid w:val="00CC3D18"/>
    <w:rsid w:val="00CC3D66"/>
    <w:rsid w:val="00CC3EA0"/>
    <w:rsid w:val="00CC3F06"/>
    <w:rsid w:val="00CC4288"/>
    <w:rsid w:val="00CC438B"/>
    <w:rsid w:val="00CC483D"/>
    <w:rsid w:val="00CC48BB"/>
    <w:rsid w:val="00CC49C1"/>
    <w:rsid w:val="00CC4A53"/>
    <w:rsid w:val="00CC4C4C"/>
    <w:rsid w:val="00CC4DC6"/>
    <w:rsid w:val="00CC4F8E"/>
    <w:rsid w:val="00CC5180"/>
    <w:rsid w:val="00CC51FC"/>
    <w:rsid w:val="00CC52CC"/>
    <w:rsid w:val="00CC5857"/>
    <w:rsid w:val="00CC592D"/>
    <w:rsid w:val="00CC5B16"/>
    <w:rsid w:val="00CC5C9E"/>
    <w:rsid w:val="00CC5DA4"/>
    <w:rsid w:val="00CC6148"/>
    <w:rsid w:val="00CC63CE"/>
    <w:rsid w:val="00CC6756"/>
    <w:rsid w:val="00CC6CA2"/>
    <w:rsid w:val="00CC7106"/>
    <w:rsid w:val="00CC7394"/>
    <w:rsid w:val="00CC74AD"/>
    <w:rsid w:val="00CC754F"/>
    <w:rsid w:val="00CC79D4"/>
    <w:rsid w:val="00CC7B45"/>
    <w:rsid w:val="00CC7CB4"/>
    <w:rsid w:val="00CD086C"/>
    <w:rsid w:val="00CD0993"/>
    <w:rsid w:val="00CD09B2"/>
    <w:rsid w:val="00CD0B6B"/>
    <w:rsid w:val="00CD0CDB"/>
    <w:rsid w:val="00CD0D8D"/>
    <w:rsid w:val="00CD0E28"/>
    <w:rsid w:val="00CD1188"/>
    <w:rsid w:val="00CD11A1"/>
    <w:rsid w:val="00CD125A"/>
    <w:rsid w:val="00CD13A6"/>
    <w:rsid w:val="00CD14A4"/>
    <w:rsid w:val="00CD1673"/>
    <w:rsid w:val="00CD1806"/>
    <w:rsid w:val="00CD19E7"/>
    <w:rsid w:val="00CD1AD3"/>
    <w:rsid w:val="00CD1ADD"/>
    <w:rsid w:val="00CD1C02"/>
    <w:rsid w:val="00CD1DC6"/>
    <w:rsid w:val="00CD1F34"/>
    <w:rsid w:val="00CD1F8E"/>
    <w:rsid w:val="00CD22A6"/>
    <w:rsid w:val="00CD2A65"/>
    <w:rsid w:val="00CD2AEC"/>
    <w:rsid w:val="00CD2ED1"/>
    <w:rsid w:val="00CD3349"/>
    <w:rsid w:val="00CD337B"/>
    <w:rsid w:val="00CD343E"/>
    <w:rsid w:val="00CD345F"/>
    <w:rsid w:val="00CD352B"/>
    <w:rsid w:val="00CD35C6"/>
    <w:rsid w:val="00CD38D4"/>
    <w:rsid w:val="00CD3C95"/>
    <w:rsid w:val="00CD3E69"/>
    <w:rsid w:val="00CD40B6"/>
    <w:rsid w:val="00CD4273"/>
    <w:rsid w:val="00CD42E4"/>
    <w:rsid w:val="00CD4349"/>
    <w:rsid w:val="00CD443A"/>
    <w:rsid w:val="00CD4661"/>
    <w:rsid w:val="00CD49E1"/>
    <w:rsid w:val="00CD4B3F"/>
    <w:rsid w:val="00CD4BBF"/>
    <w:rsid w:val="00CD4C23"/>
    <w:rsid w:val="00CD4D59"/>
    <w:rsid w:val="00CD4F53"/>
    <w:rsid w:val="00CD4F5C"/>
    <w:rsid w:val="00CD5195"/>
    <w:rsid w:val="00CD51F2"/>
    <w:rsid w:val="00CD5371"/>
    <w:rsid w:val="00CD5591"/>
    <w:rsid w:val="00CD58C6"/>
    <w:rsid w:val="00CD59F9"/>
    <w:rsid w:val="00CD5C44"/>
    <w:rsid w:val="00CD5CE6"/>
    <w:rsid w:val="00CD5F67"/>
    <w:rsid w:val="00CD5F7E"/>
    <w:rsid w:val="00CD6110"/>
    <w:rsid w:val="00CD617B"/>
    <w:rsid w:val="00CD6461"/>
    <w:rsid w:val="00CD6511"/>
    <w:rsid w:val="00CD66A0"/>
    <w:rsid w:val="00CD66B4"/>
    <w:rsid w:val="00CD6901"/>
    <w:rsid w:val="00CD6D7A"/>
    <w:rsid w:val="00CD6F4A"/>
    <w:rsid w:val="00CD6FAF"/>
    <w:rsid w:val="00CD6FB8"/>
    <w:rsid w:val="00CD72F0"/>
    <w:rsid w:val="00CD77DD"/>
    <w:rsid w:val="00CD79F6"/>
    <w:rsid w:val="00CD7BF4"/>
    <w:rsid w:val="00CD7E00"/>
    <w:rsid w:val="00CE0110"/>
    <w:rsid w:val="00CE0114"/>
    <w:rsid w:val="00CE0124"/>
    <w:rsid w:val="00CE0412"/>
    <w:rsid w:val="00CE0424"/>
    <w:rsid w:val="00CE055B"/>
    <w:rsid w:val="00CE0769"/>
    <w:rsid w:val="00CE080B"/>
    <w:rsid w:val="00CE1123"/>
    <w:rsid w:val="00CE1206"/>
    <w:rsid w:val="00CE120C"/>
    <w:rsid w:val="00CE1392"/>
    <w:rsid w:val="00CE1882"/>
    <w:rsid w:val="00CE1AA9"/>
    <w:rsid w:val="00CE1BB8"/>
    <w:rsid w:val="00CE1C3B"/>
    <w:rsid w:val="00CE1D06"/>
    <w:rsid w:val="00CE1D41"/>
    <w:rsid w:val="00CE2085"/>
    <w:rsid w:val="00CE2186"/>
    <w:rsid w:val="00CE22B2"/>
    <w:rsid w:val="00CE230C"/>
    <w:rsid w:val="00CE2796"/>
    <w:rsid w:val="00CE2886"/>
    <w:rsid w:val="00CE292F"/>
    <w:rsid w:val="00CE2F6F"/>
    <w:rsid w:val="00CE2FD7"/>
    <w:rsid w:val="00CE3318"/>
    <w:rsid w:val="00CE33B3"/>
    <w:rsid w:val="00CE36D3"/>
    <w:rsid w:val="00CE37B4"/>
    <w:rsid w:val="00CE37DA"/>
    <w:rsid w:val="00CE392D"/>
    <w:rsid w:val="00CE3AB3"/>
    <w:rsid w:val="00CE3C46"/>
    <w:rsid w:val="00CE3E11"/>
    <w:rsid w:val="00CE3FBA"/>
    <w:rsid w:val="00CE418D"/>
    <w:rsid w:val="00CE4736"/>
    <w:rsid w:val="00CE486A"/>
    <w:rsid w:val="00CE4871"/>
    <w:rsid w:val="00CE49C5"/>
    <w:rsid w:val="00CE4ACC"/>
    <w:rsid w:val="00CE4F9E"/>
    <w:rsid w:val="00CE4FD9"/>
    <w:rsid w:val="00CE515B"/>
    <w:rsid w:val="00CE517D"/>
    <w:rsid w:val="00CE52E1"/>
    <w:rsid w:val="00CE53C0"/>
    <w:rsid w:val="00CE541A"/>
    <w:rsid w:val="00CE5423"/>
    <w:rsid w:val="00CE5648"/>
    <w:rsid w:val="00CE5748"/>
    <w:rsid w:val="00CE5804"/>
    <w:rsid w:val="00CE5846"/>
    <w:rsid w:val="00CE5A01"/>
    <w:rsid w:val="00CE5D14"/>
    <w:rsid w:val="00CE6078"/>
    <w:rsid w:val="00CE620D"/>
    <w:rsid w:val="00CE6330"/>
    <w:rsid w:val="00CE64F7"/>
    <w:rsid w:val="00CE66BF"/>
    <w:rsid w:val="00CE69E6"/>
    <w:rsid w:val="00CE6D2D"/>
    <w:rsid w:val="00CE7172"/>
    <w:rsid w:val="00CE718C"/>
    <w:rsid w:val="00CE71F3"/>
    <w:rsid w:val="00CE73D5"/>
    <w:rsid w:val="00CE7561"/>
    <w:rsid w:val="00CE769C"/>
    <w:rsid w:val="00CE76F8"/>
    <w:rsid w:val="00CE7AAB"/>
    <w:rsid w:val="00CE7E86"/>
    <w:rsid w:val="00CE7F57"/>
    <w:rsid w:val="00CF0226"/>
    <w:rsid w:val="00CF069E"/>
    <w:rsid w:val="00CF0B95"/>
    <w:rsid w:val="00CF0F60"/>
    <w:rsid w:val="00CF1354"/>
    <w:rsid w:val="00CF13CC"/>
    <w:rsid w:val="00CF150D"/>
    <w:rsid w:val="00CF1B61"/>
    <w:rsid w:val="00CF24CA"/>
    <w:rsid w:val="00CF2A3B"/>
    <w:rsid w:val="00CF2B35"/>
    <w:rsid w:val="00CF2D02"/>
    <w:rsid w:val="00CF2DD3"/>
    <w:rsid w:val="00CF3037"/>
    <w:rsid w:val="00CF31A3"/>
    <w:rsid w:val="00CF353B"/>
    <w:rsid w:val="00CF3899"/>
    <w:rsid w:val="00CF38CF"/>
    <w:rsid w:val="00CF38DB"/>
    <w:rsid w:val="00CF3924"/>
    <w:rsid w:val="00CF3B1F"/>
    <w:rsid w:val="00CF3B74"/>
    <w:rsid w:val="00CF3BA3"/>
    <w:rsid w:val="00CF3BE8"/>
    <w:rsid w:val="00CF3BF6"/>
    <w:rsid w:val="00CF3DD5"/>
    <w:rsid w:val="00CF3F89"/>
    <w:rsid w:val="00CF4266"/>
    <w:rsid w:val="00CF42C5"/>
    <w:rsid w:val="00CF4334"/>
    <w:rsid w:val="00CF4470"/>
    <w:rsid w:val="00CF495B"/>
    <w:rsid w:val="00CF4A93"/>
    <w:rsid w:val="00CF4B89"/>
    <w:rsid w:val="00CF4C2E"/>
    <w:rsid w:val="00CF4EA8"/>
    <w:rsid w:val="00CF537B"/>
    <w:rsid w:val="00CF550C"/>
    <w:rsid w:val="00CF57BF"/>
    <w:rsid w:val="00CF58C3"/>
    <w:rsid w:val="00CF5A79"/>
    <w:rsid w:val="00CF5B90"/>
    <w:rsid w:val="00CF5D15"/>
    <w:rsid w:val="00CF5E4A"/>
    <w:rsid w:val="00CF5F51"/>
    <w:rsid w:val="00CF60FF"/>
    <w:rsid w:val="00CF625B"/>
    <w:rsid w:val="00CF64BE"/>
    <w:rsid w:val="00CF66BA"/>
    <w:rsid w:val="00CF687E"/>
    <w:rsid w:val="00CF6A12"/>
    <w:rsid w:val="00CF6EC4"/>
    <w:rsid w:val="00CF6FDD"/>
    <w:rsid w:val="00CF740F"/>
    <w:rsid w:val="00CF7433"/>
    <w:rsid w:val="00CF75DE"/>
    <w:rsid w:val="00CF75DF"/>
    <w:rsid w:val="00CF7692"/>
    <w:rsid w:val="00CF76ED"/>
    <w:rsid w:val="00CF780C"/>
    <w:rsid w:val="00CF7AF5"/>
    <w:rsid w:val="00CF7B65"/>
    <w:rsid w:val="00CF7BFD"/>
    <w:rsid w:val="00CF7C84"/>
    <w:rsid w:val="00CF7E5C"/>
    <w:rsid w:val="00D002E2"/>
    <w:rsid w:val="00D00558"/>
    <w:rsid w:val="00D00592"/>
    <w:rsid w:val="00D0081D"/>
    <w:rsid w:val="00D008CB"/>
    <w:rsid w:val="00D009BB"/>
    <w:rsid w:val="00D00BAE"/>
    <w:rsid w:val="00D00D2C"/>
    <w:rsid w:val="00D01414"/>
    <w:rsid w:val="00D0164C"/>
    <w:rsid w:val="00D01719"/>
    <w:rsid w:val="00D018AF"/>
    <w:rsid w:val="00D01D0D"/>
    <w:rsid w:val="00D01E8E"/>
    <w:rsid w:val="00D021D0"/>
    <w:rsid w:val="00D023A1"/>
    <w:rsid w:val="00D02676"/>
    <w:rsid w:val="00D028A9"/>
    <w:rsid w:val="00D02AF1"/>
    <w:rsid w:val="00D02C94"/>
    <w:rsid w:val="00D02F83"/>
    <w:rsid w:val="00D03008"/>
    <w:rsid w:val="00D0301C"/>
    <w:rsid w:val="00D03033"/>
    <w:rsid w:val="00D03088"/>
    <w:rsid w:val="00D0313C"/>
    <w:rsid w:val="00D0328B"/>
    <w:rsid w:val="00D0344B"/>
    <w:rsid w:val="00D0349B"/>
    <w:rsid w:val="00D037A5"/>
    <w:rsid w:val="00D03926"/>
    <w:rsid w:val="00D03B53"/>
    <w:rsid w:val="00D03E88"/>
    <w:rsid w:val="00D03EC3"/>
    <w:rsid w:val="00D04004"/>
    <w:rsid w:val="00D04467"/>
    <w:rsid w:val="00D04802"/>
    <w:rsid w:val="00D04929"/>
    <w:rsid w:val="00D04AD9"/>
    <w:rsid w:val="00D04CE4"/>
    <w:rsid w:val="00D04F35"/>
    <w:rsid w:val="00D0504C"/>
    <w:rsid w:val="00D05488"/>
    <w:rsid w:val="00D0556E"/>
    <w:rsid w:val="00D055B1"/>
    <w:rsid w:val="00D0590A"/>
    <w:rsid w:val="00D05978"/>
    <w:rsid w:val="00D05D3B"/>
    <w:rsid w:val="00D05F36"/>
    <w:rsid w:val="00D06021"/>
    <w:rsid w:val="00D0618D"/>
    <w:rsid w:val="00D06731"/>
    <w:rsid w:val="00D0692B"/>
    <w:rsid w:val="00D06A10"/>
    <w:rsid w:val="00D06B85"/>
    <w:rsid w:val="00D070F1"/>
    <w:rsid w:val="00D073D3"/>
    <w:rsid w:val="00D07741"/>
    <w:rsid w:val="00D077BC"/>
    <w:rsid w:val="00D079A6"/>
    <w:rsid w:val="00D07BED"/>
    <w:rsid w:val="00D07F40"/>
    <w:rsid w:val="00D10249"/>
    <w:rsid w:val="00D10475"/>
    <w:rsid w:val="00D10CF8"/>
    <w:rsid w:val="00D110EF"/>
    <w:rsid w:val="00D11267"/>
    <w:rsid w:val="00D115C3"/>
    <w:rsid w:val="00D1164B"/>
    <w:rsid w:val="00D11707"/>
    <w:rsid w:val="00D11881"/>
    <w:rsid w:val="00D11897"/>
    <w:rsid w:val="00D11C89"/>
    <w:rsid w:val="00D11E73"/>
    <w:rsid w:val="00D12417"/>
    <w:rsid w:val="00D126B5"/>
    <w:rsid w:val="00D12736"/>
    <w:rsid w:val="00D12977"/>
    <w:rsid w:val="00D12BB1"/>
    <w:rsid w:val="00D12BDC"/>
    <w:rsid w:val="00D12D9F"/>
    <w:rsid w:val="00D13135"/>
    <w:rsid w:val="00D1315D"/>
    <w:rsid w:val="00D131B0"/>
    <w:rsid w:val="00D13435"/>
    <w:rsid w:val="00D134F7"/>
    <w:rsid w:val="00D137BE"/>
    <w:rsid w:val="00D1398E"/>
    <w:rsid w:val="00D139B4"/>
    <w:rsid w:val="00D13B4F"/>
    <w:rsid w:val="00D13CA7"/>
    <w:rsid w:val="00D13E4E"/>
    <w:rsid w:val="00D13E62"/>
    <w:rsid w:val="00D13F25"/>
    <w:rsid w:val="00D144A6"/>
    <w:rsid w:val="00D1452A"/>
    <w:rsid w:val="00D148D9"/>
    <w:rsid w:val="00D14BD5"/>
    <w:rsid w:val="00D14E67"/>
    <w:rsid w:val="00D15059"/>
    <w:rsid w:val="00D15B3E"/>
    <w:rsid w:val="00D1624A"/>
    <w:rsid w:val="00D16508"/>
    <w:rsid w:val="00D1677B"/>
    <w:rsid w:val="00D16811"/>
    <w:rsid w:val="00D16914"/>
    <w:rsid w:val="00D16CC8"/>
    <w:rsid w:val="00D16D47"/>
    <w:rsid w:val="00D16DA2"/>
    <w:rsid w:val="00D16E35"/>
    <w:rsid w:val="00D16ED2"/>
    <w:rsid w:val="00D16F0F"/>
    <w:rsid w:val="00D16F58"/>
    <w:rsid w:val="00D16F7D"/>
    <w:rsid w:val="00D17048"/>
    <w:rsid w:val="00D17357"/>
    <w:rsid w:val="00D175FB"/>
    <w:rsid w:val="00D17989"/>
    <w:rsid w:val="00D17C70"/>
    <w:rsid w:val="00D17CDB"/>
    <w:rsid w:val="00D20673"/>
    <w:rsid w:val="00D20885"/>
    <w:rsid w:val="00D20B96"/>
    <w:rsid w:val="00D20E8D"/>
    <w:rsid w:val="00D20F21"/>
    <w:rsid w:val="00D20F85"/>
    <w:rsid w:val="00D2132F"/>
    <w:rsid w:val="00D214D1"/>
    <w:rsid w:val="00D21669"/>
    <w:rsid w:val="00D217E9"/>
    <w:rsid w:val="00D21B7E"/>
    <w:rsid w:val="00D21F4F"/>
    <w:rsid w:val="00D21F58"/>
    <w:rsid w:val="00D22217"/>
    <w:rsid w:val="00D22494"/>
    <w:rsid w:val="00D22662"/>
    <w:rsid w:val="00D22685"/>
    <w:rsid w:val="00D22725"/>
    <w:rsid w:val="00D2285E"/>
    <w:rsid w:val="00D22BA5"/>
    <w:rsid w:val="00D22D4B"/>
    <w:rsid w:val="00D23249"/>
    <w:rsid w:val="00D234DA"/>
    <w:rsid w:val="00D236F8"/>
    <w:rsid w:val="00D237B1"/>
    <w:rsid w:val="00D239A7"/>
    <w:rsid w:val="00D239F7"/>
    <w:rsid w:val="00D23CC9"/>
    <w:rsid w:val="00D23F47"/>
    <w:rsid w:val="00D24038"/>
    <w:rsid w:val="00D246DC"/>
    <w:rsid w:val="00D2479E"/>
    <w:rsid w:val="00D24B45"/>
    <w:rsid w:val="00D24C0A"/>
    <w:rsid w:val="00D24D3A"/>
    <w:rsid w:val="00D24F7D"/>
    <w:rsid w:val="00D252BE"/>
    <w:rsid w:val="00D252C8"/>
    <w:rsid w:val="00D25305"/>
    <w:rsid w:val="00D2535E"/>
    <w:rsid w:val="00D253AE"/>
    <w:rsid w:val="00D253B0"/>
    <w:rsid w:val="00D2556A"/>
    <w:rsid w:val="00D256F3"/>
    <w:rsid w:val="00D2596E"/>
    <w:rsid w:val="00D25BA2"/>
    <w:rsid w:val="00D25D9D"/>
    <w:rsid w:val="00D25E24"/>
    <w:rsid w:val="00D25FE6"/>
    <w:rsid w:val="00D26202"/>
    <w:rsid w:val="00D2681B"/>
    <w:rsid w:val="00D269C4"/>
    <w:rsid w:val="00D26EFF"/>
    <w:rsid w:val="00D26F2D"/>
    <w:rsid w:val="00D272CC"/>
    <w:rsid w:val="00D27662"/>
    <w:rsid w:val="00D276AB"/>
    <w:rsid w:val="00D277BA"/>
    <w:rsid w:val="00D27B51"/>
    <w:rsid w:val="00D27BD5"/>
    <w:rsid w:val="00D27BDA"/>
    <w:rsid w:val="00D300EB"/>
    <w:rsid w:val="00D3028C"/>
    <w:rsid w:val="00D30390"/>
    <w:rsid w:val="00D30443"/>
    <w:rsid w:val="00D30BCE"/>
    <w:rsid w:val="00D30C19"/>
    <w:rsid w:val="00D30D12"/>
    <w:rsid w:val="00D30DD9"/>
    <w:rsid w:val="00D30EE8"/>
    <w:rsid w:val="00D31055"/>
    <w:rsid w:val="00D31307"/>
    <w:rsid w:val="00D31569"/>
    <w:rsid w:val="00D31917"/>
    <w:rsid w:val="00D31B54"/>
    <w:rsid w:val="00D32410"/>
    <w:rsid w:val="00D3247A"/>
    <w:rsid w:val="00D32652"/>
    <w:rsid w:val="00D32804"/>
    <w:rsid w:val="00D32884"/>
    <w:rsid w:val="00D328BD"/>
    <w:rsid w:val="00D32ECB"/>
    <w:rsid w:val="00D33431"/>
    <w:rsid w:val="00D3396A"/>
    <w:rsid w:val="00D33A67"/>
    <w:rsid w:val="00D33BC6"/>
    <w:rsid w:val="00D342AC"/>
    <w:rsid w:val="00D34A58"/>
    <w:rsid w:val="00D34CC9"/>
    <w:rsid w:val="00D34F53"/>
    <w:rsid w:val="00D355AC"/>
    <w:rsid w:val="00D355E4"/>
    <w:rsid w:val="00D3589A"/>
    <w:rsid w:val="00D35918"/>
    <w:rsid w:val="00D35A44"/>
    <w:rsid w:val="00D35BD3"/>
    <w:rsid w:val="00D35E00"/>
    <w:rsid w:val="00D35E1C"/>
    <w:rsid w:val="00D35F36"/>
    <w:rsid w:val="00D36136"/>
    <w:rsid w:val="00D3618B"/>
    <w:rsid w:val="00D362E2"/>
    <w:rsid w:val="00D3634D"/>
    <w:rsid w:val="00D368CA"/>
    <w:rsid w:val="00D36B1D"/>
    <w:rsid w:val="00D36E16"/>
    <w:rsid w:val="00D36E71"/>
    <w:rsid w:val="00D36F64"/>
    <w:rsid w:val="00D370A2"/>
    <w:rsid w:val="00D37979"/>
    <w:rsid w:val="00D37982"/>
    <w:rsid w:val="00D37B50"/>
    <w:rsid w:val="00D37CE6"/>
    <w:rsid w:val="00D37D57"/>
    <w:rsid w:val="00D37D87"/>
    <w:rsid w:val="00D37E30"/>
    <w:rsid w:val="00D37F49"/>
    <w:rsid w:val="00D40109"/>
    <w:rsid w:val="00D40246"/>
    <w:rsid w:val="00D40308"/>
    <w:rsid w:val="00D404F5"/>
    <w:rsid w:val="00D40547"/>
    <w:rsid w:val="00D40705"/>
    <w:rsid w:val="00D40865"/>
    <w:rsid w:val="00D40880"/>
    <w:rsid w:val="00D40B33"/>
    <w:rsid w:val="00D411E1"/>
    <w:rsid w:val="00D41277"/>
    <w:rsid w:val="00D412F0"/>
    <w:rsid w:val="00D41564"/>
    <w:rsid w:val="00D41971"/>
    <w:rsid w:val="00D41C26"/>
    <w:rsid w:val="00D41D2A"/>
    <w:rsid w:val="00D41F98"/>
    <w:rsid w:val="00D42060"/>
    <w:rsid w:val="00D4208D"/>
    <w:rsid w:val="00D42C0A"/>
    <w:rsid w:val="00D43140"/>
    <w:rsid w:val="00D4318F"/>
    <w:rsid w:val="00D431FD"/>
    <w:rsid w:val="00D434EB"/>
    <w:rsid w:val="00D438BF"/>
    <w:rsid w:val="00D43950"/>
    <w:rsid w:val="00D43A27"/>
    <w:rsid w:val="00D43A96"/>
    <w:rsid w:val="00D43FBA"/>
    <w:rsid w:val="00D44048"/>
    <w:rsid w:val="00D440F8"/>
    <w:rsid w:val="00D4418C"/>
    <w:rsid w:val="00D444B8"/>
    <w:rsid w:val="00D44557"/>
    <w:rsid w:val="00D4488F"/>
    <w:rsid w:val="00D44A0B"/>
    <w:rsid w:val="00D450F7"/>
    <w:rsid w:val="00D451FF"/>
    <w:rsid w:val="00D45327"/>
    <w:rsid w:val="00D45537"/>
    <w:rsid w:val="00D455A3"/>
    <w:rsid w:val="00D45B4C"/>
    <w:rsid w:val="00D45C88"/>
    <w:rsid w:val="00D46196"/>
    <w:rsid w:val="00D461C4"/>
    <w:rsid w:val="00D46303"/>
    <w:rsid w:val="00D4641A"/>
    <w:rsid w:val="00D465BA"/>
    <w:rsid w:val="00D465D5"/>
    <w:rsid w:val="00D469F9"/>
    <w:rsid w:val="00D46CC9"/>
    <w:rsid w:val="00D46E43"/>
    <w:rsid w:val="00D46FF5"/>
    <w:rsid w:val="00D47019"/>
    <w:rsid w:val="00D47102"/>
    <w:rsid w:val="00D472BD"/>
    <w:rsid w:val="00D473BD"/>
    <w:rsid w:val="00D47483"/>
    <w:rsid w:val="00D47532"/>
    <w:rsid w:val="00D4769D"/>
    <w:rsid w:val="00D47779"/>
    <w:rsid w:val="00D47879"/>
    <w:rsid w:val="00D4794B"/>
    <w:rsid w:val="00D47A81"/>
    <w:rsid w:val="00D47FEB"/>
    <w:rsid w:val="00D500E5"/>
    <w:rsid w:val="00D5029C"/>
    <w:rsid w:val="00D504E5"/>
    <w:rsid w:val="00D507DF"/>
    <w:rsid w:val="00D50848"/>
    <w:rsid w:val="00D5091B"/>
    <w:rsid w:val="00D50B56"/>
    <w:rsid w:val="00D50BD0"/>
    <w:rsid w:val="00D51106"/>
    <w:rsid w:val="00D5122B"/>
    <w:rsid w:val="00D5146B"/>
    <w:rsid w:val="00D51756"/>
    <w:rsid w:val="00D517B5"/>
    <w:rsid w:val="00D518DF"/>
    <w:rsid w:val="00D51E4F"/>
    <w:rsid w:val="00D51F9B"/>
    <w:rsid w:val="00D5207F"/>
    <w:rsid w:val="00D522DD"/>
    <w:rsid w:val="00D523D5"/>
    <w:rsid w:val="00D524E2"/>
    <w:rsid w:val="00D5284C"/>
    <w:rsid w:val="00D52920"/>
    <w:rsid w:val="00D52BD0"/>
    <w:rsid w:val="00D52FB2"/>
    <w:rsid w:val="00D531FE"/>
    <w:rsid w:val="00D53574"/>
    <w:rsid w:val="00D53AD7"/>
    <w:rsid w:val="00D53DD6"/>
    <w:rsid w:val="00D53FB5"/>
    <w:rsid w:val="00D540B0"/>
    <w:rsid w:val="00D541C5"/>
    <w:rsid w:val="00D54341"/>
    <w:rsid w:val="00D545FA"/>
    <w:rsid w:val="00D546FF"/>
    <w:rsid w:val="00D54B80"/>
    <w:rsid w:val="00D54D97"/>
    <w:rsid w:val="00D54E53"/>
    <w:rsid w:val="00D54E66"/>
    <w:rsid w:val="00D54E7D"/>
    <w:rsid w:val="00D54FAE"/>
    <w:rsid w:val="00D5531F"/>
    <w:rsid w:val="00D55326"/>
    <w:rsid w:val="00D5547C"/>
    <w:rsid w:val="00D55511"/>
    <w:rsid w:val="00D5587E"/>
    <w:rsid w:val="00D5597D"/>
    <w:rsid w:val="00D55A1E"/>
    <w:rsid w:val="00D55AD5"/>
    <w:rsid w:val="00D55C34"/>
    <w:rsid w:val="00D55FD0"/>
    <w:rsid w:val="00D56172"/>
    <w:rsid w:val="00D561B6"/>
    <w:rsid w:val="00D56230"/>
    <w:rsid w:val="00D5627A"/>
    <w:rsid w:val="00D56359"/>
    <w:rsid w:val="00D563C2"/>
    <w:rsid w:val="00D563EF"/>
    <w:rsid w:val="00D564CF"/>
    <w:rsid w:val="00D565B7"/>
    <w:rsid w:val="00D56707"/>
    <w:rsid w:val="00D56922"/>
    <w:rsid w:val="00D56951"/>
    <w:rsid w:val="00D56AAE"/>
    <w:rsid w:val="00D56D30"/>
    <w:rsid w:val="00D56E8F"/>
    <w:rsid w:val="00D56F21"/>
    <w:rsid w:val="00D56F6C"/>
    <w:rsid w:val="00D56F98"/>
    <w:rsid w:val="00D57000"/>
    <w:rsid w:val="00D5708D"/>
    <w:rsid w:val="00D57432"/>
    <w:rsid w:val="00D5749B"/>
    <w:rsid w:val="00D574FD"/>
    <w:rsid w:val="00D57571"/>
    <w:rsid w:val="00D576CA"/>
    <w:rsid w:val="00D57833"/>
    <w:rsid w:val="00D57BA1"/>
    <w:rsid w:val="00D57C91"/>
    <w:rsid w:val="00D57E3A"/>
    <w:rsid w:val="00D57FF6"/>
    <w:rsid w:val="00D60354"/>
    <w:rsid w:val="00D60388"/>
    <w:rsid w:val="00D603DA"/>
    <w:rsid w:val="00D604AE"/>
    <w:rsid w:val="00D60AD3"/>
    <w:rsid w:val="00D60D1B"/>
    <w:rsid w:val="00D60EFA"/>
    <w:rsid w:val="00D60FAD"/>
    <w:rsid w:val="00D61249"/>
    <w:rsid w:val="00D61306"/>
    <w:rsid w:val="00D61AF5"/>
    <w:rsid w:val="00D61DAB"/>
    <w:rsid w:val="00D61FB9"/>
    <w:rsid w:val="00D61FE5"/>
    <w:rsid w:val="00D624CC"/>
    <w:rsid w:val="00D62552"/>
    <w:rsid w:val="00D627B0"/>
    <w:rsid w:val="00D62B98"/>
    <w:rsid w:val="00D62E7B"/>
    <w:rsid w:val="00D62EB8"/>
    <w:rsid w:val="00D62F09"/>
    <w:rsid w:val="00D63125"/>
    <w:rsid w:val="00D6356E"/>
    <w:rsid w:val="00D638C3"/>
    <w:rsid w:val="00D63BAC"/>
    <w:rsid w:val="00D63BC6"/>
    <w:rsid w:val="00D63CE2"/>
    <w:rsid w:val="00D63E7F"/>
    <w:rsid w:val="00D6409C"/>
    <w:rsid w:val="00D6424A"/>
    <w:rsid w:val="00D64313"/>
    <w:rsid w:val="00D64346"/>
    <w:rsid w:val="00D64386"/>
    <w:rsid w:val="00D643D0"/>
    <w:rsid w:val="00D644CD"/>
    <w:rsid w:val="00D6457A"/>
    <w:rsid w:val="00D645B1"/>
    <w:rsid w:val="00D64628"/>
    <w:rsid w:val="00D64679"/>
    <w:rsid w:val="00D646C2"/>
    <w:rsid w:val="00D646FB"/>
    <w:rsid w:val="00D64D4E"/>
    <w:rsid w:val="00D64FC0"/>
    <w:rsid w:val="00D652B5"/>
    <w:rsid w:val="00D65525"/>
    <w:rsid w:val="00D65537"/>
    <w:rsid w:val="00D656BA"/>
    <w:rsid w:val="00D65B37"/>
    <w:rsid w:val="00D65BC5"/>
    <w:rsid w:val="00D65CCC"/>
    <w:rsid w:val="00D65D90"/>
    <w:rsid w:val="00D65DE3"/>
    <w:rsid w:val="00D65E1F"/>
    <w:rsid w:val="00D65E4C"/>
    <w:rsid w:val="00D66043"/>
    <w:rsid w:val="00D660C7"/>
    <w:rsid w:val="00D66155"/>
    <w:rsid w:val="00D66276"/>
    <w:rsid w:val="00D66316"/>
    <w:rsid w:val="00D66391"/>
    <w:rsid w:val="00D66408"/>
    <w:rsid w:val="00D664BD"/>
    <w:rsid w:val="00D66610"/>
    <w:rsid w:val="00D66EDB"/>
    <w:rsid w:val="00D66FB9"/>
    <w:rsid w:val="00D66FE0"/>
    <w:rsid w:val="00D67316"/>
    <w:rsid w:val="00D67954"/>
    <w:rsid w:val="00D70023"/>
    <w:rsid w:val="00D702F6"/>
    <w:rsid w:val="00D70369"/>
    <w:rsid w:val="00D704A7"/>
    <w:rsid w:val="00D70525"/>
    <w:rsid w:val="00D708B0"/>
    <w:rsid w:val="00D70C00"/>
    <w:rsid w:val="00D70E21"/>
    <w:rsid w:val="00D70E55"/>
    <w:rsid w:val="00D71295"/>
    <w:rsid w:val="00D71B06"/>
    <w:rsid w:val="00D71C5F"/>
    <w:rsid w:val="00D71E62"/>
    <w:rsid w:val="00D72148"/>
    <w:rsid w:val="00D7237D"/>
    <w:rsid w:val="00D72522"/>
    <w:rsid w:val="00D7284A"/>
    <w:rsid w:val="00D72CC4"/>
    <w:rsid w:val="00D730C4"/>
    <w:rsid w:val="00D730E4"/>
    <w:rsid w:val="00D73186"/>
    <w:rsid w:val="00D734DA"/>
    <w:rsid w:val="00D73694"/>
    <w:rsid w:val="00D73870"/>
    <w:rsid w:val="00D73D19"/>
    <w:rsid w:val="00D73D40"/>
    <w:rsid w:val="00D73EA1"/>
    <w:rsid w:val="00D74586"/>
    <w:rsid w:val="00D7486C"/>
    <w:rsid w:val="00D74996"/>
    <w:rsid w:val="00D74C1A"/>
    <w:rsid w:val="00D75294"/>
    <w:rsid w:val="00D7537D"/>
    <w:rsid w:val="00D75612"/>
    <w:rsid w:val="00D7567B"/>
    <w:rsid w:val="00D7568D"/>
    <w:rsid w:val="00D759A3"/>
    <w:rsid w:val="00D75C1D"/>
    <w:rsid w:val="00D75F62"/>
    <w:rsid w:val="00D762E3"/>
    <w:rsid w:val="00D764F3"/>
    <w:rsid w:val="00D76626"/>
    <w:rsid w:val="00D766FB"/>
    <w:rsid w:val="00D76910"/>
    <w:rsid w:val="00D76C9E"/>
    <w:rsid w:val="00D76D44"/>
    <w:rsid w:val="00D76DDA"/>
    <w:rsid w:val="00D76E10"/>
    <w:rsid w:val="00D77114"/>
    <w:rsid w:val="00D77186"/>
    <w:rsid w:val="00D7750B"/>
    <w:rsid w:val="00D7751E"/>
    <w:rsid w:val="00D775A9"/>
    <w:rsid w:val="00D77A70"/>
    <w:rsid w:val="00D77B1D"/>
    <w:rsid w:val="00D77B81"/>
    <w:rsid w:val="00D77C3F"/>
    <w:rsid w:val="00D77C9D"/>
    <w:rsid w:val="00D77DB0"/>
    <w:rsid w:val="00D77E53"/>
    <w:rsid w:val="00D8003D"/>
    <w:rsid w:val="00D8021F"/>
    <w:rsid w:val="00D80383"/>
    <w:rsid w:val="00D8045A"/>
    <w:rsid w:val="00D805C9"/>
    <w:rsid w:val="00D8069D"/>
    <w:rsid w:val="00D80758"/>
    <w:rsid w:val="00D80783"/>
    <w:rsid w:val="00D80A1A"/>
    <w:rsid w:val="00D80BEE"/>
    <w:rsid w:val="00D81068"/>
    <w:rsid w:val="00D8118B"/>
    <w:rsid w:val="00D81673"/>
    <w:rsid w:val="00D81CEA"/>
    <w:rsid w:val="00D81D83"/>
    <w:rsid w:val="00D81DA7"/>
    <w:rsid w:val="00D81E40"/>
    <w:rsid w:val="00D82048"/>
    <w:rsid w:val="00D82352"/>
    <w:rsid w:val="00D823C6"/>
    <w:rsid w:val="00D82415"/>
    <w:rsid w:val="00D82457"/>
    <w:rsid w:val="00D825CA"/>
    <w:rsid w:val="00D827F1"/>
    <w:rsid w:val="00D82886"/>
    <w:rsid w:val="00D828D5"/>
    <w:rsid w:val="00D830F9"/>
    <w:rsid w:val="00D8327F"/>
    <w:rsid w:val="00D8376A"/>
    <w:rsid w:val="00D837DB"/>
    <w:rsid w:val="00D83AD8"/>
    <w:rsid w:val="00D84737"/>
    <w:rsid w:val="00D84A5F"/>
    <w:rsid w:val="00D84DB7"/>
    <w:rsid w:val="00D84E49"/>
    <w:rsid w:val="00D84E64"/>
    <w:rsid w:val="00D85098"/>
    <w:rsid w:val="00D8572E"/>
    <w:rsid w:val="00D859C7"/>
    <w:rsid w:val="00D85CA3"/>
    <w:rsid w:val="00D85E92"/>
    <w:rsid w:val="00D85EF8"/>
    <w:rsid w:val="00D861EB"/>
    <w:rsid w:val="00D86470"/>
    <w:rsid w:val="00D86485"/>
    <w:rsid w:val="00D8651D"/>
    <w:rsid w:val="00D86575"/>
    <w:rsid w:val="00D8659C"/>
    <w:rsid w:val="00D86723"/>
    <w:rsid w:val="00D869A2"/>
    <w:rsid w:val="00D86AC4"/>
    <w:rsid w:val="00D86CA3"/>
    <w:rsid w:val="00D86D96"/>
    <w:rsid w:val="00D86D9C"/>
    <w:rsid w:val="00D8700A"/>
    <w:rsid w:val="00D8710B"/>
    <w:rsid w:val="00D87119"/>
    <w:rsid w:val="00D871CE"/>
    <w:rsid w:val="00D872F0"/>
    <w:rsid w:val="00D874BB"/>
    <w:rsid w:val="00D876C2"/>
    <w:rsid w:val="00D87921"/>
    <w:rsid w:val="00D8794C"/>
    <w:rsid w:val="00D87A25"/>
    <w:rsid w:val="00D87B4E"/>
    <w:rsid w:val="00D87D06"/>
    <w:rsid w:val="00D87FE4"/>
    <w:rsid w:val="00D90082"/>
    <w:rsid w:val="00D901AF"/>
    <w:rsid w:val="00D90362"/>
    <w:rsid w:val="00D90539"/>
    <w:rsid w:val="00D9063A"/>
    <w:rsid w:val="00D90842"/>
    <w:rsid w:val="00D90875"/>
    <w:rsid w:val="00D908FE"/>
    <w:rsid w:val="00D90A6A"/>
    <w:rsid w:val="00D913FF"/>
    <w:rsid w:val="00D914D1"/>
    <w:rsid w:val="00D9173E"/>
    <w:rsid w:val="00D91758"/>
    <w:rsid w:val="00D9196D"/>
    <w:rsid w:val="00D91ADD"/>
    <w:rsid w:val="00D91DA3"/>
    <w:rsid w:val="00D922E0"/>
    <w:rsid w:val="00D924AF"/>
    <w:rsid w:val="00D92519"/>
    <w:rsid w:val="00D92545"/>
    <w:rsid w:val="00D925F2"/>
    <w:rsid w:val="00D92982"/>
    <w:rsid w:val="00D92CF0"/>
    <w:rsid w:val="00D92E7C"/>
    <w:rsid w:val="00D92E8F"/>
    <w:rsid w:val="00D92F42"/>
    <w:rsid w:val="00D92FA0"/>
    <w:rsid w:val="00D93049"/>
    <w:rsid w:val="00D931C6"/>
    <w:rsid w:val="00D935D7"/>
    <w:rsid w:val="00D939A7"/>
    <w:rsid w:val="00D93B3F"/>
    <w:rsid w:val="00D93C2E"/>
    <w:rsid w:val="00D93EB8"/>
    <w:rsid w:val="00D93FF3"/>
    <w:rsid w:val="00D93FFC"/>
    <w:rsid w:val="00D940D9"/>
    <w:rsid w:val="00D940EF"/>
    <w:rsid w:val="00D9420E"/>
    <w:rsid w:val="00D94525"/>
    <w:rsid w:val="00D945D2"/>
    <w:rsid w:val="00D94697"/>
    <w:rsid w:val="00D94DE0"/>
    <w:rsid w:val="00D95323"/>
    <w:rsid w:val="00D95421"/>
    <w:rsid w:val="00D95434"/>
    <w:rsid w:val="00D95784"/>
    <w:rsid w:val="00D9583A"/>
    <w:rsid w:val="00D95942"/>
    <w:rsid w:val="00D95AED"/>
    <w:rsid w:val="00D95BF7"/>
    <w:rsid w:val="00D95D88"/>
    <w:rsid w:val="00D960F0"/>
    <w:rsid w:val="00D96383"/>
    <w:rsid w:val="00D96482"/>
    <w:rsid w:val="00D96895"/>
    <w:rsid w:val="00D968BD"/>
    <w:rsid w:val="00D96ACC"/>
    <w:rsid w:val="00D96F62"/>
    <w:rsid w:val="00D96F81"/>
    <w:rsid w:val="00D97C1F"/>
    <w:rsid w:val="00D97E1C"/>
    <w:rsid w:val="00DA0043"/>
    <w:rsid w:val="00DA07DE"/>
    <w:rsid w:val="00DA0990"/>
    <w:rsid w:val="00DA0D2B"/>
    <w:rsid w:val="00DA0D4F"/>
    <w:rsid w:val="00DA0E2A"/>
    <w:rsid w:val="00DA146F"/>
    <w:rsid w:val="00DA15A3"/>
    <w:rsid w:val="00DA15F3"/>
    <w:rsid w:val="00DA1783"/>
    <w:rsid w:val="00DA1B0F"/>
    <w:rsid w:val="00DA1B4E"/>
    <w:rsid w:val="00DA1D17"/>
    <w:rsid w:val="00DA1E34"/>
    <w:rsid w:val="00DA1F80"/>
    <w:rsid w:val="00DA1FA3"/>
    <w:rsid w:val="00DA1FAE"/>
    <w:rsid w:val="00DA206E"/>
    <w:rsid w:val="00DA21BC"/>
    <w:rsid w:val="00DA2268"/>
    <w:rsid w:val="00DA2280"/>
    <w:rsid w:val="00DA274A"/>
    <w:rsid w:val="00DA28D8"/>
    <w:rsid w:val="00DA29E1"/>
    <w:rsid w:val="00DA29E9"/>
    <w:rsid w:val="00DA2A01"/>
    <w:rsid w:val="00DA2BDB"/>
    <w:rsid w:val="00DA2F28"/>
    <w:rsid w:val="00DA305E"/>
    <w:rsid w:val="00DA31DC"/>
    <w:rsid w:val="00DA31EE"/>
    <w:rsid w:val="00DA3390"/>
    <w:rsid w:val="00DA37D9"/>
    <w:rsid w:val="00DA3B9E"/>
    <w:rsid w:val="00DA3CA6"/>
    <w:rsid w:val="00DA4027"/>
    <w:rsid w:val="00DA41C7"/>
    <w:rsid w:val="00DA43F2"/>
    <w:rsid w:val="00DA451E"/>
    <w:rsid w:val="00DA497B"/>
    <w:rsid w:val="00DA4A72"/>
    <w:rsid w:val="00DA4D0A"/>
    <w:rsid w:val="00DA4DC3"/>
    <w:rsid w:val="00DA4DFA"/>
    <w:rsid w:val="00DA4FD4"/>
    <w:rsid w:val="00DA53C5"/>
    <w:rsid w:val="00DA53E7"/>
    <w:rsid w:val="00DA5417"/>
    <w:rsid w:val="00DA5431"/>
    <w:rsid w:val="00DA54A9"/>
    <w:rsid w:val="00DA5515"/>
    <w:rsid w:val="00DA56E8"/>
    <w:rsid w:val="00DA57B8"/>
    <w:rsid w:val="00DA583D"/>
    <w:rsid w:val="00DA58A1"/>
    <w:rsid w:val="00DA59A4"/>
    <w:rsid w:val="00DA5A8D"/>
    <w:rsid w:val="00DA5BC0"/>
    <w:rsid w:val="00DA5CD9"/>
    <w:rsid w:val="00DA5EB5"/>
    <w:rsid w:val="00DA5EF9"/>
    <w:rsid w:val="00DA5F77"/>
    <w:rsid w:val="00DA6EB4"/>
    <w:rsid w:val="00DA7467"/>
    <w:rsid w:val="00DA7485"/>
    <w:rsid w:val="00DA78FC"/>
    <w:rsid w:val="00DA7A28"/>
    <w:rsid w:val="00DA7AE5"/>
    <w:rsid w:val="00DA7BE3"/>
    <w:rsid w:val="00DA7D79"/>
    <w:rsid w:val="00DA7DDF"/>
    <w:rsid w:val="00DB0095"/>
    <w:rsid w:val="00DB04CB"/>
    <w:rsid w:val="00DB081B"/>
    <w:rsid w:val="00DB09F6"/>
    <w:rsid w:val="00DB0A9F"/>
    <w:rsid w:val="00DB0AD5"/>
    <w:rsid w:val="00DB130C"/>
    <w:rsid w:val="00DB13A5"/>
    <w:rsid w:val="00DB157E"/>
    <w:rsid w:val="00DB15C6"/>
    <w:rsid w:val="00DB19B9"/>
    <w:rsid w:val="00DB1A0F"/>
    <w:rsid w:val="00DB1B6D"/>
    <w:rsid w:val="00DB1C86"/>
    <w:rsid w:val="00DB1DFC"/>
    <w:rsid w:val="00DB2027"/>
    <w:rsid w:val="00DB2189"/>
    <w:rsid w:val="00DB231A"/>
    <w:rsid w:val="00DB2371"/>
    <w:rsid w:val="00DB24B9"/>
    <w:rsid w:val="00DB2560"/>
    <w:rsid w:val="00DB26D6"/>
    <w:rsid w:val="00DB28E7"/>
    <w:rsid w:val="00DB2E6C"/>
    <w:rsid w:val="00DB2ECC"/>
    <w:rsid w:val="00DB2EDF"/>
    <w:rsid w:val="00DB2FD5"/>
    <w:rsid w:val="00DB315D"/>
    <w:rsid w:val="00DB377D"/>
    <w:rsid w:val="00DB3B9C"/>
    <w:rsid w:val="00DB3BC7"/>
    <w:rsid w:val="00DB3BDE"/>
    <w:rsid w:val="00DB400E"/>
    <w:rsid w:val="00DB4095"/>
    <w:rsid w:val="00DB4106"/>
    <w:rsid w:val="00DB440D"/>
    <w:rsid w:val="00DB4434"/>
    <w:rsid w:val="00DB44F4"/>
    <w:rsid w:val="00DB45C1"/>
    <w:rsid w:val="00DB4909"/>
    <w:rsid w:val="00DB4B73"/>
    <w:rsid w:val="00DB5313"/>
    <w:rsid w:val="00DB53AF"/>
    <w:rsid w:val="00DB5549"/>
    <w:rsid w:val="00DB5598"/>
    <w:rsid w:val="00DB56A4"/>
    <w:rsid w:val="00DB58BC"/>
    <w:rsid w:val="00DB5AFB"/>
    <w:rsid w:val="00DB5CEF"/>
    <w:rsid w:val="00DB5D91"/>
    <w:rsid w:val="00DB5F94"/>
    <w:rsid w:val="00DB6171"/>
    <w:rsid w:val="00DB61BF"/>
    <w:rsid w:val="00DB65DD"/>
    <w:rsid w:val="00DB682A"/>
    <w:rsid w:val="00DB69F4"/>
    <w:rsid w:val="00DB6BF0"/>
    <w:rsid w:val="00DB6C1F"/>
    <w:rsid w:val="00DB6C68"/>
    <w:rsid w:val="00DB707A"/>
    <w:rsid w:val="00DB7299"/>
    <w:rsid w:val="00DB7425"/>
    <w:rsid w:val="00DB74B7"/>
    <w:rsid w:val="00DB765A"/>
    <w:rsid w:val="00DB79D9"/>
    <w:rsid w:val="00DB7AF3"/>
    <w:rsid w:val="00DB7CCC"/>
    <w:rsid w:val="00DB7E35"/>
    <w:rsid w:val="00DC0042"/>
    <w:rsid w:val="00DC0301"/>
    <w:rsid w:val="00DC04B7"/>
    <w:rsid w:val="00DC050F"/>
    <w:rsid w:val="00DC0937"/>
    <w:rsid w:val="00DC0A61"/>
    <w:rsid w:val="00DC0BBA"/>
    <w:rsid w:val="00DC0CB4"/>
    <w:rsid w:val="00DC0F52"/>
    <w:rsid w:val="00DC11C9"/>
    <w:rsid w:val="00DC17F4"/>
    <w:rsid w:val="00DC1918"/>
    <w:rsid w:val="00DC1929"/>
    <w:rsid w:val="00DC1ABF"/>
    <w:rsid w:val="00DC1B23"/>
    <w:rsid w:val="00DC1CA3"/>
    <w:rsid w:val="00DC1F46"/>
    <w:rsid w:val="00DC20E3"/>
    <w:rsid w:val="00DC24F6"/>
    <w:rsid w:val="00DC2677"/>
    <w:rsid w:val="00DC2704"/>
    <w:rsid w:val="00DC2875"/>
    <w:rsid w:val="00DC288B"/>
    <w:rsid w:val="00DC2BE8"/>
    <w:rsid w:val="00DC2D27"/>
    <w:rsid w:val="00DC2D36"/>
    <w:rsid w:val="00DC2D7A"/>
    <w:rsid w:val="00DC2E05"/>
    <w:rsid w:val="00DC2E39"/>
    <w:rsid w:val="00DC2E6C"/>
    <w:rsid w:val="00DC2FEB"/>
    <w:rsid w:val="00DC313E"/>
    <w:rsid w:val="00DC31D3"/>
    <w:rsid w:val="00DC3374"/>
    <w:rsid w:val="00DC33A2"/>
    <w:rsid w:val="00DC36C5"/>
    <w:rsid w:val="00DC3779"/>
    <w:rsid w:val="00DC3883"/>
    <w:rsid w:val="00DC3B9F"/>
    <w:rsid w:val="00DC3C91"/>
    <w:rsid w:val="00DC3F6F"/>
    <w:rsid w:val="00DC4092"/>
    <w:rsid w:val="00DC42D3"/>
    <w:rsid w:val="00DC435F"/>
    <w:rsid w:val="00DC45D1"/>
    <w:rsid w:val="00DC4681"/>
    <w:rsid w:val="00DC477D"/>
    <w:rsid w:val="00DC4DB7"/>
    <w:rsid w:val="00DC4ECF"/>
    <w:rsid w:val="00DC50C4"/>
    <w:rsid w:val="00DC5267"/>
    <w:rsid w:val="00DC53EF"/>
    <w:rsid w:val="00DC55F9"/>
    <w:rsid w:val="00DC56D7"/>
    <w:rsid w:val="00DC57AC"/>
    <w:rsid w:val="00DC6084"/>
    <w:rsid w:val="00DC645E"/>
    <w:rsid w:val="00DC65DB"/>
    <w:rsid w:val="00DC6763"/>
    <w:rsid w:val="00DC6B21"/>
    <w:rsid w:val="00DC6CF7"/>
    <w:rsid w:val="00DC6DF4"/>
    <w:rsid w:val="00DC6FA4"/>
    <w:rsid w:val="00DC70F7"/>
    <w:rsid w:val="00DC72B9"/>
    <w:rsid w:val="00DC76F5"/>
    <w:rsid w:val="00DC7704"/>
    <w:rsid w:val="00DC7886"/>
    <w:rsid w:val="00DC7A90"/>
    <w:rsid w:val="00DC7C44"/>
    <w:rsid w:val="00DC7D00"/>
    <w:rsid w:val="00DC7D9C"/>
    <w:rsid w:val="00DC7EE2"/>
    <w:rsid w:val="00DD002C"/>
    <w:rsid w:val="00DD0211"/>
    <w:rsid w:val="00DD06F4"/>
    <w:rsid w:val="00DD0706"/>
    <w:rsid w:val="00DD0BB7"/>
    <w:rsid w:val="00DD0DCB"/>
    <w:rsid w:val="00DD0E11"/>
    <w:rsid w:val="00DD1350"/>
    <w:rsid w:val="00DD1485"/>
    <w:rsid w:val="00DD168C"/>
    <w:rsid w:val="00DD1714"/>
    <w:rsid w:val="00DD1868"/>
    <w:rsid w:val="00DD1931"/>
    <w:rsid w:val="00DD1B63"/>
    <w:rsid w:val="00DD1BED"/>
    <w:rsid w:val="00DD21A5"/>
    <w:rsid w:val="00DD220D"/>
    <w:rsid w:val="00DD2DE6"/>
    <w:rsid w:val="00DD2EF1"/>
    <w:rsid w:val="00DD312D"/>
    <w:rsid w:val="00DD3404"/>
    <w:rsid w:val="00DD3418"/>
    <w:rsid w:val="00DD34AA"/>
    <w:rsid w:val="00DD352F"/>
    <w:rsid w:val="00DD38E7"/>
    <w:rsid w:val="00DD3CAC"/>
    <w:rsid w:val="00DD40C5"/>
    <w:rsid w:val="00DD4410"/>
    <w:rsid w:val="00DD4483"/>
    <w:rsid w:val="00DD4492"/>
    <w:rsid w:val="00DD49CC"/>
    <w:rsid w:val="00DD49CF"/>
    <w:rsid w:val="00DD4B4D"/>
    <w:rsid w:val="00DD4B96"/>
    <w:rsid w:val="00DD52F0"/>
    <w:rsid w:val="00DD5677"/>
    <w:rsid w:val="00DD59D1"/>
    <w:rsid w:val="00DD59FB"/>
    <w:rsid w:val="00DD5D50"/>
    <w:rsid w:val="00DD5DA9"/>
    <w:rsid w:val="00DD618C"/>
    <w:rsid w:val="00DD6385"/>
    <w:rsid w:val="00DD6419"/>
    <w:rsid w:val="00DD6466"/>
    <w:rsid w:val="00DD6913"/>
    <w:rsid w:val="00DD6ACD"/>
    <w:rsid w:val="00DD6D00"/>
    <w:rsid w:val="00DD6D53"/>
    <w:rsid w:val="00DD70A1"/>
    <w:rsid w:val="00DD721B"/>
    <w:rsid w:val="00DD73D4"/>
    <w:rsid w:val="00DD7525"/>
    <w:rsid w:val="00DD7547"/>
    <w:rsid w:val="00DD76A6"/>
    <w:rsid w:val="00DD7758"/>
    <w:rsid w:val="00DD7ABC"/>
    <w:rsid w:val="00DD7AD7"/>
    <w:rsid w:val="00DD7EBB"/>
    <w:rsid w:val="00DE0018"/>
    <w:rsid w:val="00DE00BB"/>
    <w:rsid w:val="00DE015F"/>
    <w:rsid w:val="00DE04F3"/>
    <w:rsid w:val="00DE09D3"/>
    <w:rsid w:val="00DE0A77"/>
    <w:rsid w:val="00DE0C49"/>
    <w:rsid w:val="00DE0F9E"/>
    <w:rsid w:val="00DE1080"/>
    <w:rsid w:val="00DE133C"/>
    <w:rsid w:val="00DE14A4"/>
    <w:rsid w:val="00DE15EF"/>
    <w:rsid w:val="00DE1612"/>
    <w:rsid w:val="00DE173B"/>
    <w:rsid w:val="00DE18F7"/>
    <w:rsid w:val="00DE199B"/>
    <w:rsid w:val="00DE1AAD"/>
    <w:rsid w:val="00DE1FEC"/>
    <w:rsid w:val="00DE22EB"/>
    <w:rsid w:val="00DE257D"/>
    <w:rsid w:val="00DE25A8"/>
    <w:rsid w:val="00DE2B79"/>
    <w:rsid w:val="00DE2BA5"/>
    <w:rsid w:val="00DE31DB"/>
    <w:rsid w:val="00DE3799"/>
    <w:rsid w:val="00DE3B9C"/>
    <w:rsid w:val="00DE3C0A"/>
    <w:rsid w:val="00DE3D23"/>
    <w:rsid w:val="00DE3DD7"/>
    <w:rsid w:val="00DE3F44"/>
    <w:rsid w:val="00DE3FF1"/>
    <w:rsid w:val="00DE4C17"/>
    <w:rsid w:val="00DE4C32"/>
    <w:rsid w:val="00DE5079"/>
    <w:rsid w:val="00DE51B7"/>
    <w:rsid w:val="00DE54CB"/>
    <w:rsid w:val="00DE551E"/>
    <w:rsid w:val="00DE55E3"/>
    <w:rsid w:val="00DE5608"/>
    <w:rsid w:val="00DE57A1"/>
    <w:rsid w:val="00DE58D0"/>
    <w:rsid w:val="00DE5B4B"/>
    <w:rsid w:val="00DE5CD2"/>
    <w:rsid w:val="00DE5E10"/>
    <w:rsid w:val="00DE5F43"/>
    <w:rsid w:val="00DE5FAE"/>
    <w:rsid w:val="00DE603C"/>
    <w:rsid w:val="00DE603F"/>
    <w:rsid w:val="00DE60A5"/>
    <w:rsid w:val="00DE6192"/>
    <w:rsid w:val="00DE63A2"/>
    <w:rsid w:val="00DE654F"/>
    <w:rsid w:val="00DE68D1"/>
    <w:rsid w:val="00DE6ADF"/>
    <w:rsid w:val="00DE6B08"/>
    <w:rsid w:val="00DE6D24"/>
    <w:rsid w:val="00DE6EFA"/>
    <w:rsid w:val="00DE74C5"/>
    <w:rsid w:val="00DE7501"/>
    <w:rsid w:val="00DE7504"/>
    <w:rsid w:val="00DE7781"/>
    <w:rsid w:val="00DE77C4"/>
    <w:rsid w:val="00DE7803"/>
    <w:rsid w:val="00DE7A32"/>
    <w:rsid w:val="00DF000F"/>
    <w:rsid w:val="00DF0062"/>
    <w:rsid w:val="00DF022A"/>
    <w:rsid w:val="00DF04A2"/>
    <w:rsid w:val="00DF07F9"/>
    <w:rsid w:val="00DF0A97"/>
    <w:rsid w:val="00DF0AF3"/>
    <w:rsid w:val="00DF0B6E"/>
    <w:rsid w:val="00DF0BBB"/>
    <w:rsid w:val="00DF0E12"/>
    <w:rsid w:val="00DF1226"/>
    <w:rsid w:val="00DF13F4"/>
    <w:rsid w:val="00DF15E0"/>
    <w:rsid w:val="00DF1744"/>
    <w:rsid w:val="00DF1814"/>
    <w:rsid w:val="00DF187A"/>
    <w:rsid w:val="00DF1B98"/>
    <w:rsid w:val="00DF1C98"/>
    <w:rsid w:val="00DF1CE2"/>
    <w:rsid w:val="00DF1FD3"/>
    <w:rsid w:val="00DF2755"/>
    <w:rsid w:val="00DF27F2"/>
    <w:rsid w:val="00DF2BC3"/>
    <w:rsid w:val="00DF2DE2"/>
    <w:rsid w:val="00DF2F88"/>
    <w:rsid w:val="00DF342A"/>
    <w:rsid w:val="00DF34FB"/>
    <w:rsid w:val="00DF37A0"/>
    <w:rsid w:val="00DF39C8"/>
    <w:rsid w:val="00DF3B5B"/>
    <w:rsid w:val="00DF3D72"/>
    <w:rsid w:val="00DF3FBA"/>
    <w:rsid w:val="00DF3FFE"/>
    <w:rsid w:val="00DF4063"/>
    <w:rsid w:val="00DF4110"/>
    <w:rsid w:val="00DF4324"/>
    <w:rsid w:val="00DF4374"/>
    <w:rsid w:val="00DF4434"/>
    <w:rsid w:val="00DF46A3"/>
    <w:rsid w:val="00DF47C7"/>
    <w:rsid w:val="00DF49CA"/>
    <w:rsid w:val="00DF4E8D"/>
    <w:rsid w:val="00DF5192"/>
    <w:rsid w:val="00DF51B0"/>
    <w:rsid w:val="00DF541B"/>
    <w:rsid w:val="00DF5452"/>
    <w:rsid w:val="00DF54DD"/>
    <w:rsid w:val="00DF599A"/>
    <w:rsid w:val="00DF5A98"/>
    <w:rsid w:val="00DF5AEF"/>
    <w:rsid w:val="00DF5B72"/>
    <w:rsid w:val="00DF5C11"/>
    <w:rsid w:val="00DF5C2A"/>
    <w:rsid w:val="00DF5C5D"/>
    <w:rsid w:val="00DF5EC5"/>
    <w:rsid w:val="00DF5EF3"/>
    <w:rsid w:val="00DF5F55"/>
    <w:rsid w:val="00DF6076"/>
    <w:rsid w:val="00DF61AD"/>
    <w:rsid w:val="00DF6580"/>
    <w:rsid w:val="00DF6858"/>
    <w:rsid w:val="00DF6861"/>
    <w:rsid w:val="00DF6925"/>
    <w:rsid w:val="00DF6D4A"/>
    <w:rsid w:val="00DF6E92"/>
    <w:rsid w:val="00DF6EB9"/>
    <w:rsid w:val="00DF712E"/>
    <w:rsid w:val="00DF74D4"/>
    <w:rsid w:val="00DF77D9"/>
    <w:rsid w:val="00DF7A4D"/>
    <w:rsid w:val="00DF7D9E"/>
    <w:rsid w:val="00DF7E3A"/>
    <w:rsid w:val="00DF7F88"/>
    <w:rsid w:val="00E000B7"/>
    <w:rsid w:val="00E001E1"/>
    <w:rsid w:val="00E00344"/>
    <w:rsid w:val="00E003EA"/>
    <w:rsid w:val="00E005BF"/>
    <w:rsid w:val="00E00787"/>
    <w:rsid w:val="00E009E0"/>
    <w:rsid w:val="00E00B26"/>
    <w:rsid w:val="00E00B8B"/>
    <w:rsid w:val="00E00FB5"/>
    <w:rsid w:val="00E012BC"/>
    <w:rsid w:val="00E012C1"/>
    <w:rsid w:val="00E01338"/>
    <w:rsid w:val="00E01751"/>
    <w:rsid w:val="00E01B49"/>
    <w:rsid w:val="00E01CA5"/>
    <w:rsid w:val="00E01D81"/>
    <w:rsid w:val="00E01E32"/>
    <w:rsid w:val="00E02089"/>
    <w:rsid w:val="00E02279"/>
    <w:rsid w:val="00E02286"/>
    <w:rsid w:val="00E023B0"/>
    <w:rsid w:val="00E028C9"/>
    <w:rsid w:val="00E0293A"/>
    <w:rsid w:val="00E02A9D"/>
    <w:rsid w:val="00E02B0E"/>
    <w:rsid w:val="00E02C81"/>
    <w:rsid w:val="00E02CD8"/>
    <w:rsid w:val="00E02D9B"/>
    <w:rsid w:val="00E02FA3"/>
    <w:rsid w:val="00E03037"/>
    <w:rsid w:val="00E03131"/>
    <w:rsid w:val="00E0315E"/>
    <w:rsid w:val="00E034AD"/>
    <w:rsid w:val="00E0387D"/>
    <w:rsid w:val="00E03C44"/>
    <w:rsid w:val="00E03E03"/>
    <w:rsid w:val="00E03E9D"/>
    <w:rsid w:val="00E03F22"/>
    <w:rsid w:val="00E04086"/>
    <w:rsid w:val="00E0414A"/>
    <w:rsid w:val="00E044F0"/>
    <w:rsid w:val="00E04591"/>
    <w:rsid w:val="00E04713"/>
    <w:rsid w:val="00E04766"/>
    <w:rsid w:val="00E04797"/>
    <w:rsid w:val="00E047F4"/>
    <w:rsid w:val="00E04B73"/>
    <w:rsid w:val="00E04BF3"/>
    <w:rsid w:val="00E04C29"/>
    <w:rsid w:val="00E04D66"/>
    <w:rsid w:val="00E04D67"/>
    <w:rsid w:val="00E04D7D"/>
    <w:rsid w:val="00E04E6C"/>
    <w:rsid w:val="00E04F68"/>
    <w:rsid w:val="00E05310"/>
    <w:rsid w:val="00E0538A"/>
    <w:rsid w:val="00E053AE"/>
    <w:rsid w:val="00E053E1"/>
    <w:rsid w:val="00E054D2"/>
    <w:rsid w:val="00E056D0"/>
    <w:rsid w:val="00E058B6"/>
    <w:rsid w:val="00E05D62"/>
    <w:rsid w:val="00E05D69"/>
    <w:rsid w:val="00E05F1D"/>
    <w:rsid w:val="00E06010"/>
    <w:rsid w:val="00E06239"/>
    <w:rsid w:val="00E0643B"/>
    <w:rsid w:val="00E065B4"/>
    <w:rsid w:val="00E0665B"/>
    <w:rsid w:val="00E0675E"/>
    <w:rsid w:val="00E0689A"/>
    <w:rsid w:val="00E06AB2"/>
    <w:rsid w:val="00E06AD0"/>
    <w:rsid w:val="00E06FE5"/>
    <w:rsid w:val="00E071BA"/>
    <w:rsid w:val="00E07355"/>
    <w:rsid w:val="00E0738C"/>
    <w:rsid w:val="00E0748B"/>
    <w:rsid w:val="00E0752A"/>
    <w:rsid w:val="00E07557"/>
    <w:rsid w:val="00E07589"/>
    <w:rsid w:val="00E07789"/>
    <w:rsid w:val="00E07945"/>
    <w:rsid w:val="00E07B83"/>
    <w:rsid w:val="00E07FA7"/>
    <w:rsid w:val="00E1002B"/>
    <w:rsid w:val="00E10323"/>
    <w:rsid w:val="00E10526"/>
    <w:rsid w:val="00E10994"/>
    <w:rsid w:val="00E110E7"/>
    <w:rsid w:val="00E113E4"/>
    <w:rsid w:val="00E115D0"/>
    <w:rsid w:val="00E11B20"/>
    <w:rsid w:val="00E11F47"/>
    <w:rsid w:val="00E11F7B"/>
    <w:rsid w:val="00E121A5"/>
    <w:rsid w:val="00E12275"/>
    <w:rsid w:val="00E12491"/>
    <w:rsid w:val="00E124A7"/>
    <w:rsid w:val="00E1267B"/>
    <w:rsid w:val="00E12714"/>
    <w:rsid w:val="00E12903"/>
    <w:rsid w:val="00E12C5A"/>
    <w:rsid w:val="00E12D76"/>
    <w:rsid w:val="00E12E3B"/>
    <w:rsid w:val="00E12EB3"/>
    <w:rsid w:val="00E134F2"/>
    <w:rsid w:val="00E13B19"/>
    <w:rsid w:val="00E13B7F"/>
    <w:rsid w:val="00E13BBE"/>
    <w:rsid w:val="00E13C3C"/>
    <w:rsid w:val="00E13DCE"/>
    <w:rsid w:val="00E13E05"/>
    <w:rsid w:val="00E13E40"/>
    <w:rsid w:val="00E13E5A"/>
    <w:rsid w:val="00E13E9C"/>
    <w:rsid w:val="00E140A0"/>
    <w:rsid w:val="00E14192"/>
    <w:rsid w:val="00E146A5"/>
    <w:rsid w:val="00E1484C"/>
    <w:rsid w:val="00E14945"/>
    <w:rsid w:val="00E14ABA"/>
    <w:rsid w:val="00E14ACE"/>
    <w:rsid w:val="00E14B5C"/>
    <w:rsid w:val="00E14D09"/>
    <w:rsid w:val="00E14E46"/>
    <w:rsid w:val="00E14EA0"/>
    <w:rsid w:val="00E14F86"/>
    <w:rsid w:val="00E15064"/>
    <w:rsid w:val="00E150B8"/>
    <w:rsid w:val="00E1518E"/>
    <w:rsid w:val="00E15278"/>
    <w:rsid w:val="00E15294"/>
    <w:rsid w:val="00E15666"/>
    <w:rsid w:val="00E15897"/>
    <w:rsid w:val="00E1597D"/>
    <w:rsid w:val="00E15B03"/>
    <w:rsid w:val="00E15D47"/>
    <w:rsid w:val="00E15DB9"/>
    <w:rsid w:val="00E15EE3"/>
    <w:rsid w:val="00E15F42"/>
    <w:rsid w:val="00E16019"/>
    <w:rsid w:val="00E1604B"/>
    <w:rsid w:val="00E160A4"/>
    <w:rsid w:val="00E160BC"/>
    <w:rsid w:val="00E1652F"/>
    <w:rsid w:val="00E16531"/>
    <w:rsid w:val="00E16545"/>
    <w:rsid w:val="00E1682B"/>
    <w:rsid w:val="00E169FE"/>
    <w:rsid w:val="00E16A91"/>
    <w:rsid w:val="00E16C4D"/>
    <w:rsid w:val="00E16C87"/>
    <w:rsid w:val="00E16DFC"/>
    <w:rsid w:val="00E16F55"/>
    <w:rsid w:val="00E1710C"/>
    <w:rsid w:val="00E1734E"/>
    <w:rsid w:val="00E1750C"/>
    <w:rsid w:val="00E175FB"/>
    <w:rsid w:val="00E178CA"/>
    <w:rsid w:val="00E17A62"/>
    <w:rsid w:val="00E17AFA"/>
    <w:rsid w:val="00E17BB8"/>
    <w:rsid w:val="00E17C53"/>
    <w:rsid w:val="00E17D8C"/>
    <w:rsid w:val="00E17EE9"/>
    <w:rsid w:val="00E17FA2"/>
    <w:rsid w:val="00E200CA"/>
    <w:rsid w:val="00E2019A"/>
    <w:rsid w:val="00E201D7"/>
    <w:rsid w:val="00E20AD0"/>
    <w:rsid w:val="00E20C8C"/>
    <w:rsid w:val="00E20D7D"/>
    <w:rsid w:val="00E20E61"/>
    <w:rsid w:val="00E20FAC"/>
    <w:rsid w:val="00E210B7"/>
    <w:rsid w:val="00E2115D"/>
    <w:rsid w:val="00E212AE"/>
    <w:rsid w:val="00E2156F"/>
    <w:rsid w:val="00E215F0"/>
    <w:rsid w:val="00E2178B"/>
    <w:rsid w:val="00E21842"/>
    <w:rsid w:val="00E21AD7"/>
    <w:rsid w:val="00E21C34"/>
    <w:rsid w:val="00E21CE5"/>
    <w:rsid w:val="00E21EF6"/>
    <w:rsid w:val="00E220E7"/>
    <w:rsid w:val="00E2211F"/>
    <w:rsid w:val="00E221F2"/>
    <w:rsid w:val="00E22212"/>
    <w:rsid w:val="00E22330"/>
    <w:rsid w:val="00E2247F"/>
    <w:rsid w:val="00E225ED"/>
    <w:rsid w:val="00E22682"/>
    <w:rsid w:val="00E22A54"/>
    <w:rsid w:val="00E22E85"/>
    <w:rsid w:val="00E22F4A"/>
    <w:rsid w:val="00E22FA2"/>
    <w:rsid w:val="00E2366A"/>
    <w:rsid w:val="00E236E0"/>
    <w:rsid w:val="00E237EA"/>
    <w:rsid w:val="00E23843"/>
    <w:rsid w:val="00E23900"/>
    <w:rsid w:val="00E23977"/>
    <w:rsid w:val="00E23A7F"/>
    <w:rsid w:val="00E23B51"/>
    <w:rsid w:val="00E23D8E"/>
    <w:rsid w:val="00E23F3F"/>
    <w:rsid w:val="00E23FB1"/>
    <w:rsid w:val="00E240A8"/>
    <w:rsid w:val="00E241A7"/>
    <w:rsid w:val="00E24300"/>
    <w:rsid w:val="00E2435D"/>
    <w:rsid w:val="00E2444D"/>
    <w:rsid w:val="00E24470"/>
    <w:rsid w:val="00E2448C"/>
    <w:rsid w:val="00E246E7"/>
    <w:rsid w:val="00E249EC"/>
    <w:rsid w:val="00E24C5F"/>
    <w:rsid w:val="00E24D4E"/>
    <w:rsid w:val="00E24DE2"/>
    <w:rsid w:val="00E24EB1"/>
    <w:rsid w:val="00E252C4"/>
    <w:rsid w:val="00E2549E"/>
    <w:rsid w:val="00E254D6"/>
    <w:rsid w:val="00E256C9"/>
    <w:rsid w:val="00E257CA"/>
    <w:rsid w:val="00E25900"/>
    <w:rsid w:val="00E25B53"/>
    <w:rsid w:val="00E25C2A"/>
    <w:rsid w:val="00E25CDD"/>
    <w:rsid w:val="00E25E68"/>
    <w:rsid w:val="00E25EA5"/>
    <w:rsid w:val="00E25FE6"/>
    <w:rsid w:val="00E260A1"/>
    <w:rsid w:val="00E2621B"/>
    <w:rsid w:val="00E262BB"/>
    <w:rsid w:val="00E262C5"/>
    <w:rsid w:val="00E26582"/>
    <w:rsid w:val="00E265ED"/>
    <w:rsid w:val="00E26A9B"/>
    <w:rsid w:val="00E26AC2"/>
    <w:rsid w:val="00E26AFA"/>
    <w:rsid w:val="00E26D3F"/>
    <w:rsid w:val="00E26E07"/>
    <w:rsid w:val="00E26F21"/>
    <w:rsid w:val="00E26FD8"/>
    <w:rsid w:val="00E272DD"/>
    <w:rsid w:val="00E2732C"/>
    <w:rsid w:val="00E275EF"/>
    <w:rsid w:val="00E27846"/>
    <w:rsid w:val="00E2787B"/>
    <w:rsid w:val="00E278BB"/>
    <w:rsid w:val="00E279F0"/>
    <w:rsid w:val="00E27B70"/>
    <w:rsid w:val="00E27BA1"/>
    <w:rsid w:val="00E27D52"/>
    <w:rsid w:val="00E27E34"/>
    <w:rsid w:val="00E27FC7"/>
    <w:rsid w:val="00E306DC"/>
    <w:rsid w:val="00E3082E"/>
    <w:rsid w:val="00E30B5A"/>
    <w:rsid w:val="00E3123D"/>
    <w:rsid w:val="00E312AF"/>
    <w:rsid w:val="00E31461"/>
    <w:rsid w:val="00E31487"/>
    <w:rsid w:val="00E314BD"/>
    <w:rsid w:val="00E314DD"/>
    <w:rsid w:val="00E31A3F"/>
    <w:rsid w:val="00E31A44"/>
    <w:rsid w:val="00E31B8A"/>
    <w:rsid w:val="00E31D43"/>
    <w:rsid w:val="00E31D6C"/>
    <w:rsid w:val="00E32292"/>
    <w:rsid w:val="00E322C0"/>
    <w:rsid w:val="00E323A1"/>
    <w:rsid w:val="00E32449"/>
    <w:rsid w:val="00E32608"/>
    <w:rsid w:val="00E32811"/>
    <w:rsid w:val="00E32A8E"/>
    <w:rsid w:val="00E32D28"/>
    <w:rsid w:val="00E33305"/>
    <w:rsid w:val="00E3397E"/>
    <w:rsid w:val="00E33B35"/>
    <w:rsid w:val="00E33F6A"/>
    <w:rsid w:val="00E34016"/>
    <w:rsid w:val="00E34188"/>
    <w:rsid w:val="00E34388"/>
    <w:rsid w:val="00E343EC"/>
    <w:rsid w:val="00E3463F"/>
    <w:rsid w:val="00E346D3"/>
    <w:rsid w:val="00E34752"/>
    <w:rsid w:val="00E3489B"/>
    <w:rsid w:val="00E348C7"/>
    <w:rsid w:val="00E34A0F"/>
    <w:rsid w:val="00E34B6E"/>
    <w:rsid w:val="00E3500B"/>
    <w:rsid w:val="00E35049"/>
    <w:rsid w:val="00E35053"/>
    <w:rsid w:val="00E350CC"/>
    <w:rsid w:val="00E351CE"/>
    <w:rsid w:val="00E3548E"/>
    <w:rsid w:val="00E354BF"/>
    <w:rsid w:val="00E35559"/>
    <w:rsid w:val="00E355D4"/>
    <w:rsid w:val="00E358B2"/>
    <w:rsid w:val="00E35913"/>
    <w:rsid w:val="00E35975"/>
    <w:rsid w:val="00E35F6D"/>
    <w:rsid w:val="00E36110"/>
    <w:rsid w:val="00E36385"/>
    <w:rsid w:val="00E365AF"/>
    <w:rsid w:val="00E369CA"/>
    <w:rsid w:val="00E36A51"/>
    <w:rsid w:val="00E36CA8"/>
    <w:rsid w:val="00E36D66"/>
    <w:rsid w:val="00E371E1"/>
    <w:rsid w:val="00E371F5"/>
    <w:rsid w:val="00E3723A"/>
    <w:rsid w:val="00E373A5"/>
    <w:rsid w:val="00E37427"/>
    <w:rsid w:val="00E37860"/>
    <w:rsid w:val="00E378E8"/>
    <w:rsid w:val="00E37AD5"/>
    <w:rsid w:val="00E37E0F"/>
    <w:rsid w:val="00E37EC2"/>
    <w:rsid w:val="00E400CE"/>
    <w:rsid w:val="00E4011E"/>
    <w:rsid w:val="00E401CB"/>
    <w:rsid w:val="00E4023A"/>
    <w:rsid w:val="00E408A5"/>
    <w:rsid w:val="00E408C8"/>
    <w:rsid w:val="00E40A93"/>
    <w:rsid w:val="00E40CC7"/>
    <w:rsid w:val="00E41011"/>
    <w:rsid w:val="00E410DA"/>
    <w:rsid w:val="00E41488"/>
    <w:rsid w:val="00E415D5"/>
    <w:rsid w:val="00E4181E"/>
    <w:rsid w:val="00E418B9"/>
    <w:rsid w:val="00E41E23"/>
    <w:rsid w:val="00E41E95"/>
    <w:rsid w:val="00E41EDC"/>
    <w:rsid w:val="00E41F3A"/>
    <w:rsid w:val="00E41F9C"/>
    <w:rsid w:val="00E421BD"/>
    <w:rsid w:val="00E4273B"/>
    <w:rsid w:val="00E4286F"/>
    <w:rsid w:val="00E42A00"/>
    <w:rsid w:val="00E42A65"/>
    <w:rsid w:val="00E42B11"/>
    <w:rsid w:val="00E42C41"/>
    <w:rsid w:val="00E42CB7"/>
    <w:rsid w:val="00E430E4"/>
    <w:rsid w:val="00E4329D"/>
    <w:rsid w:val="00E432DF"/>
    <w:rsid w:val="00E433BE"/>
    <w:rsid w:val="00E4349C"/>
    <w:rsid w:val="00E43729"/>
    <w:rsid w:val="00E43AB4"/>
    <w:rsid w:val="00E43BB4"/>
    <w:rsid w:val="00E43DEB"/>
    <w:rsid w:val="00E43E25"/>
    <w:rsid w:val="00E43F9E"/>
    <w:rsid w:val="00E44142"/>
    <w:rsid w:val="00E44277"/>
    <w:rsid w:val="00E443E1"/>
    <w:rsid w:val="00E4448D"/>
    <w:rsid w:val="00E44614"/>
    <w:rsid w:val="00E446F1"/>
    <w:rsid w:val="00E4493B"/>
    <w:rsid w:val="00E449EF"/>
    <w:rsid w:val="00E44EAC"/>
    <w:rsid w:val="00E44F50"/>
    <w:rsid w:val="00E44FBF"/>
    <w:rsid w:val="00E4510A"/>
    <w:rsid w:val="00E451AB"/>
    <w:rsid w:val="00E451D4"/>
    <w:rsid w:val="00E45393"/>
    <w:rsid w:val="00E4561C"/>
    <w:rsid w:val="00E45660"/>
    <w:rsid w:val="00E456DA"/>
    <w:rsid w:val="00E456E8"/>
    <w:rsid w:val="00E457BC"/>
    <w:rsid w:val="00E458AE"/>
    <w:rsid w:val="00E45991"/>
    <w:rsid w:val="00E45A2C"/>
    <w:rsid w:val="00E45AE7"/>
    <w:rsid w:val="00E45E5D"/>
    <w:rsid w:val="00E46139"/>
    <w:rsid w:val="00E46747"/>
    <w:rsid w:val="00E4679A"/>
    <w:rsid w:val="00E46886"/>
    <w:rsid w:val="00E4697D"/>
    <w:rsid w:val="00E469C6"/>
    <w:rsid w:val="00E469F5"/>
    <w:rsid w:val="00E46F34"/>
    <w:rsid w:val="00E46F81"/>
    <w:rsid w:val="00E473E5"/>
    <w:rsid w:val="00E473FF"/>
    <w:rsid w:val="00E47AEF"/>
    <w:rsid w:val="00E47CE0"/>
    <w:rsid w:val="00E47D28"/>
    <w:rsid w:val="00E47F40"/>
    <w:rsid w:val="00E47F58"/>
    <w:rsid w:val="00E5003F"/>
    <w:rsid w:val="00E504CD"/>
    <w:rsid w:val="00E504FC"/>
    <w:rsid w:val="00E50589"/>
    <w:rsid w:val="00E509A3"/>
    <w:rsid w:val="00E50D64"/>
    <w:rsid w:val="00E50EFC"/>
    <w:rsid w:val="00E50F7F"/>
    <w:rsid w:val="00E512F8"/>
    <w:rsid w:val="00E5177F"/>
    <w:rsid w:val="00E51958"/>
    <w:rsid w:val="00E51C98"/>
    <w:rsid w:val="00E51CE1"/>
    <w:rsid w:val="00E51CE6"/>
    <w:rsid w:val="00E51E4A"/>
    <w:rsid w:val="00E522F1"/>
    <w:rsid w:val="00E52575"/>
    <w:rsid w:val="00E529C7"/>
    <w:rsid w:val="00E529D4"/>
    <w:rsid w:val="00E52D34"/>
    <w:rsid w:val="00E52DA4"/>
    <w:rsid w:val="00E52ED8"/>
    <w:rsid w:val="00E53084"/>
    <w:rsid w:val="00E531A4"/>
    <w:rsid w:val="00E533AF"/>
    <w:rsid w:val="00E533C6"/>
    <w:rsid w:val="00E53488"/>
    <w:rsid w:val="00E534A7"/>
    <w:rsid w:val="00E53B75"/>
    <w:rsid w:val="00E53CD9"/>
    <w:rsid w:val="00E53F1F"/>
    <w:rsid w:val="00E53F5B"/>
    <w:rsid w:val="00E54084"/>
    <w:rsid w:val="00E541F8"/>
    <w:rsid w:val="00E541FD"/>
    <w:rsid w:val="00E544F1"/>
    <w:rsid w:val="00E546C2"/>
    <w:rsid w:val="00E54772"/>
    <w:rsid w:val="00E547BE"/>
    <w:rsid w:val="00E54912"/>
    <w:rsid w:val="00E54B41"/>
    <w:rsid w:val="00E54B5E"/>
    <w:rsid w:val="00E54C98"/>
    <w:rsid w:val="00E54D20"/>
    <w:rsid w:val="00E54D9A"/>
    <w:rsid w:val="00E54E3B"/>
    <w:rsid w:val="00E54F4C"/>
    <w:rsid w:val="00E551BA"/>
    <w:rsid w:val="00E55842"/>
    <w:rsid w:val="00E55B88"/>
    <w:rsid w:val="00E55D07"/>
    <w:rsid w:val="00E55D2F"/>
    <w:rsid w:val="00E55EED"/>
    <w:rsid w:val="00E5649C"/>
    <w:rsid w:val="00E564F6"/>
    <w:rsid w:val="00E5651A"/>
    <w:rsid w:val="00E5678D"/>
    <w:rsid w:val="00E568D3"/>
    <w:rsid w:val="00E56A13"/>
    <w:rsid w:val="00E56B5D"/>
    <w:rsid w:val="00E56D92"/>
    <w:rsid w:val="00E56DC3"/>
    <w:rsid w:val="00E56DE4"/>
    <w:rsid w:val="00E56EA4"/>
    <w:rsid w:val="00E56F5A"/>
    <w:rsid w:val="00E57043"/>
    <w:rsid w:val="00E57565"/>
    <w:rsid w:val="00E576A1"/>
    <w:rsid w:val="00E57809"/>
    <w:rsid w:val="00E57833"/>
    <w:rsid w:val="00E579BB"/>
    <w:rsid w:val="00E57B2B"/>
    <w:rsid w:val="00E57C92"/>
    <w:rsid w:val="00E57F11"/>
    <w:rsid w:val="00E57F18"/>
    <w:rsid w:val="00E57F1C"/>
    <w:rsid w:val="00E60186"/>
    <w:rsid w:val="00E601AA"/>
    <w:rsid w:val="00E601F9"/>
    <w:rsid w:val="00E604D4"/>
    <w:rsid w:val="00E60693"/>
    <w:rsid w:val="00E60925"/>
    <w:rsid w:val="00E60A0C"/>
    <w:rsid w:val="00E611D3"/>
    <w:rsid w:val="00E61402"/>
    <w:rsid w:val="00E618F4"/>
    <w:rsid w:val="00E61B87"/>
    <w:rsid w:val="00E61D2C"/>
    <w:rsid w:val="00E6293B"/>
    <w:rsid w:val="00E62A3D"/>
    <w:rsid w:val="00E62CDB"/>
    <w:rsid w:val="00E630C5"/>
    <w:rsid w:val="00E631DF"/>
    <w:rsid w:val="00E63321"/>
    <w:rsid w:val="00E63838"/>
    <w:rsid w:val="00E639B0"/>
    <w:rsid w:val="00E63A00"/>
    <w:rsid w:val="00E63B0A"/>
    <w:rsid w:val="00E63E50"/>
    <w:rsid w:val="00E63E58"/>
    <w:rsid w:val="00E63F9A"/>
    <w:rsid w:val="00E64250"/>
    <w:rsid w:val="00E64434"/>
    <w:rsid w:val="00E64727"/>
    <w:rsid w:val="00E648E1"/>
    <w:rsid w:val="00E64A54"/>
    <w:rsid w:val="00E64C2D"/>
    <w:rsid w:val="00E64D2C"/>
    <w:rsid w:val="00E6529F"/>
    <w:rsid w:val="00E6558E"/>
    <w:rsid w:val="00E6585D"/>
    <w:rsid w:val="00E65933"/>
    <w:rsid w:val="00E65D38"/>
    <w:rsid w:val="00E65E1E"/>
    <w:rsid w:val="00E65E2F"/>
    <w:rsid w:val="00E66119"/>
    <w:rsid w:val="00E6639F"/>
    <w:rsid w:val="00E66613"/>
    <w:rsid w:val="00E6669C"/>
    <w:rsid w:val="00E666A6"/>
    <w:rsid w:val="00E6681C"/>
    <w:rsid w:val="00E66874"/>
    <w:rsid w:val="00E668D1"/>
    <w:rsid w:val="00E668F8"/>
    <w:rsid w:val="00E669AB"/>
    <w:rsid w:val="00E66AA2"/>
    <w:rsid w:val="00E66B3B"/>
    <w:rsid w:val="00E66B5E"/>
    <w:rsid w:val="00E66C6A"/>
    <w:rsid w:val="00E671FD"/>
    <w:rsid w:val="00E672FD"/>
    <w:rsid w:val="00E67323"/>
    <w:rsid w:val="00E67735"/>
    <w:rsid w:val="00E677B3"/>
    <w:rsid w:val="00E6783E"/>
    <w:rsid w:val="00E67C51"/>
    <w:rsid w:val="00E67D32"/>
    <w:rsid w:val="00E703A2"/>
    <w:rsid w:val="00E703AF"/>
    <w:rsid w:val="00E703B1"/>
    <w:rsid w:val="00E70660"/>
    <w:rsid w:val="00E70D0E"/>
    <w:rsid w:val="00E70D31"/>
    <w:rsid w:val="00E70E3D"/>
    <w:rsid w:val="00E70EA0"/>
    <w:rsid w:val="00E71030"/>
    <w:rsid w:val="00E71062"/>
    <w:rsid w:val="00E7121F"/>
    <w:rsid w:val="00E7127D"/>
    <w:rsid w:val="00E7158B"/>
    <w:rsid w:val="00E715B1"/>
    <w:rsid w:val="00E71F7B"/>
    <w:rsid w:val="00E724C1"/>
    <w:rsid w:val="00E72809"/>
    <w:rsid w:val="00E7289B"/>
    <w:rsid w:val="00E72BA6"/>
    <w:rsid w:val="00E72D33"/>
    <w:rsid w:val="00E72EFC"/>
    <w:rsid w:val="00E73060"/>
    <w:rsid w:val="00E731C9"/>
    <w:rsid w:val="00E734B8"/>
    <w:rsid w:val="00E735EC"/>
    <w:rsid w:val="00E7385F"/>
    <w:rsid w:val="00E73B29"/>
    <w:rsid w:val="00E73CA5"/>
    <w:rsid w:val="00E73E09"/>
    <w:rsid w:val="00E73EF1"/>
    <w:rsid w:val="00E73F44"/>
    <w:rsid w:val="00E74067"/>
    <w:rsid w:val="00E740CC"/>
    <w:rsid w:val="00E740F0"/>
    <w:rsid w:val="00E741FA"/>
    <w:rsid w:val="00E746DB"/>
    <w:rsid w:val="00E74944"/>
    <w:rsid w:val="00E74B96"/>
    <w:rsid w:val="00E74C37"/>
    <w:rsid w:val="00E74D6D"/>
    <w:rsid w:val="00E752F8"/>
    <w:rsid w:val="00E755E8"/>
    <w:rsid w:val="00E758EC"/>
    <w:rsid w:val="00E7597A"/>
    <w:rsid w:val="00E75C4B"/>
    <w:rsid w:val="00E7623C"/>
    <w:rsid w:val="00E76261"/>
    <w:rsid w:val="00E7670C"/>
    <w:rsid w:val="00E768F3"/>
    <w:rsid w:val="00E7690F"/>
    <w:rsid w:val="00E76B01"/>
    <w:rsid w:val="00E76DAC"/>
    <w:rsid w:val="00E76FD7"/>
    <w:rsid w:val="00E7716E"/>
    <w:rsid w:val="00E772B8"/>
    <w:rsid w:val="00E77474"/>
    <w:rsid w:val="00E77677"/>
    <w:rsid w:val="00E77A60"/>
    <w:rsid w:val="00E77A81"/>
    <w:rsid w:val="00E77AF9"/>
    <w:rsid w:val="00E77F45"/>
    <w:rsid w:val="00E77F6C"/>
    <w:rsid w:val="00E800C7"/>
    <w:rsid w:val="00E803EB"/>
    <w:rsid w:val="00E803EE"/>
    <w:rsid w:val="00E803F5"/>
    <w:rsid w:val="00E8097B"/>
    <w:rsid w:val="00E809BE"/>
    <w:rsid w:val="00E80D6C"/>
    <w:rsid w:val="00E80FCC"/>
    <w:rsid w:val="00E8109F"/>
    <w:rsid w:val="00E8119F"/>
    <w:rsid w:val="00E811F9"/>
    <w:rsid w:val="00E813D4"/>
    <w:rsid w:val="00E815A3"/>
    <w:rsid w:val="00E82275"/>
    <w:rsid w:val="00E8234C"/>
    <w:rsid w:val="00E823A0"/>
    <w:rsid w:val="00E82431"/>
    <w:rsid w:val="00E8317A"/>
    <w:rsid w:val="00E83234"/>
    <w:rsid w:val="00E83335"/>
    <w:rsid w:val="00E833CF"/>
    <w:rsid w:val="00E836E7"/>
    <w:rsid w:val="00E83759"/>
    <w:rsid w:val="00E83A97"/>
    <w:rsid w:val="00E83AA9"/>
    <w:rsid w:val="00E83B15"/>
    <w:rsid w:val="00E84094"/>
    <w:rsid w:val="00E844DA"/>
    <w:rsid w:val="00E84589"/>
    <w:rsid w:val="00E84627"/>
    <w:rsid w:val="00E84A17"/>
    <w:rsid w:val="00E84DE6"/>
    <w:rsid w:val="00E85547"/>
    <w:rsid w:val="00E8565B"/>
    <w:rsid w:val="00E85728"/>
    <w:rsid w:val="00E85928"/>
    <w:rsid w:val="00E85B8D"/>
    <w:rsid w:val="00E85C21"/>
    <w:rsid w:val="00E85CB2"/>
    <w:rsid w:val="00E85E42"/>
    <w:rsid w:val="00E85E46"/>
    <w:rsid w:val="00E85EA4"/>
    <w:rsid w:val="00E860BB"/>
    <w:rsid w:val="00E86159"/>
    <w:rsid w:val="00E86418"/>
    <w:rsid w:val="00E8649F"/>
    <w:rsid w:val="00E86549"/>
    <w:rsid w:val="00E8654B"/>
    <w:rsid w:val="00E86956"/>
    <w:rsid w:val="00E86D22"/>
    <w:rsid w:val="00E86F9F"/>
    <w:rsid w:val="00E8702C"/>
    <w:rsid w:val="00E8729A"/>
    <w:rsid w:val="00E8753F"/>
    <w:rsid w:val="00E8776D"/>
    <w:rsid w:val="00E87822"/>
    <w:rsid w:val="00E87847"/>
    <w:rsid w:val="00E8788B"/>
    <w:rsid w:val="00E87BF6"/>
    <w:rsid w:val="00E87D73"/>
    <w:rsid w:val="00E87DC8"/>
    <w:rsid w:val="00E87FFC"/>
    <w:rsid w:val="00E90151"/>
    <w:rsid w:val="00E90395"/>
    <w:rsid w:val="00E90418"/>
    <w:rsid w:val="00E90566"/>
    <w:rsid w:val="00E906A7"/>
    <w:rsid w:val="00E906DB"/>
    <w:rsid w:val="00E90758"/>
    <w:rsid w:val="00E908A4"/>
    <w:rsid w:val="00E90B4A"/>
    <w:rsid w:val="00E90B6C"/>
    <w:rsid w:val="00E90D64"/>
    <w:rsid w:val="00E90DEF"/>
    <w:rsid w:val="00E90E49"/>
    <w:rsid w:val="00E90E8B"/>
    <w:rsid w:val="00E90EFA"/>
    <w:rsid w:val="00E90F01"/>
    <w:rsid w:val="00E90F08"/>
    <w:rsid w:val="00E91034"/>
    <w:rsid w:val="00E911B3"/>
    <w:rsid w:val="00E9123B"/>
    <w:rsid w:val="00E9144E"/>
    <w:rsid w:val="00E91472"/>
    <w:rsid w:val="00E9165A"/>
    <w:rsid w:val="00E91674"/>
    <w:rsid w:val="00E917F9"/>
    <w:rsid w:val="00E91820"/>
    <w:rsid w:val="00E9193C"/>
    <w:rsid w:val="00E9194B"/>
    <w:rsid w:val="00E91973"/>
    <w:rsid w:val="00E91A95"/>
    <w:rsid w:val="00E91CA8"/>
    <w:rsid w:val="00E91D9B"/>
    <w:rsid w:val="00E91EC2"/>
    <w:rsid w:val="00E91EF1"/>
    <w:rsid w:val="00E920B7"/>
    <w:rsid w:val="00E9220B"/>
    <w:rsid w:val="00E9223D"/>
    <w:rsid w:val="00E924F1"/>
    <w:rsid w:val="00E92750"/>
    <w:rsid w:val="00E927C9"/>
    <w:rsid w:val="00E9291C"/>
    <w:rsid w:val="00E92BC6"/>
    <w:rsid w:val="00E92BE8"/>
    <w:rsid w:val="00E938F1"/>
    <w:rsid w:val="00E93950"/>
    <w:rsid w:val="00E93C50"/>
    <w:rsid w:val="00E93CFB"/>
    <w:rsid w:val="00E93D29"/>
    <w:rsid w:val="00E93D4D"/>
    <w:rsid w:val="00E93E64"/>
    <w:rsid w:val="00E93F0E"/>
    <w:rsid w:val="00E93FFE"/>
    <w:rsid w:val="00E941B5"/>
    <w:rsid w:val="00E94452"/>
    <w:rsid w:val="00E94711"/>
    <w:rsid w:val="00E947ED"/>
    <w:rsid w:val="00E9485E"/>
    <w:rsid w:val="00E94A89"/>
    <w:rsid w:val="00E94C3F"/>
    <w:rsid w:val="00E94F51"/>
    <w:rsid w:val="00E94F8A"/>
    <w:rsid w:val="00E94FD7"/>
    <w:rsid w:val="00E9509F"/>
    <w:rsid w:val="00E950E7"/>
    <w:rsid w:val="00E95149"/>
    <w:rsid w:val="00E9520F"/>
    <w:rsid w:val="00E952BC"/>
    <w:rsid w:val="00E95371"/>
    <w:rsid w:val="00E95449"/>
    <w:rsid w:val="00E95807"/>
    <w:rsid w:val="00E958A5"/>
    <w:rsid w:val="00E958EA"/>
    <w:rsid w:val="00E95A57"/>
    <w:rsid w:val="00E95AA0"/>
    <w:rsid w:val="00E95AA7"/>
    <w:rsid w:val="00E95AE4"/>
    <w:rsid w:val="00E95BB2"/>
    <w:rsid w:val="00E95DF9"/>
    <w:rsid w:val="00E95FD0"/>
    <w:rsid w:val="00E960FA"/>
    <w:rsid w:val="00E96258"/>
    <w:rsid w:val="00E965D7"/>
    <w:rsid w:val="00E9670F"/>
    <w:rsid w:val="00E967E8"/>
    <w:rsid w:val="00E96847"/>
    <w:rsid w:val="00E96A65"/>
    <w:rsid w:val="00E96A66"/>
    <w:rsid w:val="00E96BDE"/>
    <w:rsid w:val="00E96E94"/>
    <w:rsid w:val="00E9703B"/>
    <w:rsid w:val="00E97099"/>
    <w:rsid w:val="00E9730E"/>
    <w:rsid w:val="00E97330"/>
    <w:rsid w:val="00E975E9"/>
    <w:rsid w:val="00E97783"/>
    <w:rsid w:val="00E977AF"/>
    <w:rsid w:val="00E978FC"/>
    <w:rsid w:val="00E97A38"/>
    <w:rsid w:val="00E97ACB"/>
    <w:rsid w:val="00E97F13"/>
    <w:rsid w:val="00EA0002"/>
    <w:rsid w:val="00EA01CF"/>
    <w:rsid w:val="00EA01D4"/>
    <w:rsid w:val="00EA03CD"/>
    <w:rsid w:val="00EA03F3"/>
    <w:rsid w:val="00EA046C"/>
    <w:rsid w:val="00EA048E"/>
    <w:rsid w:val="00EA04BC"/>
    <w:rsid w:val="00EA0537"/>
    <w:rsid w:val="00EA0DFF"/>
    <w:rsid w:val="00EA118D"/>
    <w:rsid w:val="00EA12C4"/>
    <w:rsid w:val="00EA136A"/>
    <w:rsid w:val="00EA15AD"/>
    <w:rsid w:val="00EA18B1"/>
    <w:rsid w:val="00EA1939"/>
    <w:rsid w:val="00EA1B13"/>
    <w:rsid w:val="00EA1CF0"/>
    <w:rsid w:val="00EA1D07"/>
    <w:rsid w:val="00EA1FF8"/>
    <w:rsid w:val="00EA20CD"/>
    <w:rsid w:val="00EA2B66"/>
    <w:rsid w:val="00EA2C3A"/>
    <w:rsid w:val="00EA3182"/>
    <w:rsid w:val="00EA347D"/>
    <w:rsid w:val="00EA3541"/>
    <w:rsid w:val="00EA378C"/>
    <w:rsid w:val="00EA37E6"/>
    <w:rsid w:val="00EA3B56"/>
    <w:rsid w:val="00EA3C4D"/>
    <w:rsid w:val="00EA3F8E"/>
    <w:rsid w:val="00EA4120"/>
    <w:rsid w:val="00EA4261"/>
    <w:rsid w:val="00EA4434"/>
    <w:rsid w:val="00EA44A4"/>
    <w:rsid w:val="00EA44D0"/>
    <w:rsid w:val="00EA4732"/>
    <w:rsid w:val="00EA4738"/>
    <w:rsid w:val="00EA4AB3"/>
    <w:rsid w:val="00EA4B59"/>
    <w:rsid w:val="00EA4BB1"/>
    <w:rsid w:val="00EA4D1B"/>
    <w:rsid w:val="00EA51E8"/>
    <w:rsid w:val="00EA522B"/>
    <w:rsid w:val="00EA536F"/>
    <w:rsid w:val="00EA540F"/>
    <w:rsid w:val="00EA585D"/>
    <w:rsid w:val="00EA5A6F"/>
    <w:rsid w:val="00EA5ADD"/>
    <w:rsid w:val="00EA5C6B"/>
    <w:rsid w:val="00EA5CF9"/>
    <w:rsid w:val="00EA5D8F"/>
    <w:rsid w:val="00EA5E12"/>
    <w:rsid w:val="00EA6019"/>
    <w:rsid w:val="00EA6179"/>
    <w:rsid w:val="00EA6186"/>
    <w:rsid w:val="00EA61FB"/>
    <w:rsid w:val="00EA63A6"/>
    <w:rsid w:val="00EA66EE"/>
    <w:rsid w:val="00EA678D"/>
    <w:rsid w:val="00EA69E8"/>
    <w:rsid w:val="00EA6D1F"/>
    <w:rsid w:val="00EA6DEA"/>
    <w:rsid w:val="00EA6EAB"/>
    <w:rsid w:val="00EA7212"/>
    <w:rsid w:val="00EA72DC"/>
    <w:rsid w:val="00EA74E8"/>
    <w:rsid w:val="00EA76A7"/>
    <w:rsid w:val="00EA7724"/>
    <w:rsid w:val="00EA791F"/>
    <w:rsid w:val="00EA7956"/>
    <w:rsid w:val="00EA7A41"/>
    <w:rsid w:val="00EA7B28"/>
    <w:rsid w:val="00EA7D14"/>
    <w:rsid w:val="00EB019A"/>
    <w:rsid w:val="00EB0220"/>
    <w:rsid w:val="00EB0349"/>
    <w:rsid w:val="00EB048C"/>
    <w:rsid w:val="00EB0671"/>
    <w:rsid w:val="00EB06AE"/>
    <w:rsid w:val="00EB076E"/>
    <w:rsid w:val="00EB077B"/>
    <w:rsid w:val="00EB0E73"/>
    <w:rsid w:val="00EB110F"/>
    <w:rsid w:val="00EB1148"/>
    <w:rsid w:val="00EB1497"/>
    <w:rsid w:val="00EB14D2"/>
    <w:rsid w:val="00EB14E7"/>
    <w:rsid w:val="00EB153E"/>
    <w:rsid w:val="00EB181D"/>
    <w:rsid w:val="00EB18A7"/>
    <w:rsid w:val="00EB18CF"/>
    <w:rsid w:val="00EB18ED"/>
    <w:rsid w:val="00EB19E6"/>
    <w:rsid w:val="00EB1B81"/>
    <w:rsid w:val="00EB1E63"/>
    <w:rsid w:val="00EB1EC5"/>
    <w:rsid w:val="00EB21BD"/>
    <w:rsid w:val="00EB23AB"/>
    <w:rsid w:val="00EB240E"/>
    <w:rsid w:val="00EB2A23"/>
    <w:rsid w:val="00EB2AFC"/>
    <w:rsid w:val="00EB2B19"/>
    <w:rsid w:val="00EB2B86"/>
    <w:rsid w:val="00EB2C13"/>
    <w:rsid w:val="00EB2CB8"/>
    <w:rsid w:val="00EB2E18"/>
    <w:rsid w:val="00EB2EE7"/>
    <w:rsid w:val="00EB2F75"/>
    <w:rsid w:val="00EB2FBA"/>
    <w:rsid w:val="00EB2FD2"/>
    <w:rsid w:val="00EB3197"/>
    <w:rsid w:val="00EB31F7"/>
    <w:rsid w:val="00EB3340"/>
    <w:rsid w:val="00EB3394"/>
    <w:rsid w:val="00EB35B4"/>
    <w:rsid w:val="00EB3833"/>
    <w:rsid w:val="00EB38F6"/>
    <w:rsid w:val="00EB3D8D"/>
    <w:rsid w:val="00EB3F33"/>
    <w:rsid w:val="00EB4073"/>
    <w:rsid w:val="00EB40F3"/>
    <w:rsid w:val="00EB429E"/>
    <w:rsid w:val="00EB42E6"/>
    <w:rsid w:val="00EB4701"/>
    <w:rsid w:val="00EB4748"/>
    <w:rsid w:val="00EB475A"/>
    <w:rsid w:val="00EB4854"/>
    <w:rsid w:val="00EB4EA2"/>
    <w:rsid w:val="00EB523E"/>
    <w:rsid w:val="00EB5323"/>
    <w:rsid w:val="00EB560C"/>
    <w:rsid w:val="00EB573C"/>
    <w:rsid w:val="00EB5A4E"/>
    <w:rsid w:val="00EB61FD"/>
    <w:rsid w:val="00EB648F"/>
    <w:rsid w:val="00EB6660"/>
    <w:rsid w:val="00EB679A"/>
    <w:rsid w:val="00EB6A98"/>
    <w:rsid w:val="00EB6B94"/>
    <w:rsid w:val="00EB6D23"/>
    <w:rsid w:val="00EB6F91"/>
    <w:rsid w:val="00EB70E5"/>
    <w:rsid w:val="00EB73CB"/>
    <w:rsid w:val="00EB74B4"/>
    <w:rsid w:val="00EB7644"/>
    <w:rsid w:val="00EB78CE"/>
    <w:rsid w:val="00EB7974"/>
    <w:rsid w:val="00EB7ABE"/>
    <w:rsid w:val="00EB7AEB"/>
    <w:rsid w:val="00EB7B06"/>
    <w:rsid w:val="00EB7C96"/>
    <w:rsid w:val="00EB7F26"/>
    <w:rsid w:val="00EC00AC"/>
    <w:rsid w:val="00EC0112"/>
    <w:rsid w:val="00EC02A5"/>
    <w:rsid w:val="00EC0519"/>
    <w:rsid w:val="00EC0814"/>
    <w:rsid w:val="00EC0AA5"/>
    <w:rsid w:val="00EC0AA6"/>
    <w:rsid w:val="00EC0BC4"/>
    <w:rsid w:val="00EC0CCE"/>
    <w:rsid w:val="00EC0EED"/>
    <w:rsid w:val="00EC0F4E"/>
    <w:rsid w:val="00EC0FF4"/>
    <w:rsid w:val="00EC1041"/>
    <w:rsid w:val="00EC1071"/>
    <w:rsid w:val="00EC115A"/>
    <w:rsid w:val="00EC12FB"/>
    <w:rsid w:val="00EC1659"/>
    <w:rsid w:val="00EC181E"/>
    <w:rsid w:val="00EC1993"/>
    <w:rsid w:val="00EC1A38"/>
    <w:rsid w:val="00EC1C01"/>
    <w:rsid w:val="00EC20B8"/>
    <w:rsid w:val="00EC24D5"/>
    <w:rsid w:val="00EC2577"/>
    <w:rsid w:val="00EC27C6"/>
    <w:rsid w:val="00EC2928"/>
    <w:rsid w:val="00EC2AA9"/>
    <w:rsid w:val="00EC2CCC"/>
    <w:rsid w:val="00EC2E48"/>
    <w:rsid w:val="00EC2FB5"/>
    <w:rsid w:val="00EC300C"/>
    <w:rsid w:val="00EC367C"/>
    <w:rsid w:val="00EC3A14"/>
    <w:rsid w:val="00EC3B3A"/>
    <w:rsid w:val="00EC3B43"/>
    <w:rsid w:val="00EC3C58"/>
    <w:rsid w:val="00EC3D15"/>
    <w:rsid w:val="00EC4207"/>
    <w:rsid w:val="00EC4285"/>
    <w:rsid w:val="00EC4396"/>
    <w:rsid w:val="00EC497F"/>
    <w:rsid w:val="00EC4985"/>
    <w:rsid w:val="00EC49C5"/>
    <w:rsid w:val="00EC4A9A"/>
    <w:rsid w:val="00EC4B8A"/>
    <w:rsid w:val="00EC4BA1"/>
    <w:rsid w:val="00EC4DC8"/>
    <w:rsid w:val="00EC511D"/>
    <w:rsid w:val="00EC522B"/>
    <w:rsid w:val="00EC528E"/>
    <w:rsid w:val="00EC52B0"/>
    <w:rsid w:val="00EC5403"/>
    <w:rsid w:val="00EC54B5"/>
    <w:rsid w:val="00EC5653"/>
    <w:rsid w:val="00EC5778"/>
    <w:rsid w:val="00EC5AC7"/>
    <w:rsid w:val="00EC5DA3"/>
    <w:rsid w:val="00EC64D3"/>
    <w:rsid w:val="00EC6643"/>
    <w:rsid w:val="00EC6817"/>
    <w:rsid w:val="00EC693C"/>
    <w:rsid w:val="00EC695A"/>
    <w:rsid w:val="00EC6C31"/>
    <w:rsid w:val="00EC6DF6"/>
    <w:rsid w:val="00EC6EE4"/>
    <w:rsid w:val="00EC6EEA"/>
    <w:rsid w:val="00EC7099"/>
    <w:rsid w:val="00EC7139"/>
    <w:rsid w:val="00EC71CE"/>
    <w:rsid w:val="00EC7373"/>
    <w:rsid w:val="00EC73EF"/>
    <w:rsid w:val="00EC74BA"/>
    <w:rsid w:val="00EC76B2"/>
    <w:rsid w:val="00EC7986"/>
    <w:rsid w:val="00EC7C83"/>
    <w:rsid w:val="00EC7E38"/>
    <w:rsid w:val="00ED02F5"/>
    <w:rsid w:val="00ED0585"/>
    <w:rsid w:val="00ED090D"/>
    <w:rsid w:val="00ED0B50"/>
    <w:rsid w:val="00ED0F59"/>
    <w:rsid w:val="00ED0FCD"/>
    <w:rsid w:val="00ED1006"/>
    <w:rsid w:val="00ED127B"/>
    <w:rsid w:val="00ED1513"/>
    <w:rsid w:val="00ED15E7"/>
    <w:rsid w:val="00ED1E10"/>
    <w:rsid w:val="00ED1E35"/>
    <w:rsid w:val="00ED1FA9"/>
    <w:rsid w:val="00ED2028"/>
    <w:rsid w:val="00ED2068"/>
    <w:rsid w:val="00ED23F4"/>
    <w:rsid w:val="00ED248E"/>
    <w:rsid w:val="00ED2620"/>
    <w:rsid w:val="00ED293B"/>
    <w:rsid w:val="00ED2AB0"/>
    <w:rsid w:val="00ED2AC6"/>
    <w:rsid w:val="00ED2EBB"/>
    <w:rsid w:val="00ED30D3"/>
    <w:rsid w:val="00ED3141"/>
    <w:rsid w:val="00ED3199"/>
    <w:rsid w:val="00ED3301"/>
    <w:rsid w:val="00ED3676"/>
    <w:rsid w:val="00ED39B8"/>
    <w:rsid w:val="00ED3A57"/>
    <w:rsid w:val="00ED3B57"/>
    <w:rsid w:val="00ED3F30"/>
    <w:rsid w:val="00ED435F"/>
    <w:rsid w:val="00ED4569"/>
    <w:rsid w:val="00ED4883"/>
    <w:rsid w:val="00ED49DF"/>
    <w:rsid w:val="00ED4C02"/>
    <w:rsid w:val="00ED4C03"/>
    <w:rsid w:val="00ED4E8F"/>
    <w:rsid w:val="00ED4F83"/>
    <w:rsid w:val="00ED553B"/>
    <w:rsid w:val="00ED5717"/>
    <w:rsid w:val="00ED59F0"/>
    <w:rsid w:val="00ED5B9A"/>
    <w:rsid w:val="00ED5C55"/>
    <w:rsid w:val="00ED5EDE"/>
    <w:rsid w:val="00ED5F58"/>
    <w:rsid w:val="00ED6216"/>
    <w:rsid w:val="00ED62F6"/>
    <w:rsid w:val="00ED63ED"/>
    <w:rsid w:val="00ED6553"/>
    <w:rsid w:val="00ED65A8"/>
    <w:rsid w:val="00ED67FC"/>
    <w:rsid w:val="00ED6A40"/>
    <w:rsid w:val="00ED6C49"/>
    <w:rsid w:val="00ED6CEC"/>
    <w:rsid w:val="00ED6CEE"/>
    <w:rsid w:val="00ED6EEA"/>
    <w:rsid w:val="00ED6F71"/>
    <w:rsid w:val="00ED6FF6"/>
    <w:rsid w:val="00ED7194"/>
    <w:rsid w:val="00ED7345"/>
    <w:rsid w:val="00ED7491"/>
    <w:rsid w:val="00ED7614"/>
    <w:rsid w:val="00ED76F7"/>
    <w:rsid w:val="00ED787B"/>
    <w:rsid w:val="00ED79F0"/>
    <w:rsid w:val="00ED7CA6"/>
    <w:rsid w:val="00ED7D5D"/>
    <w:rsid w:val="00EE0175"/>
    <w:rsid w:val="00EE0578"/>
    <w:rsid w:val="00EE0588"/>
    <w:rsid w:val="00EE0740"/>
    <w:rsid w:val="00EE086F"/>
    <w:rsid w:val="00EE08EE"/>
    <w:rsid w:val="00EE0974"/>
    <w:rsid w:val="00EE0AF7"/>
    <w:rsid w:val="00EE0C97"/>
    <w:rsid w:val="00EE0EA7"/>
    <w:rsid w:val="00EE0F9E"/>
    <w:rsid w:val="00EE13D1"/>
    <w:rsid w:val="00EE13EF"/>
    <w:rsid w:val="00EE1B47"/>
    <w:rsid w:val="00EE1DE2"/>
    <w:rsid w:val="00EE20A1"/>
    <w:rsid w:val="00EE21AD"/>
    <w:rsid w:val="00EE231F"/>
    <w:rsid w:val="00EE291A"/>
    <w:rsid w:val="00EE2B1B"/>
    <w:rsid w:val="00EE2BC3"/>
    <w:rsid w:val="00EE2EA3"/>
    <w:rsid w:val="00EE2F21"/>
    <w:rsid w:val="00EE2FEB"/>
    <w:rsid w:val="00EE321A"/>
    <w:rsid w:val="00EE32DC"/>
    <w:rsid w:val="00EE3676"/>
    <w:rsid w:val="00EE37C7"/>
    <w:rsid w:val="00EE3819"/>
    <w:rsid w:val="00EE388A"/>
    <w:rsid w:val="00EE391A"/>
    <w:rsid w:val="00EE3C38"/>
    <w:rsid w:val="00EE3C50"/>
    <w:rsid w:val="00EE3C95"/>
    <w:rsid w:val="00EE3CA1"/>
    <w:rsid w:val="00EE3DD5"/>
    <w:rsid w:val="00EE435B"/>
    <w:rsid w:val="00EE4482"/>
    <w:rsid w:val="00EE44D5"/>
    <w:rsid w:val="00EE4755"/>
    <w:rsid w:val="00EE49B3"/>
    <w:rsid w:val="00EE49C3"/>
    <w:rsid w:val="00EE4A1A"/>
    <w:rsid w:val="00EE4C7B"/>
    <w:rsid w:val="00EE4CD1"/>
    <w:rsid w:val="00EE4F4C"/>
    <w:rsid w:val="00EE5129"/>
    <w:rsid w:val="00EE517A"/>
    <w:rsid w:val="00EE52D6"/>
    <w:rsid w:val="00EE56ED"/>
    <w:rsid w:val="00EE5822"/>
    <w:rsid w:val="00EE586B"/>
    <w:rsid w:val="00EE5895"/>
    <w:rsid w:val="00EE590E"/>
    <w:rsid w:val="00EE5B15"/>
    <w:rsid w:val="00EE5D53"/>
    <w:rsid w:val="00EE603B"/>
    <w:rsid w:val="00EE618D"/>
    <w:rsid w:val="00EE6215"/>
    <w:rsid w:val="00EE6258"/>
    <w:rsid w:val="00EE643B"/>
    <w:rsid w:val="00EE671C"/>
    <w:rsid w:val="00EE6A8B"/>
    <w:rsid w:val="00EE6D02"/>
    <w:rsid w:val="00EE6EDA"/>
    <w:rsid w:val="00EE6F23"/>
    <w:rsid w:val="00EE6FEE"/>
    <w:rsid w:val="00EE7000"/>
    <w:rsid w:val="00EE70D2"/>
    <w:rsid w:val="00EE7137"/>
    <w:rsid w:val="00EE731F"/>
    <w:rsid w:val="00EE73AF"/>
    <w:rsid w:val="00EE7707"/>
    <w:rsid w:val="00EE7913"/>
    <w:rsid w:val="00EE7DE0"/>
    <w:rsid w:val="00EE7E1B"/>
    <w:rsid w:val="00EF0034"/>
    <w:rsid w:val="00EF03AA"/>
    <w:rsid w:val="00EF07C0"/>
    <w:rsid w:val="00EF0AE4"/>
    <w:rsid w:val="00EF100D"/>
    <w:rsid w:val="00EF10CE"/>
    <w:rsid w:val="00EF129C"/>
    <w:rsid w:val="00EF155C"/>
    <w:rsid w:val="00EF17B1"/>
    <w:rsid w:val="00EF1866"/>
    <w:rsid w:val="00EF18FE"/>
    <w:rsid w:val="00EF1915"/>
    <w:rsid w:val="00EF1936"/>
    <w:rsid w:val="00EF196D"/>
    <w:rsid w:val="00EF19C7"/>
    <w:rsid w:val="00EF1A4C"/>
    <w:rsid w:val="00EF1B49"/>
    <w:rsid w:val="00EF1FAA"/>
    <w:rsid w:val="00EF267E"/>
    <w:rsid w:val="00EF2697"/>
    <w:rsid w:val="00EF272A"/>
    <w:rsid w:val="00EF2CE5"/>
    <w:rsid w:val="00EF2FA1"/>
    <w:rsid w:val="00EF3052"/>
    <w:rsid w:val="00EF3561"/>
    <w:rsid w:val="00EF3571"/>
    <w:rsid w:val="00EF36D3"/>
    <w:rsid w:val="00EF371F"/>
    <w:rsid w:val="00EF3868"/>
    <w:rsid w:val="00EF3BFF"/>
    <w:rsid w:val="00EF3DE8"/>
    <w:rsid w:val="00EF3EC6"/>
    <w:rsid w:val="00EF3F64"/>
    <w:rsid w:val="00EF4354"/>
    <w:rsid w:val="00EF44B3"/>
    <w:rsid w:val="00EF452F"/>
    <w:rsid w:val="00EF4668"/>
    <w:rsid w:val="00EF48D3"/>
    <w:rsid w:val="00EF5213"/>
    <w:rsid w:val="00EF52DA"/>
    <w:rsid w:val="00EF56BE"/>
    <w:rsid w:val="00EF5787"/>
    <w:rsid w:val="00EF5818"/>
    <w:rsid w:val="00EF5972"/>
    <w:rsid w:val="00EF5976"/>
    <w:rsid w:val="00EF59B7"/>
    <w:rsid w:val="00EF5BF2"/>
    <w:rsid w:val="00EF5CF6"/>
    <w:rsid w:val="00EF5EA5"/>
    <w:rsid w:val="00EF60D0"/>
    <w:rsid w:val="00EF61DE"/>
    <w:rsid w:val="00EF658E"/>
    <w:rsid w:val="00EF6894"/>
    <w:rsid w:val="00EF694C"/>
    <w:rsid w:val="00EF6B02"/>
    <w:rsid w:val="00EF6B33"/>
    <w:rsid w:val="00EF6B87"/>
    <w:rsid w:val="00EF6BB9"/>
    <w:rsid w:val="00EF6BF9"/>
    <w:rsid w:val="00EF6D63"/>
    <w:rsid w:val="00EF6EA8"/>
    <w:rsid w:val="00EF709F"/>
    <w:rsid w:val="00EF710C"/>
    <w:rsid w:val="00EF7341"/>
    <w:rsid w:val="00EF767B"/>
    <w:rsid w:val="00EF77A2"/>
    <w:rsid w:val="00EF790A"/>
    <w:rsid w:val="00EF79E0"/>
    <w:rsid w:val="00EF79F9"/>
    <w:rsid w:val="00EF7BC9"/>
    <w:rsid w:val="00EF7BEF"/>
    <w:rsid w:val="00EF7CD8"/>
    <w:rsid w:val="00EF7DC7"/>
    <w:rsid w:val="00F001EE"/>
    <w:rsid w:val="00F00458"/>
    <w:rsid w:val="00F00643"/>
    <w:rsid w:val="00F0072C"/>
    <w:rsid w:val="00F0084F"/>
    <w:rsid w:val="00F009A6"/>
    <w:rsid w:val="00F00A8B"/>
    <w:rsid w:val="00F0101B"/>
    <w:rsid w:val="00F0102F"/>
    <w:rsid w:val="00F014E0"/>
    <w:rsid w:val="00F018A3"/>
    <w:rsid w:val="00F01D9B"/>
    <w:rsid w:val="00F01EAD"/>
    <w:rsid w:val="00F01EBF"/>
    <w:rsid w:val="00F02023"/>
    <w:rsid w:val="00F02051"/>
    <w:rsid w:val="00F0216E"/>
    <w:rsid w:val="00F021CA"/>
    <w:rsid w:val="00F02A64"/>
    <w:rsid w:val="00F02AE7"/>
    <w:rsid w:val="00F037B6"/>
    <w:rsid w:val="00F03809"/>
    <w:rsid w:val="00F03893"/>
    <w:rsid w:val="00F038E7"/>
    <w:rsid w:val="00F03D79"/>
    <w:rsid w:val="00F03E90"/>
    <w:rsid w:val="00F040ED"/>
    <w:rsid w:val="00F04267"/>
    <w:rsid w:val="00F044F9"/>
    <w:rsid w:val="00F0450F"/>
    <w:rsid w:val="00F0469E"/>
    <w:rsid w:val="00F04743"/>
    <w:rsid w:val="00F04D4F"/>
    <w:rsid w:val="00F04F0E"/>
    <w:rsid w:val="00F0528D"/>
    <w:rsid w:val="00F056F5"/>
    <w:rsid w:val="00F0583F"/>
    <w:rsid w:val="00F058AB"/>
    <w:rsid w:val="00F058F0"/>
    <w:rsid w:val="00F0599F"/>
    <w:rsid w:val="00F05B63"/>
    <w:rsid w:val="00F05BE9"/>
    <w:rsid w:val="00F05D56"/>
    <w:rsid w:val="00F06042"/>
    <w:rsid w:val="00F060F3"/>
    <w:rsid w:val="00F0616F"/>
    <w:rsid w:val="00F0630B"/>
    <w:rsid w:val="00F06A1D"/>
    <w:rsid w:val="00F06C67"/>
    <w:rsid w:val="00F06DCE"/>
    <w:rsid w:val="00F06DFD"/>
    <w:rsid w:val="00F06FE8"/>
    <w:rsid w:val="00F071D1"/>
    <w:rsid w:val="00F07533"/>
    <w:rsid w:val="00F07EAC"/>
    <w:rsid w:val="00F1004D"/>
    <w:rsid w:val="00F10054"/>
    <w:rsid w:val="00F10167"/>
    <w:rsid w:val="00F10182"/>
    <w:rsid w:val="00F102E8"/>
    <w:rsid w:val="00F10328"/>
    <w:rsid w:val="00F104C6"/>
    <w:rsid w:val="00F10542"/>
    <w:rsid w:val="00F10629"/>
    <w:rsid w:val="00F10668"/>
    <w:rsid w:val="00F10A03"/>
    <w:rsid w:val="00F10CF7"/>
    <w:rsid w:val="00F10FAE"/>
    <w:rsid w:val="00F1103A"/>
    <w:rsid w:val="00F1111A"/>
    <w:rsid w:val="00F111A9"/>
    <w:rsid w:val="00F1153E"/>
    <w:rsid w:val="00F117B4"/>
    <w:rsid w:val="00F11A17"/>
    <w:rsid w:val="00F11CA7"/>
    <w:rsid w:val="00F121DA"/>
    <w:rsid w:val="00F12222"/>
    <w:rsid w:val="00F123FD"/>
    <w:rsid w:val="00F124FB"/>
    <w:rsid w:val="00F1256E"/>
    <w:rsid w:val="00F125CA"/>
    <w:rsid w:val="00F126B6"/>
    <w:rsid w:val="00F12B1B"/>
    <w:rsid w:val="00F12DB7"/>
    <w:rsid w:val="00F12F1D"/>
    <w:rsid w:val="00F130EA"/>
    <w:rsid w:val="00F135F4"/>
    <w:rsid w:val="00F13C7E"/>
    <w:rsid w:val="00F13EAA"/>
    <w:rsid w:val="00F14213"/>
    <w:rsid w:val="00F144BA"/>
    <w:rsid w:val="00F14857"/>
    <w:rsid w:val="00F148B9"/>
    <w:rsid w:val="00F14BA8"/>
    <w:rsid w:val="00F14E23"/>
    <w:rsid w:val="00F14F0B"/>
    <w:rsid w:val="00F1510C"/>
    <w:rsid w:val="00F151AF"/>
    <w:rsid w:val="00F15502"/>
    <w:rsid w:val="00F15587"/>
    <w:rsid w:val="00F15674"/>
    <w:rsid w:val="00F15A11"/>
    <w:rsid w:val="00F15A43"/>
    <w:rsid w:val="00F15B09"/>
    <w:rsid w:val="00F15E8E"/>
    <w:rsid w:val="00F15FA5"/>
    <w:rsid w:val="00F16001"/>
    <w:rsid w:val="00F16086"/>
    <w:rsid w:val="00F16201"/>
    <w:rsid w:val="00F16396"/>
    <w:rsid w:val="00F1679E"/>
    <w:rsid w:val="00F16BEF"/>
    <w:rsid w:val="00F16E70"/>
    <w:rsid w:val="00F16FBF"/>
    <w:rsid w:val="00F1730B"/>
    <w:rsid w:val="00F1750B"/>
    <w:rsid w:val="00F177FB"/>
    <w:rsid w:val="00F179C0"/>
    <w:rsid w:val="00F17D0D"/>
    <w:rsid w:val="00F17FE1"/>
    <w:rsid w:val="00F20124"/>
    <w:rsid w:val="00F2028C"/>
    <w:rsid w:val="00F209B7"/>
    <w:rsid w:val="00F209D3"/>
    <w:rsid w:val="00F20BE7"/>
    <w:rsid w:val="00F21054"/>
    <w:rsid w:val="00F2167D"/>
    <w:rsid w:val="00F217AE"/>
    <w:rsid w:val="00F21836"/>
    <w:rsid w:val="00F21956"/>
    <w:rsid w:val="00F21ACA"/>
    <w:rsid w:val="00F21B67"/>
    <w:rsid w:val="00F21C09"/>
    <w:rsid w:val="00F21DF5"/>
    <w:rsid w:val="00F21E7B"/>
    <w:rsid w:val="00F21E91"/>
    <w:rsid w:val="00F21F8B"/>
    <w:rsid w:val="00F22247"/>
    <w:rsid w:val="00F2233D"/>
    <w:rsid w:val="00F223D9"/>
    <w:rsid w:val="00F2268A"/>
    <w:rsid w:val="00F22797"/>
    <w:rsid w:val="00F228AB"/>
    <w:rsid w:val="00F22A2D"/>
    <w:rsid w:val="00F22B90"/>
    <w:rsid w:val="00F22BAA"/>
    <w:rsid w:val="00F22BBA"/>
    <w:rsid w:val="00F22C5C"/>
    <w:rsid w:val="00F22CB0"/>
    <w:rsid w:val="00F22F66"/>
    <w:rsid w:val="00F230FA"/>
    <w:rsid w:val="00F23252"/>
    <w:rsid w:val="00F2376F"/>
    <w:rsid w:val="00F23778"/>
    <w:rsid w:val="00F238A2"/>
    <w:rsid w:val="00F23909"/>
    <w:rsid w:val="00F2392B"/>
    <w:rsid w:val="00F2393F"/>
    <w:rsid w:val="00F23BDD"/>
    <w:rsid w:val="00F23D1D"/>
    <w:rsid w:val="00F23E48"/>
    <w:rsid w:val="00F24105"/>
    <w:rsid w:val="00F2415B"/>
    <w:rsid w:val="00F243AA"/>
    <w:rsid w:val="00F243D8"/>
    <w:rsid w:val="00F24453"/>
    <w:rsid w:val="00F24478"/>
    <w:rsid w:val="00F246D9"/>
    <w:rsid w:val="00F24B7E"/>
    <w:rsid w:val="00F25215"/>
    <w:rsid w:val="00F252AF"/>
    <w:rsid w:val="00F255A3"/>
    <w:rsid w:val="00F2566D"/>
    <w:rsid w:val="00F258E8"/>
    <w:rsid w:val="00F25A45"/>
    <w:rsid w:val="00F25DBF"/>
    <w:rsid w:val="00F25DEA"/>
    <w:rsid w:val="00F26067"/>
    <w:rsid w:val="00F2615B"/>
    <w:rsid w:val="00F2636C"/>
    <w:rsid w:val="00F2689F"/>
    <w:rsid w:val="00F26AC7"/>
    <w:rsid w:val="00F26BE3"/>
    <w:rsid w:val="00F26E6C"/>
    <w:rsid w:val="00F27077"/>
    <w:rsid w:val="00F27154"/>
    <w:rsid w:val="00F277EF"/>
    <w:rsid w:val="00F2789B"/>
    <w:rsid w:val="00F279DA"/>
    <w:rsid w:val="00F30041"/>
    <w:rsid w:val="00F303DE"/>
    <w:rsid w:val="00F304FF"/>
    <w:rsid w:val="00F307C3"/>
    <w:rsid w:val="00F307C8"/>
    <w:rsid w:val="00F30828"/>
    <w:rsid w:val="00F30984"/>
    <w:rsid w:val="00F30A14"/>
    <w:rsid w:val="00F30D8F"/>
    <w:rsid w:val="00F30E85"/>
    <w:rsid w:val="00F30EE0"/>
    <w:rsid w:val="00F30F5A"/>
    <w:rsid w:val="00F311D7"/>
    <w:rsid w:val="00F313D6"/>
    <w:rsid w:val="00F3192E"/>
    <w:rsid w:val="00F31D3A"/>
    <w:rsid w:val="00F31DB7"/>
    <w:rsid w:val="00F32362"/>
    <w:rsid w:val="00F3245B"/>
    <w:rsid w:val="00F32511"/>
    <w:rsid w:val="00F33551"/>
    <w:rsid w:val="00F3367E"/>
    <w:rsid w:val="00F33748"/>
    <w:rsid w:val="00F33AE4"/>
    <w:rsid w:val="00F33C23"/>
    <w:rsid w:val="00F33C9F"/>
    <w:rsid w:val="00F33D7E"/>
    <w:rsid w:val="00F33D9C"/>
    <w:rsid w:val="00F33FAE"/>
    <w:rsid w:val="00F34373"/>
    <w:rsid w:val="00F34471"/>
    <w:rsid w:val="00F3461C"/>
    <w:rsid w:val="00F34B0C"/>
    <w:rsid w:val="00F34C4A"/>
    <w:rsid w:val="00F34D42"/>
    <w:rsid w:val="00F3514B"/>
    <w:rsid w:val="00F35226"/>
    <w:rsid w:val="00F35266"/>
    <w:rsid w:val="00F35342"/>
    <w:rsid w:val="00F3554D"/>
    <w:rsid w:val="00F3565C"/>
    <w:rsid w:val="00F35877"/>
    <w:rsid w:val="00F35C1A"/>
    <w:rsid w:val="00F35F96"/>
    <w:rsid w:val="00F364B1"/>
    <w:rsid w:val="00F365D6"/>
    <w:rsid w:val="00F36706"/>
    <w:rsid w:val="00F369B2"/>
    <w:rsid w:val="00F36C8C"/>
    <w:rsid w:val="00F36D3F"/>
    <w:rsid w:val="00F37254"/>
    <w:rsid w:val="00F37285"/>
    <w:rsid w:val="00F37288"/>
    <w:rsid w:val="00F372F5"/>
    <w:rsid w:val="00F375B0"/>
    <w:rsid w:val="00F37780"/>
    <w:rsid w:val="00F378BF"/>
    <w:rsid w:val="00F379A4"/>
    <w:rsid w:val="00F37C15"/>
    <w:rsid w:val="00F37E50"/>
    <w:rsid w:val="00F40078"/>
    <w:rsid w:val="00F4021C"/>
    <w:rsid w:val="00F402D7"/>
    <w:rsid w:val="00F4046E"/>
    <w:rsid w:val="00F406E1"/>
    <w:rsid w:val="00F409BA"/>
    <w:rsid w:val="00F40A7D"/>
    <w:rsid w:val="00F40BEF"/>
    <w:rsid w:val="00F40C3E"/>
    <w:rsid w:val="00F40F0C"/>
    <w:rsid w:val="00F41171"/>
    <w:rsid w:val="00F411F5"/>
    <w:rsid w:val="00F41321"/>
    <w:rsid w:val="00F413AC"/>
    <w:rsid w:val="00F413C2"/>
    <w:rsid w:val="00F41719"/>
    <w:rsid w:val="00F41923"/>
    <w:rsid w:val="00F419EC"/>
    <w:rsid w:val="00F42168"/>
    <w:rsid w:val="00F4220B"/>
    <w:rsid w:val="00F42326"/>
    <w:rsid w:val="00F42888"/>
    <w:rsid w:val="00F42A8D"/>
    <w:rsid w:val="00F42B16"/>
    <w:rsid w:val="00F42D80"/>
    <w:rsid w:val="00F42F02"/>
    <w:rsid w:val="00F43226"/>
    <w:rsid w:val="00F43556"/>
    <w:rsid w:val="00F43880"/>
    <w:rsid w:val="00F43DED"/>
    <w:rsid w:val="00F43E18"/>
    <w:rsid w:val="00F43E6A"/>
    <w:rsid w:val="00F43ECB"/>
    <w:rsid w:val="00F4400C"/>
    <w:rsid w:val="00F44247"/>
    <w:rsid w:val="00F44390"/>
    <w:rsid w:val="00F44473"/>
    <w:rsid w:val="00F44505"/>
    <w:rsid w:val="00F448A9"/>
    <w:rsid w:val="00F449A6"/>
    <w:rsid w:val="00F44B27"/>
    <w:rsid w:val="00F44D5D"/>
    <w:rsid w:val="00F44E8E"/>
    <w:rsid w:val="00F44ED8"/>
    <w:rsid w:val="00F4502A"/>
    <w:rsid w:val="00F4507F"/>
    <w:rsid w:val="00F4536B"/>
    <w:rsid w:val="00F45625"/>
    <w:rsid w:val="00F4575A"/>
    <w:rsid w:val="00F45962"/>
    <w:rsid w:val="00F45E96"/>
    <w:rsid w:val="00F462B4"/>
    <w:rsid w:val="00F4636A"/>
    <w:rsid w:val="00F46520"/>
    <w:rsid w:val="00F4682E"/>
    <w:rsid w:val="00F46B59"/>
    <w:rsid w:val="00F46E63"/>
    <w:rsid w:val="00F47145"/>
    <w:rsid w:val="00F47272"/>
    <w:rsid w:val="00F4734E"/>
    <w:rsid w:val="00F473E9"/>
    <w:rsid w:val="00F4766C"/>
    <w:rsid w:val="00F5060E"/>
    <w:rsid w:val="00F507D1"/>
    <w:rsid w:val="00F50C0A"/>
    <w:rsid w:val="00F50D06"/>
    <w:rsid w:val="00F50D86"/>
    <w:rsid w:val="00F50DAE"/>
    <w:rsid w:val="00F51082"/>
    <w:rsid w:val="00F511A0"/>
    <w:rsid w:val="00F515B1"/>
    <w:rsid w:val="00F51633"/>
    <w:rsid w:val="00F5178C"/>
    <w:rsid w:val="00F519CE"/>
    <w:rsid w:val="00F51ADA"/>
    <w:rsid w:val="00F51D5D"/>
    <w:rsid w:val="00F51EA1"/>
    <w:rsid w:val="00F51FB6"/>
    <w:rsid w:val="00F521EF"/>
    <w:rsid w:val="00F525BF"/>
    <w:rsid w:val="00F527A6"/>
    <w:rsid w:val="00F528B0"/>
    <w:rsid w:val="00F5296D"/>
    <w:rsid w:val="00F529D9"/>
    <w:rsid w:val="00F52CCC"/>
    <w:rsid w:val="00F52E41"/>
    <w:rsid w:val="00F52E9D"/>
    <w:rsid w:val="00F52EEA"/>
    <w:rsid w:val="00F53129"/>
    <w:rsid w:val="00F53295"/>
    <w:rsid w:val="00F532F2"/>
    <w:rsid w:val="00F5331B"/>
    <w:rsid w:val="00F53439"/>
    <w:rsid w:val="00F536C8"/>
    <w:rsid w:val="00F537CC"/>
    <w:rsid w:val="00F53A1F"/>
    <w:rsid w:val="00F53BA0"/>
    <w:rsid w:val="00F53EAB"/>
    <w:rsid w:val="00F540B9"/>
    <w:rsid w:val="00F54963"/>
    <w:rsid w:val="00F54A09"/>
    <w:rsid w:val="00F54CD2"/>
    <w:rsid w:val="00F54E99"/>
    <w:rsid w:val="00F557C7"/>
    <w:rsid w:val="00F559CE"/>
    <w:rsid w:val="00F55A00"/>
    <w:rsid w:val="00F55D05"/>
    <w:rsid w:val="00F56024"/>
    <w:rsid w:val="00F5602A"/>
    <w:rsid w:val="00F56491"/>
    <w:rsid w:val="00F564C4"/>
    <w:rsid w:val="00F56782"/>
    <w:rsid w:val="00F5685A"/>
    <w:rsid w:val="00F568AE"/>
    <w:rsid w:val="00F5690E"/>
    <w:rsid w:val="00F5693F"/>
    <w:rsid w:val="00F56BC2"/>
    <w:rsid w:val="00F56BFC"/>
    <w:rsid w:val="00F57257"/>
    <w:rsid w:val="00F57275"/>
    <w:rsid w:val="00F572DD"/>
    <w:rsid w:val="00F575B8"/>
    <w:rsid w:val="00F575C1"/>
    <w:rsid w:val="00F579B7"/>
    <w:rsid w:val="00F600DE"/>
    <w:rsid w:val="00F60203"/>
    <w:rsid w:val="00F60309"/>
    <w:rsid w:val="00F605AC"/>
    <w:rsid w:val="00F60629"/>
    <w:rsid w:val="00F607C5"/>
    <w:rsid w:val="00F60A65"/>
    <w:rsid w:val="00F60BA2"/>
    <w:rsid w:val="00F60D74"/>
    <w:rsid w:val="00F60DEA"/>
    <w:rsid w:val="00F60DF9"/>
    <w:rsid w:val="00F611DE"/>
    <w:rsid w:val="00F61458"/>
    <w:rsid w:val="00F61536"/>
    <w:rsid w:val="00F61708"/>
    <w:rsid w:val="00F6182E"/>
    <w:rsid w:val="00F61854"/>
    <w:rsid w:val="00F6188C"/>
    <w:rsid w:val="00F61ACF"/>
    <w:rsid w:val="00F62442"/>
    <w:rsid w:val="00F625DE"/>
    <w:rsid w:val="00F627DD"/>
    <w:rsid w:val="00F627F5"/>
    <w:rsid w:val="00F62BF5"/>
    <w:rsid w:val="00F62CBE"/>
    <w:rsid w:val="00F62D62"/>
    <w:rsid w:val="00F62F74"/>
    <w:rsid w:val="00F62F9E"/>
    <w:rsid w:val="00F6302A"/>
    <w:rsid w:val="00F63186"/>
    <w:rsid w:val="00F6324D"/>
    <w:rsid w:val="00F63270"/>
    <w:rsid w:val="00F63291"/>
    <w:rsid w:val="00F6358D"/>
    <w:rsid w:val="00F63619"/>
    <w:rsid w:val="00F63717"/>
    <w:rsid w:val="00F6371E"/>
    <w:rsid w:val="00F63950"/>
    <w:rsid w:val="00F63A18"/>
    <w:rsid w:val="00F63D38"/>
    <w:rsid w:val="00F63EDB"/>
    <w:rsid w:val="00F63F8D"/>
    <w:rsid w:val="00F645BF"/>
    <w:rsid w:val="00F6481F"/>
    <w:rsid w:val="00F64869"/>
    <w:rsid w:val="00F648AE"/>
    <w:rsid w:val="00F6492D"/>
    <w:rsid w:val="00F64B0C"/>
    <w:rsid w:val="00F64B6A"/>
    <w:rsid w:val="00F64C2B"/>
    <w:rsid w:val="00F64EBF"/>
    <w:rsid w:val="00F6501B"/>
    <w:rsid w:val="00F651BE"/>
    <w:rsid w:val="00F65359"/>
    <w:rsid w:val="00F65816"/>
    <w:rsid w:val="00F65B34"/>
    <w:rsid w:val="00F65BAD"/>
    <w:rsid w:val="00F65CDE"/>
    <w:rsid w:val="00F6614C"/>
    <w:rsid w:val="00F6689C"/>
    <w:rsid w:val="00F66A7E"/>
    <w:rsid w:val="00F66BB7"/>
    <w:rsid w:val="00F66C1D"/>
    <w:rsid w:val="00F66DF9"/>
    <w:rsid w:val="00F6705F"/>
    <w:rsid w:val="00F670A6"/>
    <w:rsid w:val="00F67128"/>
    <w:rsid w:val="00F67150"/>
    <w:rsid w:val="00F67159"/>
    <w:rsid w:val="00F671D4"/>
    <w:rsid w:val="00F675F8"/>
    <w:rsid w:val="00F67748"/>
    <w:rsid w:val="00F677FA"/>
    <w:rsid w:val="00F67B12"/>
    <w:rsid w:val="00F67BE1"/>
    <w:rsid w:val="00F67BE3"/>
    <w:rsid w:val="00F67C07"/>
    <w:rsid w:val="00F67EAD"/>
    <w:rsid w:val="00F67F53"/>
    <w:rsid w:val="00F70129"/>
    <w:rsid w:val="00F703BE"/>
    <w:rsid w:val="00F70438"/>
    <w:rsid w:val="00F70634"/>
    <w:rsid w:val="00F7065A"/>
    <w:rsid w:val="00F706FC"/>
    <w:rsid w:val="00F70A31"/>
    <w:rsid w:val="00F70AB7"/>
    <w:rsid w:val="00F70EC0"/>
    <w:rsid w:val="00F70F24"/>
    <w:rsid w:val="00F70F4D"/>
    <w:rsid w:val="00F7101E"/>
    <w:rsid w:val="00F7104A"/>
    <w:rsid w:val="00F7175B"/>
    <w:rsid w:val="00F71EBC"/>
    <w:rsid w:val="00F71F69"/>
    <w:rsid w:val="00F72127"/>
    <w:rsid w:val="00F72606"/>
    <w:rsid w:val="00F72857"/>
    <w:rsid w:val="00F728A1"/>
    <w:rsid w:val="00F72B15"/>
    <w:rsid w:val="00F72B72"/>
    <w:rsid w:val="00F72C24"/>
    <w:rsid w:val="00F72C37"/>
    <w:rsid w:val="00F7351A"/>
    <w:rsid w:val="00F7373A"/>
    <w:rsid w:val="00F737D7"/>
    <w:rsid w:val="00F73AB9"/>
    <w:rsid w:val="00F73B94"/>
    <w:rsid w:val="00F73D34"/>
    <w:rsid w:val="00F73EEA"/>
    <w:rsid w:val="00F74016"/>
    <w:rsid w:val="00F74044"/>
    <w:rsid w:val="00F740A0"/>
    <w:rsid w:val="00F74716"/>
    <w:rsid w:val="00F74814"/>
    <w:rsid w:val="00F74A13"/>
    <w:rsid w:val="00F74BB9"/>
    <w:rsid w:val="00F74C13"/>
    <w:rsid w:val="00F75076"/>
    <w:rsid w:val="00F75089"/>
    <w:rsid w:val="00F7547B"/>
    <w:rsid w:val="00F75582"/>
    <w:rsid w:val="00F75678"/>
    <w:rsid w:val="00F75957"/>
    <w:rsid w:val="00F75E13"/>
    <w:rsid w:val="00F7639D"/>
    <w:rsid w:val="00F76738"/>
    <w:rsid w:val="00F767BE"/>
    <w:rsid w:val="00F76833"/>
    <w:rsid w:val="00F768CC"/>
    <w:rsid w:val="00F76A2E"/>
    <w:rsid w:val="00F76B1B"/>
    <w:rsid w:val="00F76CB6"/>
    <w:rsid w:val="00F76EFA"/>
    <w:rsid w:val="00F772CD"/>
    <w:rsid w:val="00F7759C"/>
    <w:rsid w:val="00F775E8"/>
    <w:rsid w:val="00F77A72"/>
    <w:rsid w:val="00F77DD0"/>
    <w:rsid w:val="00F77DD1"/>
    <w:rsid w:val="00F77E83"/>
    <w:rsid w:val="00F8016A"/>
    <w:rsid w:val="00F80181"/>
    <w:rsid w:val="00F803BD"/>
    <w:rsid w:val="00F804BE"/>
    <w:rsid w:val="00F80948"/>
    <w:rsid w:val="00F80E1D"/>
    <w:rsid w:val="00F81101"/>
    <w:rsid w:val="00F81436"/>
    <w:rsid w:val="00F8168E"/>
    <w:rsid w:val="00F817CE"/>
    <w:rsid w:val="00F818AD"/>
    <w:rsid w:val="00F81B71"/>
    <w:rsid w:val="00F81BE2"/>
    <w:rsid w:val="00F82391"/>
    <w:rsid w:val="00F823B9"/>
    <w:rsid w:val="00F8244D"/>
    <w:rsid w:val="00F82674"/>
    <w:rsid w:val="00F82937"/>
    <w:rsid w:val="00F82BAD"/>
    <w:rsid w:val="00F82D69"/>
    <w:rsid w:val="00F82F96"/>
    <w:rsid w:val="00F82F9A"/>
    <w:rsid w:val="00F833C2"/>
    <w:rsid w:val="00F83432"/>
    <w:rsid w:val="00F83461"/>
    <w:rsid w:val="00F83511"/>
    <w:rsid w:val="00F83730"/>
    <w:rsid w:val="00F83890"/>
    <w:rsid w:val="00F83A09"/>
    <w:rsid w:val="00F83BAF"/>
    <w:rsid w:val="00F83BF4"/>
    <w:rsid w:val="00F83C87"/>
    <w:rsid w:val="00F83EF8"/>
    <w:rsid w:val="00F83FCF"/>
    <w:rsid w:val="00F840BA"/>
    <w:rsid w:val="00F841FC"/>
    <w:rsid w:val="00F8456C"/>
    <w:rsid w:val="00F845B2"/>
    <w:rsid w:val="00F84C9C"/>
    <w:rsid w:val="00F84CE7"/>
    <w:rsid w:val="00F84DC5"/>
    <w:rsid w:val="00F84FCE"/>
    <w:rsid w:val="00F84FED"/>
    <w:rsid w:val="00F85096"/>
    <w:rsid w:val="00F850A5"/>
    <w:rsid w:val="00F85154"/>
    <w:rsid w:val="00F8542C"/>
    <w:rsid w:val="00F854D4"/>
    <w:rsid w:val="00F856E0"/>
    <w:rsid w:val="00F8588F"/>
    <w:rsid w:val="00F859D8"/>
    <w:rsid w:val="00F85A5E"/>
    <w:rsid w:val="00F85A93"/>
    <w:rsid w:val="00F8606C"/>
    <w:rsid w:val="00F860FE"/>
    <w:rsid w:val="00F86567"/>
    <w:rsid w:val="00F86573"/>
    <w:rsid w:val="00F868F5"/>
    <w:rsid w:val="00F8696B"/>
    <w:rsid w:val="00F869B4"/>
    <w:rsid w:val="00F86B21"/>
    <w:rsid w:val="00F86C77"/>
    <w:rsid w:val="00F86DE1"/>
    <w:rsid w:val="00F86E21"/>
    <w:rsid w:val="00F86E6B"/>
    <w:rsid w:val="00F872CD"/>
    <w:rsid w:val="00F875A1"/>
    <w:rsid w:val="00F878D5"/>
    <w:rsid w:val="00F87BE6"/>
    <w:rsid w:val="00F87E02"/>
    <w:rsid w:val="00F87E68"/>
    <w:rsid w:val="00F87EC1"/>
    <w:rsid w:val="00F90051"/>
    <w:rsid w:val="00F9056A"/>
    <w:rsid w:val="00F906FB"/>
    <w:rsid w:val="00F90744"/>
    <w:rsid w:val="00F907D8"/>
    <w:rsid w:val="00F90C27"/>
    <w:rsid w:val="00F90C64"/>
    <w:rsid w:val="00F90CDD"/>
    <w:rsid w:val="00F90F8D"/>
    <w:rsid w:val="00F91342"/>
    <w:rsid w:val="00F91478"/>
    <w:rsid w:val="00F914B2"/>
    <w:rsid w:val="00F9159D"/>
    <w:rsid w:val="00F916AF"/>
    <w:rsid w:val="00F916BC"/>
    <w:rsid w:val="00F917EA"/>
    <w:rsid w:val="00F91B3F"/>
    <w:rsid w:val="00F9214C"/>
    <w:rsid w:val="00F925D9"/>
    <w:rsid w:val="00F92782"/>
    <w:rsid w:val="00F92784"/>
    <w:rsid w:val="00F92A8F"/>
    <w:rsid w:val="00F92AED"/>
    <w:rsid w:val="00F92C14"/>
    <w:rsid w:val="00F92C44"/>
    <w:rsid w:val="00F92D05"/>
    <w:rsid w:val="00F92D77"/>
    <w:rsid w:val="00F92DAD"/>
    <w:rsid w:val="00F9304E"/>
    <w:rsid w:val="00F9381B"/>
    <w:rsid w:val="00F93A8A"/>
    <w:rsid w:val="00F93A93"/>
    <w:rsid w:val="00F93AA9"/>
    <w:rsid w:val="00F93C44"/>
    <w:rsid w:val="00F94193"/>
    <w:rsid w:val="00F942A7"/>
    <w:rsid w:val="00F94657"/>
    <w:rsid w:val="00F9468C"/>
    <w:rsid w:val="00F9471C"/>
    <w:rsid w:val="00F948FA"/>
    <w:rsid w:val="00F94AD9"/>
    <w:rsid w:val="00F94D17"/>
    <w:rsid w:val="00F95079"/>
    <w:rsid w:val="00F95238"/>
    <w:rsid w:val="00F95372"/>
    <w:rsid w:val="00F95832"/>
    <w:rsid w:val="00F95857"/>
    <w:rsid w:val="00F95A39"/>
    <w:rsid w:val="00F95A81"/>
    <w:rsid w:val="00F95C19"/>
    <w:rsid w:val="00F95C7B"/>
    <w:rsid w:val="00F95D58"/>
    <w:rsid w:val="00F95DB6"/>
    <w:rsid w:val="00F95F5F"/>
    <w:rsid w:val="00F96171"/>
    <w:rsid w:val="00F961AF"/>
    <w:rsid w:val="00F96385"/>
    <w:rsid w:val="00F9664C"/>
    <w:rsid w:val="00F96985"/>
    <w:rsid w:val="00F96A49"/>
    <w:rsid w:val="00F96ADC"/>
    <w:rsid w:val="00F96C1C"/>
    <w:rsid w:val="00F96E36"/>
    <w:rsid w:val="00F96E92"/>
    <w:rsid w:val="00F96F11"/>
    <w:rsid w:val="00F97032"/>
    <w:rsid w:val="00F97566"/>
    <w:rsid w:val="00F975E3"/>
    <w:rsid w:val="00F97838"/>
    <w:rsid w:val="00F97855"/>
    <w:rsid w:val="00F97C82"/>
    <w:rsid w:val="00F97CE8"/>
    <w:rsid w:val="00F97FF6"/>
    <w:rsid w:val="00FA0013"/>
    <w:rsid w:val="00FA00F6"/>
    <w:rsid w:val="00FA02C9"/>
    <w:rsid w:val="00FA03BA"/>
    <w:rsid w:val="00FA041B"/>
    <w:rsid w:val="00FA05FB"/>
    <w:rsid w:val="00FA079F"/>
    <w:rsid w:val="00FA0A79"/>
    <w:rsid w:val="00FA0B85"/>
    <w:rsid w:val="00FA0DF3"/>
    <w:rsid w:val="00FA0E78"/>
    <w:rsid w:val="00FA0F55"/>
    <w:rsid w:val="00FA0FEA"/>
    <w:rsid w:val="00FA1412"/>
    <w:rsid w:val="00FA1891"/>
    <w:rsid w:val="00FA1BE3"/>
    <w:rsid w:val="00FA1FCF"/>
    <w:rsid w:val="00FA236B"/>
    <w:rsid w:val="00FA2446"/>
    <w:rsid w:val="00FA264B"/>
    <w:rsid w:val="00FA26CB"/>
    <w:rsid w:val="00FA2A1E"/>
    <w:rsid w:val="00FA2AB5"/>
    <w:rsid w:val="00FA2BB3"/>
    <w:rsid w:val="00FA2BE4"/>
    <w:rsid w:val="00FA2C19"/>
    <w:rsid w:val="00FA2E8A"/>
    <w:rsid w:val="00FA2EAE"/>
    <w:rsid w:val="00FA2FC8"/>
    <w:rsid w:val="00FA2FF6"/>
    <w:rsid w:val="00FA343E"/>
    <w:rsid w:val="00FA353B"/>
    <w:rsid w:val="00FA38CF"/>
    <w:rsid w:val="00FA3C06"/>
    <w:rsid w:val="00FA43A5"/>
    <w:rsid w:val="00FA4B81"/>
    <w:rsid w:val="00FA4CD4"/>
    <w:rsid w:val="00FA4D91"/>
    <w:rsid w:val="00FA4FEA"/>
    <w:rsid w:val="00FA512A"/>
    <w:rsid w:val="00FA53CD"/>
    <w:rsid w:val="00FA55A3"/>
    <w:rsid w:val="00FA55DB"/>
    <w:rsid w:val="00FA583F"/>
    <w:rsid w:val="00FA59A9"/>
    <w:rsid w:val="00FA5A00"/>
    <w:rsid w:val="00FA5A14"/>
    <w:rsid w:val="00FA600D"/>
    <w:rsid w:val="00FA6108"/>
    <w:rsid w:val="00FA644E"/>
    <w:rsid w:val="00FA64EA"/>
    <w:rsid w:val="00FA65E0"/>
    <w:rsid w:val="00FA6ADB"/>
    <w:rsid w:val="00FA6E58"/>
    <w:rsid w:val="00FA6FF6"/>
    <w:rsid w:val="00FA73FD"/>
    <w:rsid w:val="00FA743F"/>
    <w:rsid w:val="00FA757F"/>
    <w:rsid w:val="00FA7744"/>
    <w:rsid w:val="00FA790F"/>
    <w:rsid w:val="00FA7B57"/>
    <w:rsid w:val="00FB0634"/>
    <w:rsid w:val="00FB0679"/>
    <w:rsid w:val="00FB0811"/>
    <w:rsid w:val="00FB094C"/>
    <w:rsid w:val="00FB099F"/>
    <w:rsid w:val="00FB0A8E"/>
    <w:rsid w:val="00FB0AD8"/>
    <w:rsid w:val="00FB0C52"/>
    <w:rsid w:val="00FB0D3E"/>
    <w:rsid w:val="00FB1C76"/>
    <w:rsid w:val="00FB1D26"/>
    <w:rsid w:val="00FB1D43"/>
    <w:rsid w:val="00FB1D64"/>
    <w:rsid w:val="00FB1F87"/>
    <w:rsid w:val="00FB218A"/>
    <w:rsid w:val="00FB228F"/>
    <w:rsid w:val="00FB23E1"/>
    <w:rsid w:val="00FB24E7"/>
    <w:rsid w:val="00FB2890"/>
    <w:rsid w:val="00FB28D5"/>
    <w:rsid w:val="00FB2C3D"/>
    <w:rsid w:val="00FB2F81"/>
    <w:rsid w:val="00FB2F99"/>
    <w:rsid w:val="00FB31EB"/>
    <w:rsid w:val="00FB320C"/>
    <w:rsid w:val="00FB3295"/>
    <w:rsid w:val="00FB3572"/>
    <w:rsid w:val="00FB357F"/>
    <w:rsid w:val="00FB3BC5"/>
    <w:rsid w:val="00FB3F73"/>
    <w:rsid w:val="00FB4221"/>
    <w:rsid w:val="00FB427B"/>
    <w:rsid w:val="00FB4707"/>
    <w:rsid w:val="00FB4A59"/>
    <w:rsid w:val="00FB4B6F"/>
    <w:rsid w:val="00FB4C80"/>
    <w:rsid w:val="00FB4D1A"/>
    <w:rsid w:val="00FB4EB7"/>
    <w:rsid w:val="00FB4EE3"/>
    <w:rsid w:val="00FB5051"/>
    <w:rsid w:val="00FB50F0"/>
    <w:rsid w:val="00FB5386"/>
    <w:rsid w:val="00FB5448"/>
    <w:rsid w:val="00FB55E1"/>
    <w:rsid w:val="00FB5687"/>
    <w:rsid w:val="00FB594B"/>
    <w:rsid w:val="00FB5963"/>
    <w:rsid w:val="00FB5967"/>
    <w:rsid w:val="00FB5A7B"/>
    <w:rsid w:val="00FB5C9A"/>
    <w:rsid w:val="00FB5CE9"/>
    <w:rsid w:val="00FB5D37"/>
    <w:rsid w:val="00FB5DBE"/>
    <w:rsid w:val="00FB5FA3"/>
    <w:rsid w:val="00FB6093"/>
    <w:rsid w:val="00FB640F"/>
    <w:rsid w:val="00FB6712"/>
    <w:rsid w:val="00FB6A6A"/>
    <w:rsid w:val="00FB6BE8"/>
    <w:rsid w:val="00FB7019"/>
    <w:rsid w:val="00FB71CA"/>
    <w:rsid w:val="00FB7644"/>
    <w:rsid w:val="00FB769D"/>
    <w:rsid w:val="00FB788D"/>
    <w:rsid w:val="00FB7AE3"/>
    <w:rsid w:val="00FB7DBB"/>
    <w:rsid w:val="00FB7EBF"/>
    <w:rsid w:val="00FB7FA2"/>
    <w:rsid w:val="00FC0015"/>
    <w:rsid w:val="00FC00FA"/>
    <w:rsid w:val="00FC034A"/>
    <w:rsid w:val="00FC0891"/>
    <w:rsid w:val="00FC08C0"/>
    <w:rsid w:val="00FC09AD"/>
    <w:rsid w:val="00FC0FA0"/>
    <w:rsid w:val="00FC15EC"/>
    <w:rsid w:val="00FC1977"/>
    <w:rsid w:val="00FC1A8E"/>
    <w:rsid w:val="00FC1B4C"/>
    <w:rsid w:val="00FC1C2F"/>
    <w:rsid w:val="00FC1DCE"/>
    <w:rsid w:val="00FC203B"/>
    <w:rsid w:val="00FC2404"/>
    <w:rsid w:val="00FC24CD"/>
    <w:rsid w:val="00FC2712"/>
    <w:rsid w:val="00FC2740"/>
    <w:rsid w:val="00FC2767"/>
    <w:rsid w:val="00FC2984"/>
    <w:rsid w:val="00FC2D73"/>
    <w:rsid w:val="00FC2F99"/>
    <w:rsid w:val="00FC2FF9"/>
    <w:rsid w:val="00FC3237"/>
    <w:rsid w:val="00FC3247"/>
    <w:rsid w:val="00FC36A8"/>
    <w:rsid w:val="00FC36DD"/>
    <w:rsid w:val="00FC3A2C"/>
    <w:rsid w:val="00FC3D44"/>
    <w:rsid w:val="00FC3D8C"/>
    <w:rsid w:val="00FC41E8"/>
    <w:rsid w:val="00FC4356"/>
    <w:rsid w:val="00FC4589"/>
    <w:rsid w:val="00FC46CE"/>
    <w:rsid w:val="00FC4888"/>
    <w:rsid w:val="00FC4AB5"/>
    <w:rsid w:val="00FC4B82"/>
    <w:rsid w:val="00FC4C24"/>
    <w:rsid w:val="00FC4C36"/>
    <w:rsid w:val="00FC4D81"/>
    <w:rsid w:val="00FC520D"/>
    <w:rsid w:val="00FC5511"/>
    <w:rsid w:val="00FC56C2"/>
    <w:rsid w:val="00FC5792"/>
    <w:rsid w:val="00FC57AF"/>
    <w:rsid w:val="00FC5A4B"/>
    <w:rsid w:val="00FC5CA3"/>
    <w:rsid w:val="00FC62B7"/>
    <w:rsid w:val="00FC680C"/>
    <w:rsid w:val="00FC6823"/>
    <w:rsid w:val="00FC6B0F"/>
    <w:rsid w:val="00FC6C30"/>
    <w:rsid w:val="00FC6E46"/>
    <w:rsid w:val="00FC6E9E"/>
    <w:rsid w:val="00FC707D"/>
    <w:rsid w:val="00FC7429"/>
    <w:rsid w:val="00FC7970"/>
    <w:rsid w:val="00FC798D"/>
    <w:rsid w:val="00FD0107"/>
    <w:rsid w:val="00FD07F6"/>
    <w:rsid w:val="00FD0926"/>
    <w:rsid w:val="00FD0C96"/>
    <w:rsid w:val="00FD0CAC"/>
    <w:rsid w:val="00FD0F00"/>
    <w:rsid w:val="00FD14CD"/>
    <w:rsid w:val="00FD1601"/>
    <w:rsid w:val="00FD17CE"/>
    <w:rsid w:val="00FD1A79"/>
    <w:rsid w:val="00FD1EC8"/>
    <w:rsid w:val="00FD1F14"/>
    <w:rsid w:val="00FD20CD"/>
    <w:rsid w:val="00FD2452"/>
    <w:rsid w:val="00FD250C"/>
    <w:rsid w:val="00FD2564"/>
    <w:rsid w:val="00FD258E"/>
    <w:rsid w:val="00FD263B"/>
    <w:rsid w:val="00FD2850"/>
    <w:rsid w:val="00FD2BE5"/>
    <w:rsid w:val="00FD2CAF"/>
    <w:rsid w:val="00FD2F46"/>
    <w:rsid w:val="00FD310D"/>
    <w:rsid w:val="00FD347D"/>
    <w:rsid w:val="00FD37A8"/>
    <w:rsid w:val="00FD37D4"/>
    <w:rsid w:val="00FD3A31"/>
    <w:rsid w:val="00FD3FFA"/>
    <w:rsid w:val="00FD4019"/>
    <w:rsid w:val="00FD404F"/>
    <w:rsid w:val="00FD4343"/>
    <w:rsid w:val="00FD442E"/>
    <w:rsid w:val="00FD4496"/>
    <w:rsid w:val="00FD4692"/>
    <w:rsid w:val="00FD4706"/>
    <w:rsid w:val="00FD47ED"/>
    <w:rsid w:val="00FD492A"/>
    <w:rsid w:val="00FD493B"/>
    <w:rsid w:val="00FD4A16"/>
    <w:rsid w:val="00FD4EFA"/>
    <w:rsid w:val="00FD510B"/>
    <w:rsid w:val="00FD5292"/>
    <w:rsid w:val="00FD5391"/>
    <w:rsid w:val="00FD5878"/>
    <w:rsid w:val="00FD58A8"/>
    <w:rsid w:val="00FD5A5E"/>
    <w:rsid w:val="00FD5C7A"/>
    <w:rsid w:val="00FD5CE3"/>
    <w:rsid w:val="00FD5DC1"/>
    <w:rsid w:val="00FD6500"/>
    <w:rsid w:val="00FD6700"/>
    <w:rsid w:val="00FD69EA"/>
    <w:rsid w:val="00FD6B82"/>
    <w:rsid w:val="00FD6C68"/>
    <w:rsid w:val="00FD6C6E"/>
    <w:rsid w:val="00FD6CDD"/>
    <w:rsid w:val="00FD6D48"/>
    <w:rsid w:val="00FD707F"/>
    <w:rsid w:val="00FD713E"/>
    <w:rsid w:val="00FD72A6"/>
    <w:rsid w:val="00FD7336"/>
    <w:rsid w:val="00FD74DB"/>
    <w:rsid w:val="00FD760C"/>
    <w:rsid w:val="00FD7660"/>
    <w:rsid w:val="00FD76A9"/>
    <w:rsid w:val="00FD772C"/>
    <w:rsid w:val="00FD78E4"/>
    <w:rsid w:val="00FD795B"/>
    <w:rsid w:val="00FD7B0A"/>
    <w:rsid w:val="00FD7DB7"/>
    <w:rsid w:val="00FD7E74"/>
    <w:rsid w:val="00FD7EB3"/>
    <w:rsid w:val="00FE0074"/>
    <w:rsid w:val="00FE017F"/>
    <w:rsid w:val="00FE036A"/>
    <w:rsid w:val="00FE0482"/>
    <w:rsid w:val="00FE054B"/>
    <w:rsid w:val="00FE0655"/>
    <w:rsid w:val="00FE0859"/>
    <w:rsid w:val="00FE087C"/>
    <w:rsid w:val="00FE0973"/>
    <w:rsid w:val="00FE1058"/>
    <w:rsid w:val="00FE10D8"/>
    <w:rsid w:val="00FE12E3"/>
    <w:rsid w:val="00FE139E"/>
    <w:rsid w:val="00FE13A6"/>
    <w:rsid w:val="00FE150E"/>
    <w:rsid w:val="00FE16BE"/>
    <w:rsid w:val="00FE1916"/>
    <w:rsid w:val="00FE196A"/>
    <w:rsid w:val="00FE1993"/>
    <w:rsid w:val="00FE19CB"/>
    <w:rsid w:val="00FE1BE6"/>
    <w:rsid w:val="00FE1C1F"/>
    <w:rsid w:val="00FE20F8"/>
    <w:rsid w:val="00FE2163"/>
    <w:rsid w:val="00FE2365"/>
    <w:rsid w:val="00FE2555"/>
    <w:rsid w:val="00FE2956"/>
    <w:rsid w:val="00FE2990"/>
    <w:rsid w:val="00FE29F4"/>
    <w:rsid w:val="00FE2B83"/>
    <w:rsid w:val="00FE2EA6"/>
    <w:rsid w:val="00FE2ED2"/>
    <w:rsid w:val="00FE2F37"/>
    <w:rsid w:val="00FE3455"/>
    <w:rsid w:val="00FE3713"/>
    <w:rsid w:val="00FE37D7"/>
    <w:rsid w:val="00FE3AE2"/>
    <w:rsid w:val="00FE3C45"/>
    <w:rsid w:val="00FE3C69"/>
    <w:rsid w:val="00FE3C85"/>
    <w:rsid w:val="00FE3DDD"/>
    <w:rsid w:val="00FE3EA5"/>
    <w:rsid w:val="00FE4141"/>
    <w:rsid w:val="00FE41F5"/>
    <w:rsid w:val="00FE476E"/>
    <w:rsid w:val="00FE4823"/>
    <w:rsid w:val="00FE49A9"/>
    <w:rsid w:val="00FE4A39"/>
    <w:rsid w:val="00FE4C7B"/>
    <w:rsid w:val="00FE4D94"/>
    <w:rsid w:val="00FE4DB1"/>
    <w:rsid w:val="00FE4FA0"/>
    <w:rsid w:val="00FE4FB1"/>
    <w:rsid w:val="00FE4FE8"/>
    <w:rsid w:val="00FE5113"/>
    <w:rsid w:val="00FE518B"/>
    <w:rsid w:val="00FE5514"/>
    <w:rsid w:val="00FE58F3"/>
    <w:rsid w:val="00FE5BAD"/>
    <w:rsid w:val="00FE62A1"/>
    <w:rsid w:val="00FE62B0"/>
    <w:rsid w:val="00FE6312"/>
    <w:rsid w:val="00FE647F"/>
    <w:rsid w:val="00FE6C25"/>
    <w:rsid w:val="00FE6D00"/>
    <w:rsid w:val="00FE6F8C"/>
    <w:rsid w:val="00FE7336"/>
    <w:rsid w:val="00FE73AA"/>
    <w:rsid w:val="00FE7408"/>
    <w:rsid w:val="00FE758F"/>
    <w:rsid w:val="00FE7756"/>
    <w:rsid w:val="00FE783F"/>
    <w:rsid w:val="00FE787C"/>
    <w:rsid w:val="00FE7A88"/>
    <w:rsid w:val="00FE7AC3"/>
    <w:rsid w:val="00FE7C97"/>
    <w:rsid w:val="00FE7E0E"/>
    <w:rsid w:val="00FE7EAF"/>
    <w:rsid w:val="00FF020E"/>
    <w:rsid w:val="00FF0219"/>
    <w:rsid w:val="00FF0457"/>
    <w:rsid w:val="00FF0B40"/>
    <w:rsid w:val="00FF0C84"/>
    <w:rsid w:val="00FF1005"/>
    <w:rsid w:val="00FF11E7"/>
    <w:rsid w:val="00FF13D4"/>
    <w:rsid w:val="00FF1549"/>
    <w:rsid w:val="00FF1766"/>
    <w:rsid w:val="00FF17DC"/>
    <w:rsid w:val="00FF18A0"/>
    <w:rsid w:val="00FF1927"/>
    <w:rsid w:val="00FF2518"/>
    <w:rsid w:val="00FF258B"/>
    <w:rsid w:val="00FF2648"/>
    <w:rsid w:val="00FF275A"/>
    <w:rsid w:val="00FF2A36"/>
    <w:rsid w:val="00FF3116"/>
    <w:rsid w:val="00FF31A2"/>
    <w:rsid w:val="00FF32B8"/>
    <w:rsid w:val="00FF3359"/>
    <w:rsid w:val="00FF3999"/>
    <w:rsid w:val="00FF3C0D"/>
    <w:rsid w:val="00FF40EA"/>
    <w:rsid w:val="00FF4456"/>
    <w:rsid w:val="00FF4460"/>
    <w:rsid w:val="00FF45A5"/>
    <w:rsid w:val="00FF4634"/>
    <w:rsid w:val="00FF472F"/>
    <w:rsid w:val="00FF4983"/>
    <w:rsid w:val="00FF4BD6"/>
    <w:rsid w:val="00FF4E0D"/>
    <w:rsid w:val="00FF4EB6"/>
    <w:rsid w:val="00FF4F93"/>
    <w:rsid w:val="00FF50CB"/>
    <w:rsid w:val="00FF51B8"/>
    <w:rsid w:val="00FF5670"/>
    <w:rsid w:val="00FF5735"/>
    <w:rsid w:val="00FF587F"/>
    <w:rsid w:val="00FF58C5"/>
    <w:rsid w:val="00FF5C2D"/>
    <w:rsid w:val="00FF5C91"/>
    <w:rsid w:val="00FF5CB6"/>
    <w:rsid w:val="00FF5D7D"/>
    <w:rsid w:val="00FF5F3A"/>
    <w:rsid w:val="00FF5F9B"/>
    <w:rsid w:val="00FF5FEB"/>
    <w:rsid w:val="00FF62C1"/>
    <w:rsid w:val="00FF6324"/>
    <w:rsid w:val="00FF6432"/>
    <w:rsid w:val="00FF6437"/>
    <w:rsid w:val="00FF654B"/>
    <w:rsid w:val="00FF67C1"/>
    <w:rsid w:val="00FF6BCA"/>
    <w:rsid w:val="00FF6D1C"/>
    <w:rsid w:val="00FF6DFF"/>
    <w:rsid w:val="00FF7261"/>
    <w:rsid w:val="00FF743A"/>
    <w:rsid w:val="00FF7598"/>
    <w:rsid w:val="00FF76BC"/>
    <w:rsid w:val="00FF7777"/>
    <w:rsid w:val="00FF78E5"/>
    <w:rsid w:val="00FF7A59"/>
    <w:rsid w:val="00FF7D97"/>
    <w:rsid w:val="00FF7E92"/>
    <w:rsid w:val="0C39D94D"/>
    <w:rsid w:val="0DD02E6A"/>
    <w:rsid w:val="170C80D3"/>
    <w:rsid w:val="1968D820"/>
    <w:rsid w:val="1DA287A7"/>
    <w:rsid w:val="2047D786"/>
    <w:rsid w:val="2673A75D"/>
    <w:rsid w:val="28705F4B"/>
    <w:rsid w:val="35DAF9E0"/>
    <w:rsid w:val="40F85430"/>
    <w:rsid w:val="426392CF"/>
    <w:rsid w:val="466A765B"/>
    <w:rsid w:val="4D26EF3A"/>
    <w:rsid w:val="4EAD9CE0"/>
    <w:rsid w:val="51D0ACCE"/>
    <w:rsid w:val="542BB1A5"/>
    <w:rsid w:val="55BAB303"/>
    <w:rsid w:val="689FCBE2"/>
    <w:rsid w:val="6DFA5436"/>
    <w:rsid w:val="76681F58"/>
    <w:rsid w:val="7772F166"/>
    <w:rsid w:val="7CB9130C"/>
    <w:rsid w:val="7E27A4C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2"/>
    </o:shapelayout>
  </w:shapeDefaults>
  <w:decimalSymbol w:val="."/>
  <w:listSeparator w:val=","/>
  <w14:docId w14:val="62E6D915"/>
  <w15:docId w15:val="{6FB1018B-887C-44A9-A5A1-C16B7DC41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7F57"/>
    <w:pPr>
      <w:spacing w:after="120"/>
    </w:pPr>
    <w:rPr>
      <w:rFonts w:ascii="Calibri" w:eastAsiaTheme="minorHAnsi" w:hAnsi="Calibri" w:cstheme="minorBidi"/>
      <w:kern w:val="2"/>
      <w:szCs w:val="22"/>
      <w:lang w:val="en-US" w:eastAsia="en-US"/>
      <w14:ligatures w14:val="standardContextual"/>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9C7F5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C7F57"/>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0">
    <w:name w:val="B1"/>
    <w:basedOn w:val="List"/>
    <w:link w:val="B1Char1"/>
    <w:qFormat/>
    <w:rsid w:val="00230D18"/>
    <w:rPr>
      <w:rFonts w:ascii="Times New Roman" w:hAnsi="Times New Roman"/>
    </w:rPr>
  </w:style>
  <w:style w:type="paragraph" w:customStyle="1" w:styleId="B20">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F17FE1"/>
    <w:pPr>
      <w:numPr>
        <w:numId w:val="2"/>
      </w:numPr>
      <w:tabs>
        <w:tab w:val="left" w:pos="1701"/>
      </w:tabs>
    </w:pPr>
    <w:rPr>
      <w:b/>
      <w:bCs/>
    </w:rPr>
  </w:style>
  <w:style w:type="character" w:customStyle="1" w:styleId="BodyTextChar">
    <w:name w:val="Body Text Char"/>
    <w:link w:val="BodyText"/>
    <w:rsid w:val="008D00A5"/>
    <w:rPr>
      <w:rFonts w:asciiTheme="minorHAnsi" w:eastAsiaTheme="minorEastAsia" w:hAnsiTheme="minorHAnsi" w:cstheme="minorBidi"/>
      <w:kern w:val="2"/>
      <w:sz w:val="24"/>
      <w:szCs w:val="24"/>
      <w:lang w:val="en-US" w:eastAsia="ja-JP"/>
      <w14:ligatures w14:val="standardContextual"/>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C648D4"/>
    <w:pPr>
      <w:numPr>
        <w:numId w:val="4"/>
      </w:numPr>
      <w:ind w:left="1710" w:hanging="1710"/>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0"/>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eastAsiaTheme="minorEastAsia" w:hAnsi="Segoe UI" w:cs="Segoe UI"/>
      <w:kern w:val="2"/>
      <w:sz w:val="18"/>
      <w:szCs w:val="18"/>
      <w:lang w:val="en-US" w:eastAsia="ja-JP"/>
      <w14:ligatures w14:val="standardContextual"/>
    </w:rPr>
  </w:style>
  <w:style w:type="character" w:customStyle="1" w:styleId="CommentTextChar">
    <w:name w:val="Comment Text Char"/>
    <w:link w:val="CommentText"/>
    <w:uiPriority w:val="99"/>
    <w:qFormat/>
    <w:rsid w:val="008D00A5"/>
    <w:rPr>
      <w:rFonts w:asciiTheme="minorHAnsi" w:eastAsiaTheme="minorEastAsia" w:hAnsiTheme="minorHAnsi" w:cstheme="minorBidi"/>
      <w:kern w:val="2"/>
      <w:sz w:val="24"/>
      <w:szCs w:val="24"/>
      <w:lang w:val="en-US" w:eastAsia="ja-JP"/>
      <w14:ligatures w14:val="standardContextual"/>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lang w:val="x-none" w:eastAsia="x-none"/>
    </w:rPr>
  </w:style>
  <w:style w:type="character" w:customStyle="1" w:styleId="Doc-text2Char">
    <w:name w:val="Doc-text2 Char"/>
    <w:link w:val="Doc-text2"/>
    <w:locked/>
    <w:rsid w:val="008D00A5"/>
    <w:rPr>
      <w:rFonts w:asciiTheme="minorHAnsi" w:eastAsiaTheme="minorEastAsia" w:hAnsiTheme="minorHAnsi" w:cstheme="minorBidi"/>
      <w:kern w:val="2"/>
      <w:sz w:val="24"/>
      <w:szCs w:val="24"/>
      <w:lang w:val="x-none" w:eastAsia="x-none"/>
      <w14:ligatures w14:val="standardContextual"/>
    </w:rPr>
  </w:style>
  <w:style w:type="character" w:customStyle="1" w:styleId="DocumentMapChar">
    <w:name w:val="Document Map Char"/>
    <w:link w:val="DocumentMap"/>
    <w:rsid w:val="008D00A5"/>
    <w:rPr>
      <w:rFonts w:ascii="Tahoma" w:eastAsiaTheme="minorEastAsia" w:hAnsi="Tahoma" w:cs="Tahoma"/>
      <w:kern w:val="2"/>
      <w:sz w:val="24"/>
      <w:szCs w:val="24"/>
      <w:shd w:val="clear" w:color="auto" w:fill="000080"/>
      <w:lang w:val="en-US" w:eastAsia="ja-JP"/>
      <w14:ligatures w14:val="standardContextual"/>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heme="minorHAnsi" w:eastAsiaTheme="minorEastAsia" w:hAnsiTheme="minorHAnsi" w:cstheme="minorBidi"/>
      <w:kern w:val="2"/>
      <w:sz w:val="24"/>
      <w:szCs w:val="24"/>
      <w:lang w:val="en-US" w:eastAsia="ja-JP"/>
      <w14:ligatures w14:val="standardContextual"/>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heme="minorHAnsi" w:eastAsiaTheme="minorEastAsia" w:hAnsiTheme="minorHAnsi" w:cstheme="minorBidi"/>
      <w:kern w:val="2"/>
      <w:sz w:val="16"/>
      <w:szCs w:val="24"/>
      <w:lang w:val="en-US" w:eastAsia="ja-JP"/>
      <w14:ligatures w14:val="standardContextual"/>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rsid w:val="009C7F57"/>
    <w:pPr>
      <w:numPr>
        <w:numId w:val="92"/>
      </w:numPr>
      <w:tabs>
        <w:tab w:val="left" w:pos="0"/>
      </w:tabs>
      <w:suppressAutoHyphens/>
      <w:spacing w:after="0"/>
      <w:ind w:hanging="360"/>
    </w:pPr>
    <w:rPr>
      <w:rFonts w:asciiTheme="minorHAnsi" w:eastAsia="Times New Roman" w:hAnsiTheme="minorHAnsi" w:cstheme="minorHAnsi"/>
      <w:szCs w:val="20"/>
      <w:lang w:eastAsia="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9C7F57"/>
    <w:rPr>
      <w:rFonts w:asciiTheme="minorHAnsi" w:eastAsia="Times New Roman" w:hAnsiTheme="minorHAnsi" w:cstheme="minorHAnsi"/>
      <w:kern w:val="2"/>
      <w:lang w:val="en-US" w:eastAsia="zh-CN"/>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eastAsiaTheme="minorEastAsia" w:hAnsi="Courier New" w:cstheme="minorBidi"/>
      <w:kern w:val="2"/>
      <w:sz w:val="24"/>
      <w:szCs w:val="24"/>
      <w:lang w:val="nb-NO" w:eastAsia="ja-JP"/>
      <w14:ligatures w14:val="standardContextual"/>
    </w:rPr>
  </w:style>
  <w:style w:type="character" w:styleId="Strong">
    <w:name w:val="Strong"/>
    <w:uiPriority w:val="22"/>
    <w:qFormat/>
    <w:rsid w:val="008D00A5"/>
    <w:rPr>
      <w:b/>
      <w:bCs/>
    </w:rPr>
  </w:style>
  <w:style w:type="table" w:styleId="TableGrid">
    <w:name w:val="Table Grid"/>
    <w:aliases w:val="TableGrid"/>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heme="minorHAnsi" w:eastAsiaTheme="minorEastAsia" w:hAnsiTheme="minorHAnsi" w:cstheme="minorBidi"/>
      <w:kern w:val="2"/>
      <w:sz w:val="18"/>
      <w:szCs w:val="24"/>
      <w:lang w:val="x-none" w:eastAsia="x-none"/>
      <w14:ligatures w14:val="standardContextual"/>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Theme="minorHAnsi" w:eastAsiaTheme="minorEastAsia" w:hAnsiTheme="minorHAnsi" w:cstheme="minorBidi"/>
      <w:b/>
      <w:kern w:val="2"/>
      <w:sz w:val="24"/>
      <w:szCs w:val="24"/>
      <w:lang w:val="x-none" w:eastAsia="x-none"/>
      <w14:ligatures w14:val="standardContextual"/>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Theme="minorHAnsi" w:eastAsia="Malgun Gothic" w:hAnsiTheme="minorHAnsi" w:cstheme="minorBidi"/>
      <w:kern w:val="2"/>
      <w:sz w:val="18"/>
      <w:szCs w:val="24"/>
      <w:lang w:val="x-none" w:eastAsia="x-none"/>
      <w14:ligatures w14:val="standardContextual"/>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99"/>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E24EB1"/>
    <w:pPr>
      <w:spacing w:before="120" w:line="264" w:lineRule="auto"/>
    </w:pPr>
    <w:rPr>
      <w:rFonts w:eastAsia="SimSun"/>
    </w:rPr>
  </w:style>
  <w:style w:type="character" w:customStyle="1" w:styleId="00TextChar">
    <w:name w:val="00_Text Char"/>
    <w:basedOn w:val="DefaultParagraphFont"/>
    <w:link w:val="00Text"/>
    <w:rsid w:val="00E24EB1"/>
    <w:rPr>
      <w:rFonts w:asciiTheme="minorHAnsi" w:eastAsia="SimSun" w:hAnsiTheme="minorHAnsi" w:cstheme="minorBidi"/>
      <w:kern w:val="2"/>
      <w:sz w:val="24"/>
      <w:szCs w:val="24"/>
      <w:lang w:val="en-US" w:eastAsia="ja-JP"/>
      <w14:ligatures w14:val="standardContextual"/>
    </w:rPr>
  </w:style>
  <w:style w:type="paragraph" w:customStyle="1" w:styleId="B1">
    <w:name w:val="B1+"/>
    <w:basedOn w:val="B10"/>
    <w:uiPriority w:val="99"/>
    <w:qFormat/>
    <w:rsid w:val="00E24EB1"/>
    <w:pPr>
      <w:numPr>
        <w:numId w:val="16"/>
      </w:numPr>
      <w:tabs>
        <w:tab w:val="clear" w:pos="737"/>
        <w:tab w:val="num" w:pos="720"/>
      </w:tabs>
      <w:spacing w:after="180"/>
      <w:ind w:left="720"/>
    </w:pPr>
  </w:style>
  <w:style w:type="paragraph" w:customStyle="1" w:styleId="B2">
    <w:name w:val="B2+"/>
    <w:basedOn w:val="B20"/>
    <w:uiPriority w:val="99"/>
    <w:qFormat/>
    <w:rsid w:val="00E24EB1"/>
    <w:pPr>
      <w:numPr>
        <w:numId w:val="17"/>
      </w:numPr>
      <w:tabs>
        <w:tab w:val="num" w:pos="851"/>
      </w:tabs>
      <w:spacing w:after="180"/>
      <w:ind w:left="851" w:hanging="851"/>
    </w:pPr>
    <w:rPr>
      <w:rFonts w:eastAsia="PMingLiU"/>
      <w:lang w:eastAsia="ko-KR"/>
    </w:rPr>
  </w:style>
  <w:style w:type="paragraph" w:customStyle="1" w:styleId="MTDisplayEquation">
    <w:name w:val="MTDisplayEquation"/>
    <w:basedOn w:val="Normal"/>
    <w:next w:val="Normal"/>
    <w:link w:val="MTDisplayEquation0"/>
    <w:qFormat/>
    <w:rsid w:val="001355D3"/>
    <w:pPr>
      <w:tabs>
        <w:tab w:val="center" w:pos="4540"/>
        <w:tab w:val="right" w:pos="9080"/>
      </w:tabs>
    </w:pPr>
  </w:style>
  <w:style w:type="character" w:customStyle="1" w:styleId="MTDisplayEquation0">
    <w:name w:val="MTDisplayEquation 字符"/>
    <w:basedOn w:val="DefaultParagraphFont"/>
    <w:link w:val="MTDisplayEquation"/>
    <w:qFormat/>
    <w:rsid w:val="001355D3"/>
    <w:rPr>
      <w:rFonts w:asciiTheme="minorHAnsi" w:eastAsiaTheme="minorEastAsia" w:hAnsiTheme="minorHAnsi" w:cstheme="minorBidi"/>
      <w:kern w:val="2"/>
      <w:sz w:val="24"/>
      <w:szCs w:val="24"/>
      <w:lang w:val="en-US" w:eastAsia="ja-JP"/>
      <w14:ligatures w14:val="standardContextual"/>
    </w:rPr>
  </w:style>
  <w:style w:type="paragraph" w:styleId="Revision">
    <w:name w:val="Revision"/>
    <w:hidden/>
    <w:uiPriority w:val="99"/>
    <w:semiHidden/>
    <w:rsid w:val="00C67B3A"/>
    <w:rPr>
      <w:rFonts w:ascii="Arial" w:hAnsi="Arial"/>
      <w:lang w:eastAsia="zh-CN"/>
    </w:rPr>
  </w:style>
  <w:style w:type="character" w:customStyle="1" w:styleId="TALChar">
    <w:name w:val="TAL Char"/>
    <w:qFormat/>
    <w:rsid w:val="008C2A5F"/>
    <w:rPr>
      <w:rFonts w:ascii="Arial" w:hAnsi="Arial"/>
      <w:sz w:val="18"/>
    </w:rPr>
  </w:style>
  <w:style w:type="character" w:customStyle="1" w:styleId="TACChar">
    <w:name w:val="TAC Char"/>
    <w:link w:val="TAC"/>
    <w:qFormat/>
    <w:locked/>
    <w:rsid w:val="008C2A5F"/>
    <w:rPr>
      <w:rFonts w:ascii="Arial" w:hAnsi="Arial"/>
      <w:sz w:val="18"/>
      <w:lang w:val="x-none" w:eastAsia="x-none"/>
    </w:rPr>
  </w:style>
  <w:style w:type="character" w:customStyle="1" w:styleId="TAHChar">
    <w:name w:val="TAH Char"/>
    <w:qFormat/>
    <w:rsid w:val="008C2A5F"/>
    <w:rPr>
      <w:rFonts w:ascii="Arial" w:hAnsi="Arial"/>
      <w:b/>
      <w:sz w:val="18"/>
    </w:rPr>
  </w:style>
  <w:style w:type="character" w:styleId="Mention">
    <w:name w:val="Mention"/>
    <w:basedOn w:val="DefaultParagraphFont"/>
    <w:uiPriority w:val="99"/>
    <w:unhideWhenUsed/>
    <w:rsid w:val="007F2EAC"/>
    <w:rPr>
      <w:color w:val="2B579A"/>
      <w:shd w:val="clear" w:color="auto" w:fill="E1DFDD"/>
    </w:rPr>
  </w:style>
  <w:style w:type="character" w:styleId="PlaceholderText">
    <w:name w:val="Placeholder Text"/>
    <w:basedOn w:val="DefaultParagraphFont"/>
    <w:uiPriority w:val="99"/>
    <w:semiHidden/>
    <w:rsid w:val="005830A5"/>
    <w:rPr>
      <w:color w:val="808080"/>
    </w:rPr>
  </w:style>
  <w:style w:type="table" w:customStyle="1" w:styleId="TableGrid2">
    <w:name w:val="Table Grid2"/>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5210FE"/>
    <w:rPr>
      <w:lang w:eastAsia="en-US"/>
    </w:rPr>
  </w:style>
  <w:style w:type="character" w:customStyle="1" w:styleId="B11">
    <w:name w:val="B1 (文字)"/>
    <w:qFormat/>
    <w:rsid w:val="005210FE"/>
    <w:rPr>
      <w:lang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5826C2"/>
    <w:rPr>
      <w:rFonts w:asciiTheme="minorHAnsi" w:eastAsiaTheme="minorEastAsia" w:hAnsiTheme="minorHAnsi" w:cstheme="minorBidi"/>
      <w:b/>
      <w:kern w:val="2"/>
      <w:sz w:val="24"/>
      <w:szCs w:val="24"/>
      <w:lang w:val="en-US"/>
      <w14:ligatures w14:val="standardContextual"/>
    </w:rPr>
  </w:style>
  <w:style w:type="character" w:customStyle="1" w:styleId="B1Char">
    <w:name w:val="B1 Char"/>
    <w:qFormat/>
    <w:rsid w:val="005826C2"/>
    <w:rPr>
      <w:rFonts w:ascii="Times New Roman" w:eastAsia="Times New Roman" w:hAnsi="Times New Roman" w:cs="Times New Roman"/>
      <w:sz w:val="20"/>
      <w:szCs w:val="20"/>
      <w:lang w:val="en-GB" w:eastAsia="en-GB"/>
    </w:rPr>
  </w:style>
  <w:style w:type="character" w:customStyle="1" w:styleId="s4">
    <w:name w:val="s4"/>
    <w:basedOn w:val="DefaultParagraphFont"/>
    <w:rsid w:val="0096025A"/>
    <w:rPr>
      <w:rFonts w:ascii="Arial" w:hAnsi="Arial" w:cs="Arial" w:hint="default"/>
      <w:b w:val="0"/>
      <w:bCs w:val="0"/>
      <w:i w:val="0"/>
      <w:iCs w:val="0"/>
      <w:color w:val="000000"/>
      <w:sz w:val="18"/>
      <w:szCs w:val="18"/>
    </w:rPr>
  </w:style>
  <w:style w:type="character" w:customStyle="1" w:styleId="s7">
    <w:name w:val="s7"/>
    <w:basedOn w:val="DefaultParagraphFont"/>
    <w:rsid w:val="0096025A"/>
    <w:rPr>
      <w:rFonts w:ascii="Arial" w:hAnsi="Arial" w:cs="Arial" w:hint="default"/>
      <w:b w:val="0"/>
      <w:bCs w:val="0"/>
      <w:i w:val="0"/>
      <w:iCs w:val="0"/>
      <w:color w:val="000000"/>
      <w:sz w:val="12"/>
      <w:szCs w:val="12"/>
    </w:rPr>
  </w:style>
  <w:style w:type="character" w:customStyle="1" w:styleId="s6">
    <w:name w:val="s6"/>
    <w:basedOn w:val="DefaultParagraphFont"/>
    <w:rsid w:val="0096025A"/>
    <w:rPr>
      <w:rFonts w:ascii="Helvetica" w:hAnsi="Helvetica" w:hint="default"/>
      <w:b w:val="0"/>
      <w:bCs w:val="0"/>
      <w:i w:val="0"/>
      <w:iCs w:val="0"/>
      <w:color w:val="000000"/>
      <w:sz w:val="18"/>
      <w:szCs w:val="18"/>
    </w:rPr>
  </w:style>
  <w:style w:type="character" w:customStyle="1" w:styleId="s5">
    <w:name w:val="s5"/>
    <w:basedOn w:val="DefaultParagraphFont"/>
    <w:rsid w:val="0096025A"/>
    <w:rPr>
      <w:rFonts w:ascii="Helvetica" w:hAnsi="Helvetica" w:hint="default"/>
      <w:b w:val="0"/>
      <w:bCs w:val="0"/>
      <w:i w:val="0"/>
      <w:iCs w:val="0"/>
      <w:color w:val="000000"/>
      <w:sz w:val="18"/>
      <w:szCs w:val="18"/>
    </w:rPr>
  </w:style>
  <w:style w:type="character" w:customStyle="1" w:styleId="s3">
    <w:name w:val="s3"/>
    <w:basedOn w:val="DefaultParagraphFont"/>
    <w:rsid w:val="0096025A"/>
    <w:rPr>
      <w:rFonts w:ascii="Arial" w:hAnsi="Arial" w:cs="Arial" w:hint="default"/>
      <w:b w:val="0"/>
      <w:bCs w:val="0"/>
      <w:i w:val="0"/>
      <w:iCs w:val="0"/>
      <w:color w:val="000000"/>
      <w:sz w:val="18"/>
      <w:szCs w:val="18"/>
    </w:rPr>
  </w:style>
  <w:style w:type="paragraph" w:styleId="NormalWeb">
    <w:name w:val="Normal (Web)"/>
    <w:basedOn w:val="Normal"/>
    <w:uiPriority w:val="99"/>
    <w:unhideWhenUsed/>
    <w:rsid w:val="0096025A"/>
    <w:pPr>
      <w:spacing w:before="100" w:beforeAutospacing="1" w:after="100" w:afterAutospacing="1"/>
    </w:pPr>
  </w:style>
  <w:style w:type="character" w:styleId="UnresolvedMention">
    <w:name w:val="Unresolved Mention"/>
    <w:basedOn w:val="DefaultParagraphFont"/>
    <w:uiPriority w:val="99"/>
    <w:unhideWhenUsed/>
    <w:rsid w:val="007C58B0"/>
    <w:rPr>
      <w:color w:val="605E5C"/>
      <w:shd w:val="clear" w:color="auto" w:fill="E1DFDD"/>
    </w:rPr>
  </w:style>
  <w:style w:type="table" w:customStyle="1" w:styleId="TableGrid10">
    <w:name w:val="TableGrid1"/>
    <w:basedOn w:val="TableNormal"/>
    <w:uiPriority w:val="59"/>
    <w:qFormat/>
    <w:rsid w:val="00A46F37"/>
    <w:rPr>
      <w:rFonts w:ascii="Times New Roman" w:eastAsia="SimSu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
    <w:name w:val="table"/>
    <w:basedOn w:val="Normal"/>
    <w:next w:val="Normal"/>
    <w:qFormat/>
    <w:rsid w:val="00A46F37"/>
    <w:pPr>
      <w:numPr>
        <w:numId w:val="67"/>
      </w:numPr>
      <w:jc w:val="center"/>
    </w:pPr>
  </w:style>
  <w:style w:type="table" w:customStyle="1" w:styleId="TableGrid4">
    <w:name w:val="Table Grid4"/>
    <w:basedOn w:val="TableNormal"/>
    <w:next w:val="TableGrid"/>
    <w:uiPriority w:val="39"/>
    <w:qFormat/>
    <w:rsid w:val="0038686F"/>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022883"/>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969984">
      <w:bodyDiv w:val="1"/>
      <w:marLeft w:val="0"/>
      <w:marRight w:val="0"/>
      <w:marTop w:val="0"/>
      <w:marBottom w:val="0"/>
      <w:divBdr>
        <w:top w:val="none" w:sz="0" w:space="0" w:color="auto"/>
        <w:left w:val="none" w:sz="0" w:space="0" w:color="auto"/>
        <w:bottom w:val="none" w:sz="0" w:space="0" w:color="auto"/>
        <w:right w:val="none" w:sz="0" w:space="0" w:color="auto"/>
      </w:divBdr>
    </w:div>
    <w:div w:id="231474387">
      <w:bodyDiv w:val="1"/>
      <w:marLeft w:val="0"/>
      <w:marRight w:val="0"/>
      <w:marTop w:val="0"/>
      <w:marBottom w:val="0"/>
      <w:divBdr>
        <w:top w:val="none" w:sz="0" w:space="0" w:color="auto"/>
        <w:left w:val="none" w:sz="0" w:space="0" w:color="auto"/>
        <w:bottom w:val="none" w:sz="0" w:space="0" w:color="auto"/>
        <w:right w:val="none" w:sz="0" w:space="0" w:color="auto"/>
      </w:divBdr>
    </w:div>
    <w:div w:id="253247069">
      <w:bodyDiv w:val="1"/>
      <w:marLeft w:val="0"/>
      <w:marRight w:val="0"/>
      <w:marTop w:val="0"/>
      <w:marBottom w:val="0"/>
      <w:divBdr>
        <w:top w:val="none" w:sz="0" w:space="0" w:color="auto"/>
        <w:left w:val="none" w:sz="0" w:space="0" w:color="auto"/>
        <w:bottom w:val="none" w:sz="0" w:space="0" w:color="auto"/>
        <w:right w:val="none" w:sz="0" w:space="0" w:color="auto"/>
      </w:divBdr>
      <w:divsChild>
        <w:div w:id="1012103227">
          <w:marLeft w:val="1267"/>
          <w:marRight w:val="0"/>
          <w:marTop w:val="0"/>
          <w:marBottom w:val="160"/>
          <w:divBdr>
            <w:top w:val="none" w:sz="0" w:space="0" w:color="auto"/>
            <w:left w:val="none" w:sz="0" w:space="0" w:color="auto"/>
            <w:bottom w:val="none" w:sz="0" w:space="0" w:color="auto"/>
            <w:right w:val="none" w:sz="0" w:space="0" w:color="auto"/>
          </w:divBdr>
        </w:div>
        <w:div w:id="1128009768">
          <w:marLeft w:val="547"/>
          <w:marRight w:val="0"/>
          <w:marTop w:val="0"/>
          <w:marBottom w:val="160"/>
          <w:divBdr>
            <w:top w:val="none" w:sz="0" w:space="0" w:color="auto"/>
            <w:left w:val="none" w:sz="0" w:space="0" w:color="auto"/>
            <w:bottom w:val="none" w:sz="0" w:space="0" w:color="auto"/>
            <w:right w:val="none" w:sz="0" w:space="0" w:color="auto"/>
          </w:divBdr>
        </w:div>
        <w:div w:id="1305965079">
          <w:marLeft w:val="1267"/>
          <w:marRight w:val="0"/>
          <w:marTop w:val="0"/>
          <w:marBottom w:val="160"/>
          <w:divBdr>
            <w:top w:val="none" w:sz="0" w:space="0" w:color="auto"/>
            <w:left w:val="none" w:sz="0" w:space="0" w:color="auto"/>
            <w:bottom w:val="none" w:sz="0" w:space="0" w:color="auto"/>
            <w:right w:val="none" w:sz="0" w:space="0" w:color="auto"/>
          </w:divBdr>
        </w:div>
        <w:div w:id="2079938338">
          <w:marLeft w:val="547"/>
          <w:marRight w:val="0"/>
          <w:marTop w:val="0"/>
          <w:marBottom w:val="160"/>
          <w:divBdr>
            <w:top w:val="none" w:sz="0" w:space="0" w:color="auto"/>
            <w:left w:val="none" w:sz="0" w:space="0" w:color="auto"/>
            <w:bottom w:val="none" w:sz="0" w:space="0" w:color="auto"/>
            <w:right w:val="none" w:sz="0" w:space="0" w:color="auto"/>
          </w:divBdr>
        </w:div>
      </w:divsChild>
    </w:div>
    <w:div w:id="261911673">
      <w:bodyDiv w:val="1"/>
      <w:marLeft w:val="0"/>
      <w:marRight w:val="0"/>
      <w:marTop w:val="0"/>
      <w:marBottom w:val="0"/>
      <w:divBdr>
        <w:top w:val="none" w:sz="0" w:space="0" w:color="auto"/>
        <w:left w:val="none" w:sz="0" w:space="0" w:color="auto"/>
        <w:bottom w:val="none" w:sz="0" w:space="0" w:color="auto"/>
        <w:right w:val="none" w:sz="0" w:space="0" w:color="auto"/>
      </w:divBdr>
    </w:div>
    <w:div w:id="291862081">
      <w:bodyDiv w:val="1"/>
      <w:marLeft w:val="0"/>
      <w:marRight w:val="0"/>
      <w:marTop w:val="0"/>
      <w:marBottom w:val="0"/>
      <w:divBdr>
        <w:top w:val="none" w:sz="0" w:space="0" w:color="auto"/>
        <w:left w:val="none" w:sz="0" w:space="0" w:color="auto"/>
        <w:bottom w:val="none" w:sz="0" w:space="0" w:color="auto"/>
        <w:right w:val="none" w:sz="0" w:space="0" w:color="auto"/>
      </w:divBdr>
    </w:div>
    <w:div w:id="442530469">
      <w:bodyDiv w:val="1"/>
      <w:marLeft w:val="0"/>
      <w:marRight w:val="0"/>
      <w:marTop w:val="0"/>
      <w:marBottom w:val="0"/>
      <w:divBdr>
        <w:top w:val="none" w:sz="0" w:space="0" w:color="auto"/>
        <w:left w:val="none" w:sz="0" w:space="0" w:color="auto"/>
        <w:bottom w:val="none" w:sz="0" w:space="0" w:color="auto"/>
        <w:right w:val="none" w:sz="0" w:space="0" w:color="auto"/>
      </w:divBdr>
    </w:div>
    <w:div w:id="469515272">
      <w:bodyDiv w:val="1"/>
      <w:marLeft w:val="0"/>
      <w:marRight w:val="0"/>
      <w:marTop w:val="0"/>
      <w:marBottom w:val="0"/>
      <w:divBdr>
        <w:top w:val="none" w:sz="0" w:space="0" w:color="auto"/>
        <w:left w:val="none" w:sz="0" w:space="0" w:color="auto"/>
        <w:bottom w:val="none" w:sz="0" w:space="0" w:color="auto"/>
        <w:right w:val="none" w:sz="0" w:space="0" w:color="auto"/>
      </w:divBdr>
    </w:div>
    <w:div w:id="500003696">
      <w:bodyDiv w:val="1"/>
      <w:marLeft w:val="0"/>
      <w:marRight w:val="0"/>
      <w:marTop w:val="0"/>
      <w:marBottom w:val="0"/>
      <w:divBdr>
        <w:top w:val="none" w:sz="0" w:space="0" w:color="auto"/>
        <w:left w:val="none" w:sz="0" w:space="0" w:color="auto"/>
        <w:bottom w:val="none" w:sz="0" w:space="0" w:color="auto"/>
        <w:right w:val="none" w:sz="0" w:space="0" w:color="auto"/>
      </w:divBdr>
    </w:div>
    <w:div w:id="534855453">
      <w:bodyDiv w:val="1"/>
      <w:marLeft w:val="0"/>
      <w:marRight w:val="0"/>
      <w:marTop w:val="0"/>
      <w:marBottom w:val="0"/>
      <w:divBdr>
        <w:top w:val="none" w:sz="0" w:space="0" w:color="auto"/>
        <w:left w:val="none" w:sz="0" w:space="0" w:color="auto"/>
        <w:bottom w:val="none" w:sz="0" w:space="0" w:color="auto"/>
        <w:right w:val="none" w:sz="0" w:space="0" w:color="auto"/>
      </w:divBdr>
      <w:divsChild>
        <w:div w:id="1522549001">
          <w:marLeft w:val="0"/>
          <w:marRight w:val="0"/>
          <w:marTop w:val="0"/>
          <w:marBottom w:val="0"/>
          <w:divBdr>
            <w:top w:val="none" w:sz="0" w:space="0" w:color="auto"/>
            <w:left w:val="none" w:sz="0" w:space="0" w:color="auto"/>
            <w:bottom w:val="none" w:sz="0" w:space="0" w:color="auto"/>
            <w:right w:val="none" w:sz="0" w:space="0" w:color="auto"/>
          </w:divBdr>
          <w:divsChild>
            <w:div w:id="529758292">
              <w:marLeft w:val="0"/>
              <w:marRight w:val="0"/>
              <w:marTop w:val="0"/>
              <w:marBottom w:val="0"/>
              <w:divBdr>
                <w:top w:val="none" w:sz="0" w:space="0" w:color="auto"/>
                <w:left w:val="none" w:sz="0" w:space="0" w:color="auto"/>
                <w:bottom w:val="none" w:sz="0" w:space="0" w:color="auto"/>
                <w:right w:val="none" w:sz="0" w:space="0" w:color="auto"/>
              </w:divBdr>
              <w:divsChild>
                <w:div w:id="2097090822">
                  <w:marLeft w:val="0"/>
                  <w:marRight w:val="0"/>
                  <w:marTop w:val="0"/>
                  <w:marBottom w:val="0"/>
                  <w:divBdr>
                    <w:top w:val="none" w:sz="0" w:space="0" w:color="auto"/>
                    <w:left w:val="none" w:sz="0" w:space="0" w:color="auto"/>
                    <w:bottom w:val="none" w:sz="0" w:space="0" w:color="auto"/>
                    <w:right w:val="none" w:sz="0" w:space="0" w:color="auto"/>
                  </w:divBdr>
                  <w:divsChild>
                    <w:div w:id="96373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344890">
      <w:bodyDiv w:val="1"/>
      <w:marLeft w:val="0"/>
      <w:marRight w:val="0"/>
      <w:marTop w:val="0"/>
      <w:marBottom w:val="0"/>
      <w:divBdr>
        <w:top w:val="none" w:sz="0" w:space="0" w:color="auto"/>
        <w:left w:val="none" w:sz="0" w:space="0" w:color="auto"/>
        <w:bottom w:val="none" w:sz="0" w:space="0" w:color="auto"/>
        <w:right w:val="none" w:sz="0" w:space="0" w:color="auto"/>
      </w:divBdr>
      <w:divsChild>
        <w:div w:id="772629465">
          <w:marLeft w:val="0"/>
          <w:marRight w:val="0"/>
          <w:marTop w:val="0"/>
          <w:marBottom w:val="0"/>
          <w:divBdr>
            <w:top w:val="none" w:sz="0" w:space="0" w:color="auto"/>
            <w:left w:val="none" w:sz="0" w:space="0" w:color="auto"/>
            <w:bottom w:val="none" w:sz="0" w:space="0" w:color="auto"/>
            <w:right w:val="none" w:sz="0" w:space="0" w:color="auto"/>
          </w:divBdr>
          <w:divsChild>
            <w:div w:id="173265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239658">
      <w:bodyDiv w:val="1"/>
      <w:marLeft w:val="0"/>
      <w:marRight w:val="0"/>
      <w:marTop w:val="0"/>
      <w:marBottom w:val="0"/>
      <w:divBdr>
        <w:top w:val="none" w:sz="0" w:space="0" w:color="auto"/>
        <w:left w:val="none" w:sz="0" w:space="0" w:color="auto"/>
        <w:bottom w:val="none" w:sz="0" w:space="0" w:color="auto"/>
        <w:right w:val="none" w:sz="0" w:space="0" w:color="auto"/>
      </w:divBdr>
    </w:div>
    <w:div w:id="708722360">
      <w:bodyDiv w:val="1"/>
      <w:marLeft w:val="0"/>
      <w:marRight w:val="0"/>
      <w:marTop w:val="0"/>
      <w:marBottom w:val="0"/>
      <w:divBdr>
        <w:top w:val="none" w:sz="0" w:space="0" w:color="auto"/>
        <w:left w:val="none" w:sz="0" w:space="0" w:color="auto"/>
        <w:bottom w:val="none" w:sz="0" w:space="0" w:color="auto"/>
        <w:right w:val="none" w:sz="0" w:space="0" w:color="auto"/>
      </w:divBdr>
    </w:div>
    <w:div w:id="715079090">
      <w:bodyDiv w:val="1"/>
      <w:marLeft w:val="0"/>
      <w:marRight w:val="0"/>
      <w:marTop w:val="0"/>
      <w:marBottom w:val="0"/>
      <w:divBdr>
        <w:top w:val="none" w:sz="0" w:space="0" w:color="auto"/>
        <w:left w:val="none" w:sz="0" w:space="0" w:color="auto"/>
        <w:bottom w:val="none" w:sz="0" w:space="0" w:color="auto"/>
        <w:right w:val="none" w:sz="0" w:space="0" w:color="auto"/>
      </w:divBdr>
    </w:div>
    <w:div w:id="718164971">
      <w:bodyDiv w:val="1"/>
      <w:marLeft w:val="0"/>
      <w:marRight w:val="0"/>
      <w:marTop w:val="0"/>
      <w:marBottom w:val="0"/>
      <w:divBdr>
        <w:top w:val="none" w:sz="0" w:space="0" w:color="auto"/>
        <w:left w:val="none" w:sz="0" w:space="0" w:color="auto"/>
        <w:bottom w:val="none" w:sz="0" w:space="0" w:color="auto"/>
        <w:right w:val="none" w:sz="0" w:space="0" w:color="auto"/>
      </w:divBdr>
    </w:div>
    <w:div w:id="785275765">
      <w:bodyDiv w:val="1"/>
      <w:marLeft w:val="0"/>
      <w:marRight w:val="0"/>
      <w:marTop w:val="0"/>
      <w:marBottom w:val="0"/>
      <w:divBdr>
        <w:top w:val="none" w:sz="0" w:space="0" w:color="auto"/>
        <w:left w:val="none" w:sz="0" w:space="0" w:color="auto"/>
        <w:bottom w:val="none" w:sz="0" w:space="0" w:color="auto"/>
        <w:right w:val="none" w:sz="0" w:space="0" w:color="auto"/>
      </w:divBdr>
    </w:div>
    <w:div w:id="891501603">
      <w:bodyDiv w:val="1"/>
      <w:marLeft w:val="0"/>
      <w:marRight w:val="0"/>
      <w:marTop w:val="0"/>
      <w:marBottom w:val="0"/>
      <w:divBdr>
        <w:top w:val="none" w:sz="0" w:space="0" w:color="auto"/>
        <w:left w:val="none" w:sz="0" w:space="0" w:color="auto"/>
        <w:bottom w:val="none" w:sz="0" w:space="0" w:color="auto"/>
        <w:right w:val="none" w:sz="0" w:space="0" w:color="auto"/>
      </w:divBdr>
    </w:div>
    <w:div w:id="1016662884">
      <w:bodyDiv w:val="1"/>
      <w:marLeft w:val="0"/>
      <w:marRight w:val="0"/>
      <w:marTop w:val="0"/>
      <w:marBottom w:val="0"/>
      <w:divBdr>
        <w:top w:val="none" w:sz="0" w:space="0" w:color="auto"/>
        <w:left w:val="none" w:sz="0" w:space="0" w:color="auto"/>
        <w:bottom w:val="none" w:sz="0" w:space="0" w:color="auto"/>
        <w:right w:val="none" w:sz="0" w:space="0" w:color="auto"/>
      </w:divBdr>
    </w:div>
    <w:div w:id="1224369964">
      <w:bodyDiv w:val="1"/>
      <w:marLeft w:val="0"/>
      <w:marRight w:val="0"/>
      <w:marTop w:val="0"/>
      <w:marBottom w:val="0"/>
      <w:divBdr>
        <w:top w:val="none" w:sz="0" w:space="0" w:color="auto"/>
        <w:left w:val="none" w:sz="0" w:space="0" w:color="auto"/>
        <w:bottom w:val="none" w:sz="0" w:space="0" w:color="auto"/>
        <w:right w:val="none" w:sz="0" w:space="0" w:color="auto"/>
      </w:divBdr>
    </w:div>
    <w:div w:id="1226260906">
      <w:bodyDiv w:val="1"/>
      <w:marLeft w:val="0"/>
      <w:marRight w:val="0"/>
      <w:marTop w:val="0"/>
      <w:marBottom w:val="0"/>
      <w:divBdr>
        <w:top w:val="none" w:sz="0" w:space="0" w:color="auto"/>
        <w:left w:val="none" w:sz="0" w:space="0" w:color="auto"/>
        <w:bottom w:val="none" w:sz="0" w:space="0" w:color="auto"/>
        <w:right w:val="none" w:sz="0" w:space="0" w:color="auto"/>
      </w:divBdr>
    </w:div>
    <w:div w:id="1287393687">
      <w:bodyDiv w:val="1"/>
      <w:marLeft w:val="0"/>
      <w:marRight w:val="0"/>
      <w:marTop w:val="0"/>
      <w:marBottom w:val="0"/>
      <w:divBdr>
        <w:top w:val="none" w:sz="0" w:space="0" w:color="auto"/>
        <w:left w:val="none" w:sz="0" w:space="0" w:color="auto"/>
        <w:bottom w:val="none" w:sz="0" w:space="0" w:color="auto"/>
        <w:right w:val="none" w:sz="0" w:space="0" w:color="auto"/>
      </w:divBdr>
    </w:div>
    <w:div w:id="1437285101">
      <w:bodyDiv w:val="1"/>
      <w:marLeft w:val="0"/>
      <w:marRight w:val="0"/>
      <w:marTop w:val="0"/>
      <w:marBottom w:val="0"/>
      <w:divBdr>
        <w:top w:val="none" w:sz="0" w:space="0" w:color="auto"/>
        <w:left w:val="none" w:sz="0" w:space="0" w:color="auto"/>
        <w:bottom w:val="none" w:sz="0" w:space="0" w:color="auto"/>
        <w:right w:val="none" w:sz="0" w:space="0" w:color="auto"/>
      </w:divBdr>
    </w:div>
    <w:div w:id="1523669546">
      <w:bodyDiv w:val="1"/>
      <w:marLeft w:val="0"/>
      <w:marRight w:val="0"/>
      <w:marTop w:val="0"/>
      <w:marBottom w:val="0"/>
      <w:divBdr>
        <w:top w:val="none" w:sz="0" w:space="0" w:color="auto"/>
        <w:left w:val="none" w:sz="0" w:space="0" w:color="auto"/>
        <w:bottom w:val="none" w:sz="0" w:space="0" w:color="auto"/>
        <w:right w:val="none" w:sz="0" w:space="0" w:color="auto"/>
      </w:divBdr>
    </w:div>
    <w:div w:id="1537816757">
      <w:bodyDiv w:val="1"/>
      <w:marLeft w:val="0"/>
      <w:marRight w:val="0"/>
      <w:marTop w:val="0"/>
      <w:marBottom w:val="0"/>
      <w:divBdr>
        <w:top w:val="none" w:sz="0" w:space="0" w:color="auto"/>
        <w:left w:val="none" w:sz="0" w:space="0" w:color="auto"/>
        <w:bottom w:val="none" w:sz="0" w:space="0" w:color="auto"/>
        <w:right w:val="none" w:sz="0" w:space="0" w:color="auto"/>
      </w:divBdr>
    </w:div>
    <w:div w:id="1704937127">
      <w:bodyDiv w:val="1"/>
      <w:marLeft w:val="0"/>
      <w:marRight w:val="0"/>
      <w:marTop w:val="0"/>
      <w:marBottom w:val="0"/>
      <w:divBdr>
        <w:top w:val="none" w:sz="0" w:space="0" w:color="auto"/>
        <w:left w:val="none" w:sz="0" w:space="0" w:color="auto"/>
        <w:bottom w:val="none" w:sz="0" w:space="0" w:color="auto"/>
        <w:right w:val="none" w:sz="0" w:space="0" w:color="auto"/>
      </w:divBdr>
      <w:divsChild>
        <w:div w:id="532615609">
          <w:marLeft w:val="0"/>
          <w:marRight w:val="0"/>
          <w:marTop w:val="0"/>
          <w:marBottom w:val="0"/>
          <w:divBdr>
            <w:top w:val="none" w:sz="0" w:space="0" w:color="auto"/>
            <w:left w:val="none" w:sz="0" w:space="0" w:color="auto"/>
            <w:bottom w:val="none" w:sz="0" w:space="0" w:color="auto"/>
            <w:right w:val="none" w:sz="0" w:space="0" w:color="auto"/>
          </w:divBdr>
        </w:div>
        <w:div w:id="1665040181">
          <w:marLeft w:val="0"/>
          <w:marRight w:val="0"/>
          <w:marTop w:val="0"/>
          <w:marBottom w:val="0"/>
          <w:divBdr>
            <w:top w:val="none" w:sz="0" w:space="0" w:color="auto"/>
            <w:left w:val="none" w:sz="0" w:space="0" w:color="auto"/>
            <w:bottom w:val="none" w:sz="0" w:space="0" w:color="auto"/>
            <w:right w:val="none" w:sz="0" w:space="0" w:color="auto"/>
          </w:divBdr>
          <w:divsChild>
            <w:div w:id="978074657">
              <w:marLeft w:val="0"/>
              <w:marRight w:val="0"/>
              <w:marTop w:val="0"/>
              <w:marBottom w:val="0"/>
              <w:divBdr>
                <w:top w:val="none" w:sz="0" w:space="0" w:color="auto"/>
                <w:left w:val="none" w:sz="0" w:space="0" w:color="auto"/>
                <w:bottom w:val="none" w:sz="0" w:space="0" w:color="auto"/>
                <w:right w:val="none" w:sz="0" w:space="0" w:color="auto"/>
              </w:divBdr>
              <w:divsChild>
                <w:div w:id="509563531">
                  <w:marLeft w:val="0"/>
                  <w:marRight w:val="0"/>
                  <w:marTop w:val="0"/>
                  <w:marBottom w:val="0"/>
                  <w:divBdr>
                    <w:top w:val="none" w:sz="0" w:space="0" w:color="auto"/>
                    <w:left w:val="none" w:sz="0" w:space="0" w:color="auto"/>
                    <w:bottom w:val="none" w:sz="0" w:space="0" w:color="auto"/>
                    <w:right w:val="none" w:sz="0" w:space="0" w:color="auto"/>
                  </w:divBdr>
                  <w:divsChild>
                    <w:div w:id="762649603">
                      <w:marLeft w:val="0"/>
                      <w:marRight w:val="0"/>
                      <w:marTop w:val="0"/>
                      <w:marBottom w:val="0"/>
                      <w:divBdr>
                        <w:top w:val="none" w:sz="0" w:space="0" w:color="auto"/>
                        <w:left w:val="none" w:sz="0" w:space="0" w:color="auto"/>
                        <w:bottom w:val="none" w:sz="0" w:space="0" w:color="auto"/>
                        <w:right w:val="none" w:sz="0" w:space="0" w:color="auto"/>
                      </w:divBdr>
                      <w:divsChild>
                        <w:div w:id="2008897236">
                          <w:marLeft w:val="0"/>
                          <w:marRight w:val="0"/>
                          <w:marTop w:val="60"/>
                          <w:marBottom w:val="300"/>
                          <w:divBdr>
                            <w:top w:val="none" w:sz="0" w:space="0" w:color="auto"/>
                            <w:left w:val="none" w:sz="0" w:space="0" w:color="auto"/>
                            <w:bottom w:val="none" w:sz="0" w:space="0" w:color="auto"/>
                            <w:right w:val="none" w:sz="0" w:space="0" w:color="auto"/>
                          </w:divBdr>
                          <w:divsChild>
                            <w:div w:id="1361931835">
                              <w:marLeft w:val="0"/>
                              <w:marRight w:val="240"/>
                              <w:marTop w:val="0"/>
                              <w:marBottom w:val="0"/>
                              <w:divBdr>
                                <w:top w:val="none" w:sz="0" w:space="0" w:color="auto"/>
                                <w:left w:val="none" w:sz="0" w:space="0" w:color="auto"/>
                                <w:bottom w:val="none" w:sz="0" w:space="0" w:color="auto"/>
                                <w:right w:val="none" w:sz="0" w:space="0" w:color="auto"/>
                              </w:divBdr>
                              <w:divsChild>
                                <w:div w:id="1944417454">
                                  <w:marLeft w:val="0"/>
                                  <w:marRight w:val="0"/>
                                  <w:marTop w:val="0"/>
                                  <w:marBottom w:val="0"/>
                                  <w:divBdr>
                                    <w:top w:val="none" w:sz="0" w:space="0" w:color="auto"/>
                                    <w:left w:val="none" w:sz="0" w:space="0" w:color="auto"/>
                                    <w:bottom w:val="none" w:sz="0" w:space="0" w:color="auto"/>
                                    <w:right w:val="none" w:sz="0" w:space="0" w:color="auto"/>
                                  </w:divBdr>
                                  <w:divsChild>
                                    <w:div w:id="710955070">
                                      <w:marLeft w:val="0"/>
                                      <w:marRight w:val="0"/>
                                      <w:marTop w:val="0"/>
                                      <w:marBottom w:val="0"/>
                                      <w:divBdr>
                                        <w:top w:val="none" w:sz="0" w:space="0" w:color="auto"/>
                                        <w:left w:val="none" w:sz="0" w:space="0" w:color="auto"/>
                                        <w:bottom w:val="none" w:sz="0" w:space="0" w:color="auto"/>
                                        <w:right w:val="none" w:sz="0" w:space="0" w:color="auto"/>
                                      </w:divBdr>
                                      <w:divsChild>
                                        <w:div w:id="532888938">
                                          <w:marLeft w:val="0"/>
                                          <w:marRight w:val="0"/>
                                          <w:marTop w:val="0"/>
                                          <w:marBottom w:val="0"/>
                                          <w:divBdr>
                                            <w:top w:val="none" w:sz="0" w:space="0" w:color="auto"/>
                                            <w:left w:val="none" w:sz="0" w:space="0" w:color="auto"/>
                                            <w:bottom w:val="none" w:sz="0" w:space="0" w:color="auto"/>
                                            <w:right w:val="none" w:sz="0" w:space="0" w:color="auto"/>
                                          </w:divBdr>
                                          <w:divsChild>
                                            <w:div w:id="1246651403">
                                              <w:marLeft w:val="0"/>
                                              <w:marRight w:val="0"/>
                                              <w:marTop w:val="0"/>
                                              <w:marBottom w:val="0"/>
                                              <w:divBdr>
                                                <w:top w:val="none" w:sz="0" w:space="0" w:color="auto"/>
                                                <w:left w:val="none" w:sz="0" w:space="0" w:color="auto"/>
                                                <w:bottom w:val="none" w:sz="0" w:space="0" w:color="auto"/>
                                                <w:right w:val="none" w:sz="0" w:space="0" w:color="auto"/>
                                              </w:divBdr>
                                              <w:divsChild>
                                                <w:div w:id="890268274">
                                                  <w:marLeft w:val="0"/>
                                                  <w:marRight w:val="0"/>
                                                  <w:marTop w:val="0"/>
                                                  <w:marBottom w:val="0"/>
                                                  <w:divBdr>
                                                    <w:top w:val="none" w:sz="0" w:space="0" w:color="auto"/>
                                                    <w:left w:val="none" w:sz="0" w:space="0" w:color="auto"/>
                                                    <w:bottom w:val="none" w:sz="0" w:space="0" w:color="auto"/>
                                                    <w:right w:val="none" w:sz="0" w:space="0" w:color="auto"/>
                                                  </w:divBdr>
                                                  <w:divsChild>
                                                    <w:div w:id="130326642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36673531">
      <w:bodyDiv w:val="1"/>
      <w:marLeft w:val="0"/>
      <w:marRight w:val="0"/>
      <w:marTop w:val="0"/>
      <w:marBottom w:val="0"/>
      <w:divBdr>
        <w:top w:val="none" w:sz="0" w:space="0" w:color="auto"/>
        <w:left w:val="none" w:sz="0" w:space="0" w:color="auto"/>
        <w:bottom w:val="none" w:sz="0" w:space="0" w:color="auto"/>
        <w:right w:val="none" w:sz="0" w:space="0" w:color="auto"/>
      </w:divBdr>
      <w:divsChild>
        <w:div w:id="1013148662">
          <w:marLeft w:val="0"/>
          <w:marRight w:val="0"/>
          <w:marTop w:val="0"/>
          <w:marBottom w:val="0"/>
          <w:divBdr>
            <w:top w:val="none" w:sz="0" w:space="0" w:color="auto"/>
            <w:left w:val="none" w:sz="0" w:space="0" w:color="auto"/>
            <w:bottom w:val="none" w:sz="0" w:space="0" w:color="auto"/>
            <w:right w:val="none" w:sz="0" w:space="0" w:color="auto"/>
          </w:divBdr>
          <w:divsChild>
            <w:div w:id="676691578">
              <w:marLeft w:val="0"/>
              <w:marRight w:val="0"/>
              <w:marTop w:val="0"/>
              <w:marBottom w:val="0"/>
              <w:divBdr>
                <w:top w:val="none" w:sz="0" w:space="0" w:color="auto"/>
                <w:left w:val="none" w:sz="0" w:space="0" w:color="auto"/>
                <w:bottom w:val="none" w:sz="0" w:space="0" w:color="auto"/>
                <w:right w:val="none" w:sz="0" w:space="0" w:color="auto"/>
              </w:divBdr>
              <w:divsChild>
                <w:div w:id="108547328">
                  <w:marLeft w:val="0"/>
                  <w:marRight w:val="0"/>
                  <w:marTop w:val="0"/>
                  <w:marBottom w:val="0"/>
                  <w:divBdr>
                    <w:top w:val="none" w:sz="0" w:space="0" w:color="auto"/>
                    <w:left w:val="none" w:sz="0" w:space="0" w:color="auto"/>
                    <w:bottom w:val="none" w:sz="0" w:space="0" w:color="auto"/>
                    <w:right w:val="none" w:sz="0" w:space="0" w:color="auto"/>
                  </w:divBdr>
                  <w:divsChild>
                    <w:div w:id="308246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5939858">
      <w:bodyDiv w:val="1"/>
      <w:marLeft w:val="0"/>
      <w:marRight w:val="0"/>
      <w:marTop w:val="0"/>
      <w:marBottom w:val="0"/>
      <w:divBdr>
        <w:top w:val="none" w:sz="0" w:space="0" w:color="auto"/>
        <w:left w:val="none" w:sz="0" w:space="0" w:color="auto"/>
        <w:bottom w:val="none" w:sz="0" w:space="0" w:color="auto"/>
        <w:right w:val="none" w:sz="0" w:space="0" w:color="auto"/>
      </w:divBdr>
      <w:divsChild>
        <w:div w:id="1758556675">
          <w:marLeft w:val="0"/>
          <w:marRight w:val="0"/>
          <w:marTop w:val="0"/>
          <w:marBottom w:val="0"/>
          <w:divBdr>
            <w:top w:val="none" w:sz="0" w:space="0" w:color="auto"/>
            <w:left w:val="none" w:sz="0" w:space="0" w:color="auto"/>
            <w:bottom w:val="none" w:sz="0" w:space="0" w:color="auto"/>
            <w:right w:val="none" w:sz="0" w:space="0" w:color="auto"/>
          </w:divBdr>
          <w:divsChild>
            <w:div w:id="212017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0364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oleObject" Target="embeddings/oleObject1.bin"/><Relationship Id="rId45" Type="http://schemas.openxmlformats.org/officeDocument/2006/relationships/image" Target="media/image3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image" Target="media/image35.png"/><Relationship Id="rId20" Type="http://schemas.openxmlformats.org/officeDocument/2006/relationships/image" Target="media/image10.emf"/><Relationship Id="rId4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EBAA06-D70A-4C86-85A6-32051E721BDA}">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customXml/itemProps2.xml><?xml version="1.0" encoding="utf-8"?>
<ds:datastoreItem xmlns:ds="http://schemas.openxmlformats.org/officeDocument/2006/customXml" ds:itemID="{22F3BFA0-D903-4BA6-9314-DAF71997E705}">
  <ds:schemaRefs>
    <ds:schemaRef ds:uri="http://schemas.microsoft.com/sharepoint/v3/contenttype/forms"/>
  </ds:schemaRefs>
</ds:datastoreItem>
</file>

<file path=customXml/itemProps3.xml><?xml version="1.0" encoding="utf-8"?>
<ds:datastoreItem xmlns:ds="http://schemas.openxmlformats.org/officeDocument/2006/customXml" ds:itemID="{F0C23059-9552-4162-BCB3-0557D30350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09CF6C-BAF1-0B42-9102-F6A65DC51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1059</TotalTime>
  <Pages>95</Pages>
  <Words>42989</Words>
  <Characters>245042</Characters>
  <Application>Microsoft Office Word</Application>
  <DocSecurity>0</DocSecurity>
  <Lines>2042</Lines>
  <Paragraphs>574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287457</CharactersWithSpaces>
  <SharedDoc>false</SharedDoc>
  <HLinks>
    <vt:vector size="1218" baseType="variant">
      <vt:variant>
        <vt:i4>1376304</vt:i4>
      </vt:variant>
      <vt:variant>
        <vt:i4>1370</vt:i4>
      </vt:variant>
      <vt:variant>
        <vt:i4>0</vt:i4>
      </vt:variant>
      <vt:variant>
        <vt:i4>5</vt:i4>
      </vt:variant>
      <vt:variant>
        <vt:lpwstr/>
      </vt:variant>
      <vt:variant>
        <vt:lpwstr>_Toc178786145</vt:lpwstr>
      </vt:variant>
      <vt:variant>
        <vt:i4>1376304</vt:i4>
      </vt:variant>
      <vt:variant>
        <vt:i4>1367</vt:i4>
      </vt:variant>
      <vt:variant>
        <vt:i4>0</vt:i4>
      </vt:variant>
      <vt:variant>
        <vt:i4>5</vt:i4>
      </vt:variant>
      <vt:variant>
        <vt:lpwstr/>
      </vt:variant>
      <vt:variant>
        <vt:lpwstr>_Toc178786144</vt:lpwstr>
      </vt:variant>
      <vt:variant>
        <vt:i4>1376304</vt:i4>
      </vt:variant>
      <vt:variant>
        <vt:i4>1364</vt:i4>
      </vt:variant>
      <vt:variant>
        <vt:i4>0</vt:i4>
      </vt:variant>
      <vt:variant>
        <vt:i4>5</vt:i4>
      </vt:variant>
      <vt:variant>
        <vt:lpwstr/>
      </vt:variant>
      <vt:variant>
        <vt:lpwstr>_Toc178786143</vt:lpwstr>
      </vt:variant>
      <vt:variant>
        <vt:i4>1376304</vt:i4>
      </vt:variant>
      <vt:variant>
        <vt:i4>1361</vt:i4>
      </vt:variant>
      <vt:variant>
        <vt:i4>0</vt:i4>
      </vt:variant>
      <vt:variant>
        <vt:i4>5</vt:i4>
      </vt:variant>
      <vt:variant>
        <vt:lpwstr/>
      </vt:variant>
      <vt:variant>
        <vt:lpwstr>_Toc178786142</vt:lpwstr>
      </vt:variant>
      <vt:variant>
        <vt:i4>1376304</vt:i4>
      </vt:variant>
      <vt:variant>
        <vt:i4>1358</vt:i4>
      </vt:variant>
      <vt:variant>
        <vt:i4>0</vt:i4>
      </vt:variant>
      <vt:variant>
        <vt:i4>5</vt:i4>
      </vt:variant>
      <vt:variant>
        <vt:lpwstr/>
      </vt:variant>
      <vt:variant>
        <vt:lpwstr>_Toc178786141</vt:lpwstr>
      </vt:variant>
      <vt:variant>
        <vt:i4>1376304</vt:i4>
      </vt:variant>
      <vt:variant>
        <vt:i4>1355</vt:i4>
      </vt:variant>
      <vt:variant>
        <vt:i4>0</vt:i4>
      </vt:variant>
      <vt:variant>
        <vt:i4>5</vt:i4>
      </vt:variant>
      <vt:variant>
        <vt:lpwstr/>
      </vt:variant>
      <vt:variant>
        <vt:lpwstr>_Toc178786140</vt:lpwstr>
      </vt:variant>
      <vt:variant>
        <vt:i4>1179696</vt:i4>
      </vt:variant>
      <vt:variant>
        <vt:i4>1352</vt:i4>
      </vt:variant>
      <vt:variant>
        <vt:i4>0</vt:i4>
      </vt:variant>
      <vt:variant>
        <vt:i4>5</vt:i4>
      </vt:variant>
      <vt:variant>
        <vt:lpwstr/>
      </vt:variant>
      <vt:variant>
        <vt:lpwstr>_Toc178786139</vt:lpwstr>
      </vt:variant>
      <vt:variant>
        <vt:i4>1179696</vt:i4>
      </vt:variant>
      <vt:variant>
        <vt:i4>1349</vt:i4>
      </vt:variant>
      <vt:variant>
        <vt:i4>0</vt:i4>
      </vt:variant>
      <vt:variant>
        <vt:i4>5</vt:i4>
      </vt:variant>
      <vt:variant>
        <vt:lpwstr/>
      </vt:variant>
      <vt:variant>
        <vt:lpwstr>_Toc178786138</vt:lpwstr>
      </vt:variant>
      <vt:variant>
        <vt:i4>1179696</vt:i4>
      </vt:variant>
      <vt:variant>
        <vt:i4>1346</vt:i4>
      </vt:variant>
      <vt:variant>
        <vt:i4>0</vt:i4>
      </vt:variant>
      <vt:variant>
        <vt:i4>5</vt:i4>
      </vt:variant>
      <vt:variant>
        <vt:lpwstr/>
      </vt:variant>
      <vt:variant>
        <vt:lpwstr>_Toc178786137</vt:lpwstr>
      </vt:variant>
      <vt:variant>
        <vt:i4>1179696</vt:i4>
      </vt:variant>
      <vt:variant>
        <vt:i4>1343</vt:i4>
      </vt:variant>
      <vt:variant>
        <vt:i4>0</vt:i4>
      </vt:variant>
      <vt:variant>
        <vt:i4>5</vt:i4>
      </vt:variant>
      <vt:variant>
        <vt:lpwstr/>
      </vt:variant>
      <vt:variant>
        <vt:lpwstr>_Toc178786136</vt:lpwstr>
      </vt:variant>
      <vt:variant>
        <vt:i4>1179696</vt:i4>
      </vt:variant>
      <vt:variant>
        <vt:i4>1340</vt:i4>
      </vt:variant>
      <vt:variant>
        <vt:i4>0</vt:i4>
      </vt:variant>
      <vt:variant>
        <vt:i4>5</vt:i4>
      </vt:variant>
      <vt:variant>
        <vt:lpwstr/>
      </vt:variant>
      <vt:variant>
        <vt:lpwstr>_Toc178786135</vt:lpwstr>
      </vt:variant>
      <vt:variant>
        <vt:i4>1179696</vt:i4>
      </vt:variant>
      <vt:variant>
        <vt:i4>1337</vt:i4>
      </vt:variant>
      <vt:variant>
        <vt:i4>0</vt:i4>
      </vt:variant>
      <vt:variant>
        <vt:i4>5</vt:i4>
      </vt:variant>
      <vt:variant>
        <vt:lpwstr/>
      </vt:variant>
      <vt:variant>
        <vt:lpwstr>_Toc178786134</vt:lpwstr>
      </vt:variant>
      <vt:variant>
        <vt:i4>1179696</vt:i4>
      </vt:variant>
      <vt:variant>
        <vt:i4>1334</vt:i4>
      </vt:variant>
      <vt:variant>
        <vt:i4>0</vt:i4>
      </vt:variant>
      <vt:variant>
        <vt:i4>5</vt:i4>
      </vt:variant>
      <vt:variant>
        <vt:lpwstr/>
      </vt:variant>
      <vt:variant>
        <vt:lpwstr>_Toc178786133</vt:lpwstr>
      </vt:variant>
      <vt:variant>
        <vt:i4>1179696</vt:i4>
      </vt:variant>
      <vt:variant>
        <vt:i4>1331</vt:i4>
      </vt:variant>
      <vt:variant>
        <vt:i4>0</vt:i4>
      </vt:variant>
      <vt:variant>
        <vt:i4>5</vt:i4>
      </vt:variant>
      <vt:variant>
        <vt:lpwstr/>
      </vt:variant>
      <vt:variant>
        <vt:lpwstr>_Toc178786132</vt:lpwstr>
      </vt:variant>
      <vt:variant>
        <vt:i4>1179696</vt:i4>
      </vt:variant>
      <vt:variant>
        <vt:i4>1328</vt:i4>
      </vt:variant>
      <vt:variant>
        <vt:i4>0</vt:i4>
      </vt:variant>
      <vt:variant>
        <vt:i4>5</vt:i4>
      </vt:variant>
      <vt:variant>
        <vt:lpwstr/>
      </vt:variant>
      <vt:variant>
        <vt:lpwstr>_Toc178786131</vt:lpwstr>
      </vt:variant>
      <vt:variant>
        <vt:i4>1179696</vt:i4>
      </vt:variant>
      <vt:variant>
        <vt:i4>1325</vt:i4>
      </vt:variant>
      <vt:variant>
        <vt:i4>0</vt:i4>
      </vt:variant>
      <vt:variant>
        <vt:i4>5</vt:i4>
      </vt:variant>
      <vt:variant>
        <vt:lpwstr/>
      </vt:variant>
      <vt:variant>
        <vt:lpwstr>_Toc178786130</vt:lpwstr>
      </vt:variant>
      <vt:variant>
        <vt:i4>1245232</vt:i4>
      </vt:variant>
      <vt:variant>
        <vt:i4>1322</vt:i4>
      </vt:variant>
      <vt:variant>
        <vt:i4>0</vt:i4>
      </vt:variant>
      <vt:variant>
        <vt:i4>5</vt:i4>
      </vt:variant>
      <vt:variant>
        <vt:lpwstr/>
      </vt:variant>
      <vt:variant>
        <vt:lpwstr>_Toc178786129</vt:lpwstr>
      </vt:variant>
      <vt:variant>
        <vt:i4>1245232</vt:i4>
      </vt:variant>
      <vt:variant>
        <vt:i4>1319</vt:i4>
      </vt:variant>
      <vt:variant>
        <vt:i4>0</vt:i4>
      </vt:variant>
      <vt:variant>
        <vt:i4>5</vt:i4>
      </vt:variant>
      <vt:variant>
        <vt:lpwstr/>
      </vt:variant>
      <vt:variant>
        <vt:lpwstr>_Toc178786128</vt:lpwstr>
      </vt:variant>
      <vt:variant>
        <vt:i4>1245232</vt:i4>
      </vt:variant>
      <vt:variant>
        <vt:i4>1316</vt:i4>
      </vt:variant>
      <vt:variant>
        <vt:i4>0</vt:i4>
      </vt:variant>
      <vt:variant>
        <vt:i4>5</vt:i4>
      </vt:variant>
      <vt:variant>
        <vt:lpwstr/>
      </vt:variant>
      <vt:variant>
        <vt:lpwstr>_Toc178786127</vt:lpwstr>
      </vt:variant>
      <vt:variant>
        <vt:i4>1245232</vt:i4>
      </vt:variant>
      <vt:variant>
        <vt:i4>1313</vt:i4>
      </vt:variant>
      <vt:variant>
        <vt:i4>0</vt:i4>
      </vt:variant>
      <vt:variant>
        <vt:i4>5</vt:i4>
      </vt:variant>
      <vt:variant>
        <vt:lpwstr/>
      </vt:variant>
      <vt:variant>
        <vt:lpwstr>_Toc178786126</vt:lpwstr>
      </vt:variant>
      <vt:variant>
        <vt:i4>1245232</vt:i4>
      </vt:variant>
      <vt:variant>
        <vt:i4>1310</vt:i4>
      </vt:variant>
      <vt:variant>
        <vt:i4>0</vt:i4>
      </vt:variant>
      <vt:variant>
        <vt:i4>5</vt:i4>
      </vt:variant>
      <vt:variant>
        <vt:lpwstr/>
      </vt:variant>
      <vt:variant>
        <vt:lpwstr>_Toc178786125</vt:lpwstr>
      </vt:variant>
      <vt:variant>
        <vt:i4>1245232</vt:i4>
      </vt:variant>
      <vt:variant>
        <vt:i4>1307</vt:i4>
      </vt:variant>
      <vt:variant>
        <vt:i4>0</vt:i4>
      </vt:variant>
      <vt:variant>
        <vt:i4>5</vt:i4>
      </vt:variant>
      <vt:variant>
        <vt:lpwstr/>
      </vt:variant>
      <vt:variant>
        <vt:lpwstr>_Toc178786124</vt:lpwstr>
      </vt:variant>
      <vt:variant>
        <vt:i4>1245232</vt:i4>
      </vt:variant>
      <vt:variant>
        <vt:i4>1304</vt:i4>
      </vt:variant>
      <vt:variant>
        <vt:i4>0</vt:i4>
      </vt:variant>
      <vt:variant>
        <vt:i4>5</vt:i4>
      </vt:variant>
      <vt:variant>
        <vt:lpwstr/>
      </vt:variant>
      <vt:variant>
        <vt:lpwstr>_Toc178786123</vt:lpwstr>
      </vt:variant>
      <vt:variant>
        <vt:i4>1245232</vt:i4>
      </vt:variant>
      <vt:variant>
        <vt:i4>1301</vt:i4>
      </vt:variant>
      <vt:variant>
        <vt:i4>0</vt:i4>
      </vt:variant>
      <vt:variant>
        <vt:i4>5</vt:i4>
      </vt:variant>
      <vt:variant>
        <vt:lpwstr/>
      </vt:variant>
      <vt:variant>
        <vt:lpwstr>_Toc178786122</vt:lpwstr>
      </vt:variant>
      <vt:variant>
        <vt:i4>1245232</vt:i4>
      </vt:variant>
      <vt:variant>
        <vt:i4>1298</vt:i4>
      </vt:variant>
      <vt:variant>
        <vt:i4>0</vt:i4>
      </vt:variant>
      <vt:variant>
        <vt:i4>5</vt:i4>
      </vt:variant>
      <vt:variant>
        <vt:lpwstr/>
      </vt:variant>
      <vt:variant>
        <vt:lpwstr>_Toc178786121</vt:lpwstr>
      </vt:variant>
      <vt:variant>
        <vt:i4>1245232</vt:i4>
      </vt:variant>
      <vt:variant>
        <vt:i4>1295</vt:i4>
      </vt:variant>
      <vt:variant>
        <vt:i4>0</vt:i4>
      </vt:variant>
      <vt:variant>
        <vt:i4>5</vt:i4>
      </vt:variant>
      <vt:variant>
        <vt:lpwstr/>
      </vt:variant>
      <vt:variant>
        <vt:lpwstr>_Toc178786120</vt:lpwstr>
      </vt:variant>
      <vt:variant>
        <vt:i4>1048624</vt:i4>
      </vt:variant>
      <vt:variant>
        <vt:i4>1292</vt:i4>
      </vt:variant>
      <vt:variant>
        <vt:i4>0</vt:i4>
      </vt:variant>
      <vt:variant>
        <vt:i4>5</vt:i4>
      </vt:variant>
      <vt:variant>
        <vt:lpwstr/>
      </vt:variant>
      <vt:variant>
        <vt:lpwstr>_Toc178786119</vt:lpwstr>
      </vt:variant>
      <vt:variant>
        <vt:i4>1048624</vt:i4>
      </vt:variant>
      <vt:variant>
        <vt:i4>1289</vt:i4>
      </vt:variant>
      <vt:variant>
        <vt:i4>0</vt:i4>
      </vt:variant>
      <vt:variant>
        <vt:i4>5</vt:i4>
      </vt:variant>
      <vt:variant>
        <vt:lpwstr/>
      </vt:variant>
      <vt:variant>
        <vt:lpwstr>_Toc178786118</vt:lpwstr>
      </vt:variant>
      <vt:variant>
        <vt:i4>1048624</vt:i4>
      </vt:variant>
      <vt:variant>
        <vt:i4>1286</vt:i4>
      </vt:variant>
      <vt:variant>
        <vt:i4>0</vt:i4>
      </vt:variant>
      <vt:variant>
        <vt:i4>5</vt:i4>
      </vt:variant>
      <vt:variant>
        <vt:lpwstr/>
      </vt:variant>
      <vt:variant>
        <vt:lpwstr>_Toc178786117</vt:lpwstr>
      </vt:variant>
      <vt:variant>
        <vt:i4>1048624</vt:i4>
      </vt:variant>
      <vt:variant>
        <vt:i4>1283</vt:i4>
      </vt:variant>
      <vt:variant>
        <vt:i4>0</vt:i4>
      </vt:variant>
      <vt:variant>
        <vt:i4>5</vt:i4>
      </vt:variant>
      <vt:variant>
        <vt:lpwstr/>
      </vt:variant>
      <vt:variant>
        <vt:lpwstr>_Toc178786116</vt:lpwstr>
      </vt:variant>
      <vt:variant>
        <vt:i4>1048624</vt:i4>
      </vt:variant>
      <vt:variant>
        <vt:i4>1280</vt:i4>
      </vt:variant>
      <vt:variant>
        <vt:i4>0</vt:i4>
      </vt:variant>
      <vt:variant>
        <vt:i4>5</vt:i4>
      </vt:variant>
      <vt:variant>
        <vt:lpwstr/>
      </vt:variant>
      <vt:variant>
        <vt:lpwstr>_Toc178786115</vt:lpwstr>
      </vt:variant>
      <vt:variant>
        <vt:i4>1048624</vt:i4>
      </vt:variant>
      <vt:variant>
        <vt:i4>1277</vt:i4>
      </vt:variant>
      <vt:variant>
        <vt:i4>0</vt:i4>
      </vt:variant>
      <vt:variant>
        <vt:i4>5</vt:i4>
      </vt:variant>
      <vt:variant>
        <vt:lpwstr/>
      </vt:variant>
      <vt:variant>
        <vt:lpwstr>_Toc178786114</vt:lpwstr>
      </vt:variant>
      <vt:variant>
        <vt:i4>1048624</vt:i4>
      </vt:variant>
      <vt:variant>
        <vt:i4>1274</vt:i4>
      </vt:variant>
      <vt:variant>
        <vt:i4>0</vt:i4>
      </vt:variant>
      <vt:variant>
        <vt:i4>5</vt:i4>
      </vt:variant>
      <vt:variant>
        <vt:lpwstr/>
      </vt:variant>
      <vt:variant>
        <vt:lpwstr>_Toc178786113</vt:lpwstr>
      </vt:variant>
      <vt:variant>
        <vt:i4>1048624</vt:i4>
      </vt:variant>
      <vt:variant>
        <vt:i4>1271</vt:i4>
      </vt:variant>
      <vt:variant>
        <vt:i4>0</vt:i4>
      </vt:variant>
      <vt:variant>
        <vt:i4>5</vt:i4>
      </vt:variant>
      <vt:variant>
        <vt:lpwstr/>
      </vt:variant>
      <vt:variant>
        <vt:lpwstr>_Toc178786112</vt:lpwstr>
      </vt:variant>
      <vt:variant>
        <vt:i4>1048624</vt:i4>
      </vt:variant>
      <vt:variant>
        <vt:i4>1268</vt:i4>
      </vt:variant>
      <vt:variant>
        <vt:i4>0</vt:i4>
      </vt:variant>
      <vt:variant>
        <vt:i4>5</vt:i4>
      </vt:variant>
      <vt:variant>
        <vt:lpwstr/>
      </vt:variant>
      <vt:variant>
        <vt:lpwstr>_Toc178786111</vt:lpwstr>
      </vt:variant>
      <vt:variant>
        <vt:i4>1048624</vt:i4>
      </vt:variant>
      <vt:variant>
        <vt:i4>1265</vt:i4>
      </vt:variant>
      <vt:variant>
        <vt:i4>0</vt:i4>
      </vt:variant>
      <vt:variant>
        <vt:i4>5</vt:i4>
      </vt:variant>
      <vt:variant>
        <vt:lpwstr/>
      </vt:variant>
      <vt:variant>
        <vt:lpwstr>_Toc178786110</vt:lpwstr>
      </vt:variant>
      <vt:variant>
        <vt:i4>1114160</vt:i4>
      </vt:variant>
      <vt:variant>
        <vt:i4>1262</vt:i4>
      </vt:variant>
      <vt:variant>
        <vt:i4>0</vt:i4>
      </vt:variant>
      <vt:variant>
        <vt:i4>5</vt:i4>
      </vt:variant>
      <vt:variant>
        <vt:lpwstr/>
      </vt:variant>
      <vt:variant>
        <vt:lpwstr>_Toc178786109</vt:lpwstr>
      </vt:variant>
      <vt:variant>
        <vt:i4>1114160</vt:i4>
      </vt:variant>
      <vt:variant>
        <vt:i4>1259</vt:i4>
      </vt:variant>
      <vt:variant>
        <vt:i4>0</vt:i4>
      </vt:variant>
      <vt:variant>
        <vt:i4>5</vt:i4>
      </vt:variant>
      <vt:variant>
        <vt:lpwstr/>
      </vt:variant>
      <vt:variant>
        <vt:lpwstr>_Toc178786108</vt:lpwstr>
      </vt:variant>
      <vt:variant>
        <vt:i4>1114160</vt:i4>
      </vt:variant>
      <vt:variant>
        <vt:i4>1256</vt:i4>
      </vt:variant>
      <vt:variant>
        <vt:i4>0</vt:i4>
      </vt:variant>
      <vt:variant>
        <vt:i4>5</vt:i4>
      </vt:variant>
      <vt:variant>
        <vt:lpwstr/>
      </vt:variant>
      <vt:variant>
        <vt:lpwstr>_Toc178786107</vt:lpwstr>
      </vt:variant>
      <vt:variant>
        <vt:i4>1114160</vt:i4>
      </vt:variant>
      <vt:variant>
        <vt:i4>1253</vt:i4>
      </vt:variant>
      <vt:variant>
        <vt:i4>0</vt:i4>
      </vt:variant>
      <vt:variant>
        <vt:i4>5</vt:i4>
      </vt:variant>
      <vt:variant>
        <vt:lpwstr/>
      </vt:variant>
      <vt:variant>
        <vt:lpwstr>_Toc178786106</vt:lpwstr>
      </vt:variant>
      <vt:variant>
        <vt:i4>1114160</vt:i4>
      </vt:variant>
      <vt:variant>
        <vt:i4>1250</vt:i4>
      </vt:variant>
      <vt:variant>
        <vt:i4>0</vt:i4>
      </vt:variant>
      <vt:variant>
        <vt:i4>5</vt:i4>
      </vt:variant>
      <vt:variant>
        <vt:lpwstr/>
      </vt:variant>
      <vt:variant>
        <vt:lpwstr>_Toc178786105</vt:lpwstr>
      </vt:variant>
      <vt:variant>
        <vt:i4>1114160</vt:i4>
      </vt:variant>
      <vt:variant>
        <vt:i4>1247</vt:i4>
      </vt:variant>
      <vt:variant>
        <vt:i4>0</vt:i4>
      </vt:variant>
      <vt:variant>
        <vt:i4>5</vt:i4>
      </vt:variant>
      <vt:variant>
        <vt:lpwstr/>
      </vt:variant>
      <vt:variant>
        <vt:lpwstr>_Toc178786104</vt:lpwstr>
      </vt:variant>
      <vt:variant>
        <vt:i4>1114160</vt:i4>
      </vt:variant>
      <vt:variant>
        <vt:i4>1244</vt:i4>
      </vt:variant>
      <vt:variant>
        <vt:i4>0</vt:i4>
      </vt:variant>
      <vt:variant>
        <vt:i4>5</vt:i4>
      </vt:variant>
      <vt:variant>
        <vt:lpwstr/>
      </vt:variant>
      <vt:variant>
        <vt:lpwstr>_Toc178786103</vt:lpwstr>
      </vt:variant>
      <vt:variant>
        <vt:i4>1114160</vt:i4>
      </vt:variant>
      <vt:variant>
        <vt:i4>1241</vt:i4>
      </vt:variant>
      <vt:variant>
        <vt:i4>0</vt:i4>
      </vt:variant>
      <vt:variant>
        <vt:i4>5</vt:i4>
      </vt:variant>
      <vt:variant>
        <vt:lpwstr/>
      </vt:variant>
      <vt:variant>
        <vt:lpwstr>_Toc178786102</vt:lpwstr>
      </vt:variant>
      <vt:variant>
        <vt:i4>1114160</vt:i4>
      </vt:variant>
      <vt:variant>
        <vt:i4>1238</vt:i4>
      </vt:variant>
      <vt:variant>
        <vt:i4>0</vt:i4>
      </vt:variant>
      <vt:variant>
        <vt:i4>5</vt:i4>
      </vt:variant>
      <vt:variant>
        <vt:lpwstr/>
      </vt:variant>
      <vt:variant>
        <vt:lpwstr>_Toc178786101</vt:lpwstr>
      </vt:variant>
      <vt:variant>
        <vt:i4>1114160</vt:i4>
      </vt:variant>
      <vt:variant>
        <vt:i4>1235</vt:i4>
      </vt:variant>
      <vt:variant>
        <vt:i4>0</vt:i4>
      </vt:variant>
      <vt:variant>
        <vt:i4>5</vt:i4>
      </vt:variant>
      <vt:variant>
        <vt:lpwstr/>
      </vt:variant>
      <vt:variant>
        <vt:lpwstr>_Toc178786100</vt:lpwstr>
      </vt:variant>
      <vt:variant>
        <vt:i4>1572913</vt:i4>
      </vt:variant>
      <vt:variant>
        <vt:i4>1232</vt:i4>
      </vt:variant>
      <vt:variant>
        <vt:i4>0</vt:i4>
      </vt:variant>
      <vt:variant>
        <vt:i4>5</vt:i4>
      </vt:variant>
      <vt:variant>
        <vt:lpwstr/>
      </vt:variant>
      <vt:variant>
        <vt:lpwstr>_Toc178786099</vt:lpwstr>
      </vt:variant>
      <vt:variant>
        <vt:i4>1572913</vt:i4>
      </vt:variant>
      <vt:variant>
        <vt:i4>1229</vt:i4>
      </vt:variant>
      <vt:variant>
        <vt:i4>0</vt:i4>
      </vt:variant>
      <vt:variant>
        <vt:i4>5</vt:i4>
      </vt:variant>
      <vt:variant>
        <vt:lpwstr/>
      </vt:variant>
      <vt:variant>
        <vt:lpwstr>_Toc178786098</vt:lpwstr>
      </vt:variant>
      <vt:variant>
        <vt:i4>1572913</vt:i4>
      </vt:variant>
      <vt:variant>
        <vt:i4>1226</vt:i4>
      </vt:variant>
      <vt:variant>
        <vt:i4>0</vt:i4>
      </vt:variant>
      <vt:variant>
        <vt:i4>5</vt:i4>
      </vt:variant>
      <vt:variant>
        <vt:lpwstr/>
      </vt:variant>
      <vt:variant>
        <vt:lpwstr>_Toc178786097</vt:lpwstr>
      </vt:variant>
      <vt:variant>
        <vt:i4>1572913</vt:i4>
      </vt:variant>
      <vt:variant>
        <vt:i4>1223</vt:i4>
      </vt:variant>
      <vt:variant>
        <vt:i4>0</vt:i4>
      </vt:variant>
      <vt:variant>
        <vt:i4>5</vt:i4>
      </vt:variant>
      <vt:variant>
        <vt:lpwstr/>
      </vt:variant>
      <vt:variant>
        <vt:lpwstr>_Toc178786096</vt:lpwstr>
      </vt:variant>
      <vt:variant>
        <vt:i4>1572913</vt:i4>
      </vt:variant>
      <vt:variant>
        <vt:i4>1220</vt:i4>
      </vt:variant>
      <vt:variant>
        <vt:i4>0</vt:i4>
      </vt:variant>
      <vt:variant>
        <vt:i4>5</vt:i4>
      </vt:variant>
      <vt:variant>
        <vt:lpwstr/>
      </vt:variant>
      <vt:variant>
        <vt:lpwstr>_Toc178786095</vt:lpwstr>
      </vt:variant>
      <vt:variant>
        <vt:i4>1572913</vt:i4>
      </vt:variant>
      <vt:variant>
        <vt:i4>1217</vt:i4>
      </vt:variant>
      <vt:variant>
        <vt:i4>0</vt:i4>
      </vt:variant>
      <vt:variant>
        <vt:i4>5</vt:i4>
      </vt:variant>
      <vt:variant>
        <vt:lpwstr/>
      </vt:variant>
      <vt:variant>
        <vt:lpwstr>_Toc178786094</vt:lpwstr>
      </vt:variant>
      <vt:variant>
        <vt:i4>1572913</vt:i4>
      </vt:variant>
      <vt:variant>
        <vt:i4>1214</vt:i4>
      </vt:variant>
      <vt:variant>
        <vt:i4>0</vt:i4>
      </vt:variant>
      <vt:variant>
        <vt:i4>5</vt:i4>
      </vt:variant>
      <vt:variant>
        <vt:lpwstr/>
      </vt:variant>
      <vt:variant>
        <vt:lpwstr>_Toc178786093</vt:lpwstr>
      </vt:variant>
      <vt:variant>
        <vt:i4>1572913</vt:i4>
      </vt:variant>
      <vt:variant>
        <vt:i4>1211</vt:i4>
      </vt:variant>
      <vt:variant>
        <vt:i4>0</vt:i4>
      </vt:variant>
      <vt:variant>
        <vt:i4>5</vt:i4>
      </vt:variant>
      <vt:variant>
        <vt:lpwstr/>
      </vt:variant>
      <vt:variant>
        <vt:lpwstr>_Toc178786092</vt:lpwstr>
      </vt:variant>
      <vt:variant>
        <vt:i4>1572913</vt:i4>
      </vt:variant>
      <vt:variant>
        <vt:i4>1208</vt:i4>
      </vt:variant>
      <vt:variant>
        <vt:i4>0</vt:i4>
      </vt:variant>
      <vt:variant>
        <vt:i4>5</vt:i4>
      </vt:variant>
      <vt:variant>
        <vt:lpwstr/>
      </vt:variant>
      <vt:variant>
        <vt:lpwstr>_Toc178786091</vt:lpwstr>
      </vt:variant>
      <vt:variant>
        <vt:i4>1572913</vt:i4>
      </vt:variant>
      <vt:variant>
        <vt:i4>1205</vt:i4>
      </vt:variant>
      <vt:variant>
        <vt:i4>0</vt:i4>
      </vt:variant>
      <vt:variant>
        <vt:i4>5</vt:i4>
      </vt:variant>
      <vt:variant>
        <vt:lpwstr/>
      </vt:variant>
      <vt:variant>
        <vt:lpwstr>_Toc178786090</vt:lpwstr>
      </vt:variant>
      <vt:variant>
        <vt:i4>1638449</vt:i4>
      </vt:variant>
      <vt:variant>
        <vt:i4>1202</vt:i4>
      </vt:variant>
      <vt:variant>
        <vt:i4>0</vt:i4>
      </vt:variant>
      <vt:variant>
        <vt:i4>5</vt:i4>
      </vt:variant>
      <vt:variant>
        <vt:lpwstr/>
      </vt:variant>
      <vt:variant>
        <vt:lpwstr>_Toc178786089</vt:lpwstr>
      </vt:variant>
      <vt:variant>
        <vt:i4>1638449</vt:i4>
      </vt:variant>
      <vt:variant>
        <vt:i4>1199</vt:i4>
      </vt:variant>
      <vt:variant>
        <vt:i4>0</vt:i4>
      </vt:variant>
      <vt:variant>
        <vt:i4>5</vt:i4>
      </vt:variant>
      <vt:variant>
        <vt:lpwstr/>
      </vt:variant>
      <vt:variant>
        <vt:lpwstr>_Toc178786088</vt:lpwstr>
      </vt:variant>
      <vt:variant>
        <vt:i4>1638449</vt:i4>
      </vt:variant>
      <vt:variant>
        <vt:i4>1196</vt:i4>
      </vt:variant>
      <vt:variant>
        <vt:i4>0</vt:i4>
      </vt:variant>
      <vt:variant>
        <vt:i4>5</vt:i4>
      </vt:variant>
      <vt:variant>
        <vt:lpwstr/>
      </vt:variant>
      <vt:variant>
        <vt:lpwstr>_Toc178786087</vt:lpwstr>
      </vt:variant>
      <vt:variant>
        <vt:i4>1638449</vt:i4>
      </vt:variant>
      <vt:variant>
        <vt:i4>1193</vt:i4>
      </vt:variant>
      <vt:variant>
        <vt:i4>0</vt:i4>
      </vt:variant>
      <vt:variant>
        <vt:i4>5</vt:i4>
      </vt:variant>
      <vt:variant>
        <vt:lpwstr/>
      </vt:variant>
      <vt:variant>
        <vt:lpwstr>_Toc178786086</vt:lpwstr>
      </vt:variant>
      <vt:variant>
        <vt:i4>1638449</vt:i4>
      </vt:variant>
      <vt:variant>
        <vt:i4>1190</vt:i4>
      </vt:variant>
      <vt:variant>
        <vt:i4>0</vt:i4>
      </vt:variant>
      <vt:variant>
        <vt:i4>5</vt:i4>
      </vt:variant>
      <vt:variant>
        <vt:lpwstr/>
      </vt:variant>
      <vt:variant>
        <vt:lpwstr>_Toc178786085</vt:lpwstr>
      </vt:variant>
      <vt:variant>
        <vt:i4>1638449</vt:i4>
      </vt:variant>
      <vt:variant>
        <vt:i4>1187</vt:i4>
      </vt:variant>
      <vt:variant>
        <vt:i4>0</vt:i4>
      </vt:variant>
      <vt:variant>
        <vt:i4>5</vt:i4>
      </vt:variant>
      <vt:variant>
        <vt:lpwstr/>
      </vt:variant>
      <vt:variant>
        <vt:lpwstr>_Toc178786084</vt:lpwstr>
      </vt:variant>
      <vt:variant>
        <vt:i4>1638449</vt:i4>
      </vt:variant>
      <vt:variant>
        <vt:i4>1184</vt:i4>
      </vt:variant>
      <vt:variant>
        <vt:i4>0</vt:i4>
      </vt:variant>
      <vt:variant>
        <vt:i4>5</vt:i4>
      </vt:variant>
      <vt:variant>
        <vt:lpwstr/>
      </vt:variant>
      <vt:variant>
        <vt:lpwstr>_Toc178786083</vt:lpwstr>
      </vt:variant>
      <vt:variant>
        <vt:i4>1638449</vt:i4>
      </vt:variant>
      <vt:variant>
        <vt:i4>1181</vt:i4>
      </vt:variant>
      <vt:variant>
        <vt:i4>0</vt:i4>
      </vt:variant>
      <vt:variant>
        <vt:i4>5</vt:i4>
      </vt:variant>
      <vt:variant>
        <vt:lpwstr/>
      </vt:variant>
      <vt:variant>
        <vt:lpwstr>_Toc178786080</vt:lpwstr>
      </vt:variant>
      <vt:variant>
        <vt:i4>1441841</vt:i4>
      </vt:variant>
      <vt:variant>
        <vt:i4>1178</vt:i4>
      </vt:variant>
      <vt:variant>
        <vt:i4>0</vt:i4>
      </vt:variant>
      <vt:variant>
        <vt:i4>5</vt:i4>
      </vt:variant>
      <vt:variant>
        <vt:lpwstr/>
      </vt:variant>
      <vt:variant>
        <vt:lpwstr>_Toc178786079</vt:lpwstr>
      </vt:variant>
      <vt:variant>
        <vt:i4>1441841</vt:i4>
      </vt:variant>
      <vt:variant>
        <vt:i4>1175</vt:i4>
      </vt:variant>
      <vt:variant>
        <vt:i4>0</vt:i4>
      </vt:variant>
      <vt:variant>
        <vt:i4>5</vt:i4>
      </vt:variant>
      <vt:variant>
        <vt:lpwstr/>
      </vt:variant>
      <vt:variant>
        <vt:lpwstr>_Toc178786078</vt:lpwstr>
      </vt:variant>
      <vt:variant>
        <vt:i4>1441841</vt:i4>
      </vt:variant>
      <vt:variant>
        <vt:i4>1172</vt:i4>
      </vt:variant>
      <vt:variant>
        <vt:i4>0</vt:i4>
      </vt:variant>
      <vt:variant>
        <vt:i4>5</vt:i4>
      </vt:variant>
      <vt:variant>
        <vt:lpwstr/>
      </vt:variant>
      <vt:variant>
        <vt:lpwstr>_Toc178786077</vt:lpwstr>
      </vt:variant>
      <vt:variant>
        <vt:i4>1441841</vt:i4>
      </vt:variant>
      <vt:variant>
        <vt:i4>1169</vt:i4>
      </vt:variant>
      <vt:variant>
        <vt:i4>0</vt:i4>
      </vt:variant>
      <vt:variant>
        <vt:i4>5</vt:i4>
      </vt:variant>
      <vt:variant>
        <vt:lpwstr/>
      </vt:variant>
      <vt:variant>
        <vt:lpwstr>_Toc178786076</vt:lpwstr>
      </vt:variant>
      <vt:variant>
        <vt:i4>1441841</vt:i4>
      </vt:variant>
      <vt:variant>
        <vt:i4>1166</vt:i4>
      </vt:variant>
      <vt:variant>
        <vt:i4>0</vt:i4>
      </vt:variant>
      <vt:variant>
        <vt:i4>5</vt:i4>
      </vt:variant>
      <vt:variant>
        <vt:lpwstr/>
      </vt:variant>
      <vt:variant>
        <vt:lpwstr>_Toc178786075</vt:lpwstr>
      </vt:variant>
      <vt:variant>
        <vt:i4>1441841</vt:i4>
      </vt:variant>
      <vt:variant>
        <vt:i4>1163</vt:i4>
      </vt:variant>
      <vt:variant>
        <vt:i4>0</vt:i4>
      </vt:variant>
      <vt:variant>
        <vt:i4>5</vt:i4>
      </vt:variant>
      <vt:variant>
        <vt:lpwstr/>
      </vt:variant>
      <vt:variant>
        <vt:lpwstr>_Toc178786074</vt:lpwstr>
      </vt:variant>
      <vt:variant>
        <vt:i4>1441841</vt:i4>
      </vt:variant>
      <vt:variant>
        <vt:i4>1160</vt:i4>
      </vt:variant>
      <vt:variant>
        <vt:i4>0</vt:i4>
      </vt:variant>
      <vt:variant>
        <vt:i4>5</vt:i4>
      </vt:variant>
      <vt:variant>
        <vt:lpwstr/>
      </vt:variant>
      <vt:variant>
        <vt:lpwstr>_Toc178786073</vt:lpwstr>
      </vt:variant>
      <vt:variant>
        <vt:i4>1441841</vt:i4>
      </vt:variant>
      <vt:variant>
        <vt:i4>1157</vt:i4>
      </vt:variant>
      <vt:variant>
        <vt:i4>0</vt:i4>
      </vt:variant>
      <vt:variant>
        <vt:i4>5</vt:i4>
      </vt:variant>
      <vt:variant>
        <vt:lpwstr/>
      </vt:variant>
      <vt:variant>
        <vt:lpwstr>_Toc178786072</vt:lpwstr>
      </vt:variant>
      <vt:variant>
        <vt:i4>1441841</vt:i4>
      </vt:variant>
      <vt:variant>
        <vt:i4>1154</vt:i4>
      </vt:variant>
      <vt:variant>
        <vt:i4>0</vt:i4>
      </vt:variant>
      <vt:variant>
        <vt:i4>5</vt:i4>
      </vt:variant>
      <vt:variant>
        <vt:lpwstr/>
      </vt:variant>
      <vt:variant>
        <vt:lpwstr>_Toc178786071</vt:lpwstr>
      </vt:variant>
      <vt:variant>
        <vt:i4>1441841</vt:i4>
      </vt:variant>
      <vt:variant>
        <vt:i4>1151</vt:i4>
      </vt:variant>
      <vt:variant>
        <vt:i4>0</vt:i4>
      </vt:variant>
      <vt:variant>
        <vt:i4>5</vt:i4>
      </vt:variant>
      <vt:variant>
        <vt:lpwstr/>
      </vt:variant>
      <vt:variant>
        <vt:lpwstr>_Toc178786070</vt:lpwstr>
      </vt:variant>
      <vt:variant>
        <vt:i4>1507377</vt:i4>
      </vt:variant>
      <vt:variant>
        <vt:i4>1148</vt:i4>
      </vt:variant>
      <vt:variant>
        <vt:i4>0</vt:i4>
      </vt:variant>
      <vt:variant>
        <vt:i4>5</vt:i4>
      </vt:variant>
      <vt:variant>
        <vt:lpwstr/>
      </vt:variant>
      <vt:variant>
        <vt:lpwstr>_Toc178786069</vt:lpwstr>
      </vt:variant>
      <vt:variant>
        <vt:i4>1507377</vt:i4>
      </vt:variant>
      <vt:variant>
        <vt:i4>1145</vt:i4>
      </vt:variant>
      <vt:variant>
        <vt:i4>0</vt:i4>
      </vt:variant>
      <vt:variant>
        <vt:i4>5</vt:i4>
      </vt:variant>
      <vt:variant>
        <vt:lpwstr/>
      </vt:variant>
      <vt:variant>
        <vt:lpwstr>_Toc178786068</vt:lpwstr>
      </vt:variant>
      <vt:variant>
        <vt:i4>1507377</vt:i4>
      </vt:variant>
      <vt:variant>
        <vt:i4>1142</vt:i4>
      </vt:variant>
      <vt:variant>
        <vt:i4>0</vt:i4>
      </vt:variant>
      <vt:variant>
        <vt:i4>5</vt:i4>
      </vt:variant>
      <vt:variant>
        <vt:lpwstr/>
      </vt:variant>
      <vt:variant>
        <vt:lpwstr>_Toc178786067</vt:lpwstr>
      </vt:variant>
      <vt:variant>
        <vt:i4>1507377</vt:i4>
      </vt:variant>
      <vt:variant>
        <vt:i4>1139</vt:i4>
      </vt:variant>
      <vt:variant>
        <vt:i4>0</vt:i4>
      </vt:variant>
      <vt:variant>
        <vt:i4>5</vt:i4>
      </vt:variant>
      <vt:variant>
        <vt:lpwstr/>
      </vt:variant>
      <vt:variant>
        <vt:lpwstr>_Toc178786066</vt:lpwstr>
      </vt:variant>
      <vt:variant>
        <vt:i4>1507377</vt:i4>
      </vt:variant>
      <vt:variant>
        <vt:i4>1136</vt:i4>
      </vt:variant>
      <vt:variant>
        <vt:i4>0</vt:i4>
      </vt:variant>
      <vt:variant>
        <vt:i4>5</vt:i4>
      </vt:variant>
      <vt:variant>
        <vt:lpwstr/>
      </vt:variant>
      <vt:variant>
        <vt:lpwstr>_Toc178786065</vt:lpwstr>
      </vt:variant>
      <vt:variant>
        <vt:i4>1507377</vt:i4>
      </vt:variant>
      <vt:variant>
        <vt:i4>1133</vt:i4>
      </vt:variant>
      <vt:variant>
        <vt:i4>0</vt:i4>
      </vt:variant>
      <vt:variant>
        <vt:i4>5</vt:i4>
      </vt:variant>
      <vt:variant>
        <vt:lpwstr/>
      </vt:variant>
      <vt:variant>
        <vt:lpwstr>_Toc178786064</vt:lpwstr>
      </vt:variant>
      <vt:variant>
        <vt:i4>1507377</vt:i4>
      </vt:variant>
      <vt:variant>
        <vt:i4>1130</vt:i4>
      </vt:variant>
      <vt:variant>
        <vt:i4>0</vt:i4>
      </vt:variant>
      <vt:variant>
        <vt:i4>5</vt:i4>
      </vt:variant>
      <vt:variant>
        <vt:lpwstr/>
      </vt:variant>
      <vt:variant>
        <vt:lpwstr>_Toc178786063</vt:lpwstr>
      </vt:variant>
      <vt:variant>
        <vt:i4>1507377</vt:i4>
      </vt:variant>
      <vt:variant>
        <vt:i4>1127</vt:i4>
      </vt:variant>
      <vt:variant>
        <vt:i4>0</vt:i4>
      </vt:variant>
      <vt:variant>
        <vt:i4>5</vt:i4>
      </vt:variant>
      <vt:variant>
        <vt:lpwstr/>
      </vt:variant>
      <vt:variant>
        <vt:lpwstr>_Toc178786062</vt:lpwstr>
      </vt:variant>
      <vt:variant>
        <vt:i4>1507377</vt:i4>
      </vt:variant>
      <vt:variant>
        <vt:i4>1124</vt:i4>
      </vt:variant>
      <vt:variant>
        <vt:i4>0</vt:i4>
      </vt:variant>
      <vt:variant>
        <vt:i4>5</vt:i4>
      </vt:variant>
      <vt:variant>
        <vt:lpwstr/>
      </vt:variant>
      <vt:variant>
        <vt:lpwstr>_Toc178786061</vt:lpwstr>
      </vt:variant>
      <vt:variant>
        <vt:i4>1507377</vt:i4>
      </vt:variant>
      <vt:variant>
        <vt:i4>1121</vt:i4>
      </vt:variant>
      <vt:variant>
        <vt:i4>0</vt:i4>
      </vt:variant>
      <vt:variant>
        <vt:i4>5</vt:i4>
      </vt:variant>
      <vt:variant>
        <vt:lpwstr/>
      </vt:variant>
      <vt:variant>
        <vt:lpwstr>_Toc178786060</vt:lpwstr>
      </vt:variant>
      <vt:variant>
        <vt:i4>1310769</vt:i4>
      </vt:variant>
      <vt:variant>
        <vt:i4>1118</vt:i4>
      </vt:variant>
      <vt:variant>
        <vt:i4>0</vt:i4>
      </vt:variant>
      <vt:variant>
        <vt:i4>5</vt:i4>
      </vt:variant>
      <vt:variant>
        <vt:lpwstr/>
      </vt:variant>
      <vt:variant>
        <vt:lpwstr>_Toc178786059</vt:lpwstr>
      </vt:variant>
      <vt:variant>
        <vt:i4>1310769</vt:i4>
      </vt:variant>
      <vt:variant>
        <vt:i4>1115</vt:i4>
      </vt:variant>
      <vt:variant>
        <vt:i4>0</vt:i4>
      </vt:variant>
      <vt:variant>
        <vt:i4>5</vt:i4>
      </vt:variant>
      <vt:variant>
        <vt:lpwstr/>
      </vt:variant>
      <vt:variant>
        <vt:lpwstr>_Toc178786058</vt:lpwstr>
      </vt:variant>
      <vt:variant>
        <vt:i4>1310769</vt:i4>
      </vt:variant>
      <vt:variant>
        <vt:i4>1112</vt:i4>
      </vt:variant>
      <vt:variant>
        <vt:i4>0</vt:i4>
      </vt:variant>
      <vt:variant>
        <vt:i4>5</vt:i4>
      </vt:variant>
      <vt:variant>
        <vt:lpwstr/>
      </vt:variant>
      <vt:variant>
        <vt:lpwstr>_Toc178786057</vt:lpwstr>
      </vt:variant>
      <vt:variant>
        <vt:i4>1310769</vt:i4>
      </vt:variant>
      <vt:variant>
        <vt:i4>1109</vt:i4>
      </vt:variant>
      <vt:variant>
        <vt:i4>0</vt:i4>
      </vt:variant>
      <vt:variant>
        <vt:i4>5</vt:i4>
      </vt:variant>
      <vt:variant>
        <vt:lpwstr/>
      </vt:variant>
      <vt:variant>
        <vt:lpwstr>_Toc178786056</vt:lpwstr>
      </vt:variant>
      <vt:variant>
        <vt:i4>1638452</vt:i4>
      </vt:variant>
      <vt:variant>
        <vt:i4>1103</vt:i4>
      </vt:variant>
      <vt:variant>
        <vt:i4>0</vt:i4>
      </vt:variant>
      <vt:variant>
        <vt:i4>5</vt:i4>
      </vt:variant>
      <vt:variant>
        <vt:lpwstr/>
      </vt:variant>
      <vt:variant>
        <vt:lpwstr>_Toc178789573</vt:lpwstr>
      </vt:variant>
      <vt:variant>
        <vt:i4>1638452</vt:i4>
      </vt:variant>
      <vt:variant>
        <vt:i4>1100</vt:i4>
      </vt:variant>
      <vt:variant>
        <vt:i4>0</vt:i4>
      </vt:variant>
      <vt:variant>
        <vt:i4>5</vt:i4>
      </vt:variant>
      <vt:variant>
        <vt:lpwstr/>
      </vt:variant>
      <vt:variant>
        <vt:lpwstr>_Toc178789572</vt:lpwstr>
      </vt:variant>
      <vt:variant>
        <vt:i4>1638452</vt:i4>
      </vt:variant>
      <vt:variant>
        <vt:i4>1097</vt:i4>
      </vt:variant>
      <vt:variant>
        <vt:i4>0</vt:i4>
      </vt:variant>
      <vt:variant>
        <vt:i4>5</vt:i4>
      </vt:variant>
      <vt:variant>
        <vt:lpwstr/>
      </vt:variant>
      <vt:variant>
        <vt:lpwstr>_Toc178789571</vt:lpwstr>
      </vt:variant>
      <vt:variant>
        <vt:i4>1638452</vt:i4>
      </vt:variant>
      <vt:variant>
        <vt:i4>1094</vt:i4>
      </vt:variant>
      <vt:variant>
        <vt:i4>0</vt:i4>
      </vt:variant>
      <vt:variant>
        <vt:i4>5</vt:i4>
      </vt:variant>
      <vt:variant>
        <vt:lpwstr/>
      </vt:variant>
      <vt:variant>
        <vt:lpwstr>_Toc178789570</vt:lpwstr>
      </vt:variant>
      <vt:variant>
        <vt:i4>1572916</vt:i4>
      </vt:variant>
      <vt:variant>
        <vt:i4>1091</vt:i4>
      </vt:variant>
      <vt:variant>
        <vt:i4>0</vt:i4>
      </vt:variant>
      <vt:variant>
        <vt:i4>5</vt:i4>
      </vt:variant>
      <vt:variant>
        <vt:lpwstr/>
      </vt:variant>
      <vt:variant>
        <vt:lpwstr>_Toc178789569</vt:lpwstr>
      </vt:variant>
      <vt:variant>
        <vt:i4>1572916</vt:i4>
      </vt:variant>
      <vt:variant>
        <vt:i4>1088</vt:i4>
      </vt:variant>
      <vt:variant>
        <vt:i4>0</vt:i4>
      </vt:variant>
      <vt:variant>
        <vt:i4>5</vt:i4>
      </vt:variant>
      <vt:variant>
        <vt:lpwstr/>
      </vt:variant>
      <vt:variant>
        <vt:lpwstr>_Toc178789568</vt:lpwstr>
      </vt:variant>
      <vt:variant>
        <vt:i4>1572916</vt:i4>
      </vt:variant>
      <vt:variant>
        <vt:i4>1085</vt:i4>
      </vt:variant>
      <vt:variant>
        <vt:i4>0</vt:i4>
      </vt:variant>
      <vt:variant>
        <vt:i4>5</vt:i4>
      </vt:variant>
      <vt:variant>
        <vt:lpwstr/>
      </vt:variant>
      <vt:variant>
        <vt:lpwstr>_Toc178789567</vt:lpwstr>
      </vt:variant>
      <vt:variant>
        <vt:i4>1572916</vt:i4>
      </vt:variant>
      <vt:variant>
        <vt:i4>1082</vt:i4>
      </vt:variant>
      <vt:variant>
        <vt:i4>0</vt:i4>
      </vt:variant>
      <vt:variant>
        <vt:i4>5</vt:i4>
      </vt:variant>
      <vt:variant>
        <vt:lpwstr/>
      </vt:variant>
      <vt:variant>
        <vt:lpwstr>_Toc178789566</vt:lpwstr>
      </vt:variant>
      <vt:variant>
        <vt:i4>1572916</vt:i4>
      </vt:variant>
      <vt:variant>
        <vt:i4>1079</vt:i4>
      </vt:variant>
      <vt:variant>
        <vt:i4>0</vt:i4>
      </vt:variant>
      <vt:variant>
        <vt:i4>5</vt:i4>
      </vt:variant>
      <vt:variant>
        <vt:lpwstr/>
      </vt:variant>
      <vt:variant>
        <vt:lpwstr>_Toc178789565</vt:lpwstr>
      </vt:variant>
      <vt:variant>
        <vt:i4>1572916</vt:i4>
      </vt:variant>
      <vt:variant>
        <vt:i4>1076</vt:i4>
      </vt:variant>
      <vt:variant>
        <vt:i4>0</vt:i4>
      </vt:variant>
      <vt:variant>
        <vt:i4>5</vt:i4>
      </vt:variant>
      <vt:variant>
        <vt:lpwstr/>
      </vt:variant>
      <vt:variant>
        <vt:lpwstr>_Toc178789564</vt:lpwstr>
      </vt:variant>
      <vt:variant>
        <vt:i4>1572916</vt:i4>
      </vt:variant>
      <vt:variant>
        <vt:i4>1073</vt:i4>
      </vt:variant>
      <vt:variant>
        <vt:i4>0</vt:i4>
      </vt:variant>
      <vt:variant>
        <vt:i4>5</vt:i4>
      </vt:variant>
      <vt:variant>
        <vt:lpwstr/>
      </vt:variant>
      <vt:variant>
        <vt:lpwstr>_Toc178789563</vt:lpwstr>
      </vt:variant>
      <vt:variant>
        <vt:i4>1572916</vt:i4>
      </vt:variant>
      <vt:variant>
        <vt:i4>1070</vt:i4>
      </vt:variant>
      <vt:variant>
        <vt:i4>0</vt:i4>
      </vt:variant>
      <vt:variant>
        <vt:i4>5</vt:i4>
      </vt:variant>
      <vt:variant>
        <vt:lpwstr/>
      </vt:variant>
      <vt:variant>
        <vt:lpwstr>_Toc178789562</vt:lpwstr>
      </vt:variant>
      <vt:variant>
        <vt:i4>1572916</vt:i4>
      </vt:variant>
      <vt:variant>
        <vt:i4>1067</vt:i4>
      </vt:variant>
      <vt:variant>
        <vt:i4>0</vt:i4>
      </vt:variant>
      <vt:variant>
        <vt:i4>5</vt:i4>
      </vt:variant>
      <vt:variant>
        <vt:lpwstr/>
      </vt:variant>
      <vt:variant>
        <vt:lpwstr>_Toc178789561</vt:lpwstr>
      </vt:variant>
      <vt:variant>
        <vt:i4>1572916</vt:i4>
      </vt:variant>
      <vt:variant>
        <vt:i4>1064</vt:i4>
      </vt:variant>
      <vt:variant>
        <vt:i4>0</vt:i4>
      </vt:variant>
      <vt:variant>
        <vt:i4>5</vt:i4>
      </vt:variant>
      <vt:variant>
        <vt:lpwstr/>
      </vt:variant>
      <vt:variant>
        <vt:lpwstr>_Toc178789560</vt:lpwstr>
      </vt:variant>
      <vt:variant>
        <vt:i4>1769524</vt:i4>
      </vt:variant>
      <vt:variant>
        <vt:i4>1061</vt:i4>
      </vt:variant>
      <vt:variant>
        <vt:i4>0</vt:i4>
      </vt:variant>
      <vt:variant>
        <vt:i4>5</vt:i4>
      </vt:variant>
      <vt:variant>
        <vt:lpwstr/>
      </vt:variant>
      <vt:variant>
        <vt:lpwstr>_Toc178789559</vt:lpwstr>
      </vt:variant>
      <vt:variant>
        <vt:i4>1769524</vt:i4>
      </vt:variant>
      <vt:variant>
        <vt:i4>1058</vt:i4>
      </vt:variant>
      <vt:variant>
        <vt:i4>0</vt:i4>
      </vt:variant>
      <vt:variant>
        <vt:i4>5</vt:i4>
      </vt:variant>
      <vt:variant>
        <vt:lpwstr/>
      </vt:variant>
      <vt:variant>
        <vt:lpwstr>_Toc178789558</vt:lpwstr>
      </vt:variant>
      <vt:variant>
        <vt:i4>1769524</vt:i4>
      </vt:variant>
      <vt:variant>
        <vt:i4>1055</vt:i4>
      </vt:variant>
      <vt:variant>
        <vt:i4>0</vt:i4>
      </vt:variant>
      <vt:variant>
        <vt:i4>5</vt:i4>
      </vt:variant>
      <vt:variant>
        <vt:lpwstr/>
      </vt:variant>
      <vt:variant>
        <vt:lpwstr>_Toc178789557</vt:lpwstr>
      </vt:variant>
      <vt:variant>
        <vt:i4>1769524</vt:i4>
      </vt:variant>
      <vt:variant>
        <vt:i4>1052</vt:i4>
      </vt:variant>
      <vt:variant>
        <vt:i4>0</vt:i4>
      </vt:variant>
      <vt:variant>
        <vt:i4>5</vt:i4>
      </vt:variant>
      <vt:variant>
        <vt:lpwstr/>
      </vt:variant>
      <vt:variant>
        <vt:lpwstr>_Toc178789556</vt:lpwstr>
      </vt:variant>
      <vt:variant>
        <vt:i4>1769524</vt:i4>
      </vt:variant>
      <vt:variant>
        <vt:i4>1049</vt:i4>
      </vt:variant>
      <vt:variant>
        <vt:i4>0</vt:i4>
      </vt:variant>
      <vt:variant>
        <vt:i4>5</vt:i4>
      </vt:variant>
      <vt:variant>
        <vt:lpwstr/>
      </vt:variant>
      <vt:variant>
        <vt:lpwstr>_Toc178789555</vt:lpwstr>
      </vt:variant>
      <vt:variant>
        <vt:i4>1769524</vt:i4>
      </vt:variant>
      <vt:variant>
        <vt:i4>1046</vt:i4>
      </vt:variant>
      <vt:variant>
        <vt:i4>0</vt:i4>
      </vt:variant>
      <vt:variant>
        <vt:i4>5</vt:i4>
      </vt:variant>
      <vt:variant>
        <vt:lpwstr/>
      </vt:variant>
      <vt:variant>
        <vt:lpwstr>_Toc178789554</vt:lpwstr>
      </vt:variant>
      <vt:variant>
        <vt:i4>1769524</vt:i4>
      </vt:variant>
      <vt:variant>
        <vt:i4>1043</vt:i4>
      </vt:variant>
      <vt:variant>
        <vt:i4>0</vt:i4>
      </vt:variant>
      <vt:variant>
        <vt:i4>5</vt:i4>
      </vt:variant>
      <vt:variant>
        <vt:lpwstr/>
      </vt:variant>
      <vt:variant>
        <vt:lpwstr>_Toc178789553</vt:lpwstr>
      </vt:variant>
      <vt:variant>
        <vt:i4>1769524</vt:i4>
      </vt:variant>
      <vt:variant>
        <vt:i4>1040</vt:i4>
      </vt:variant>
      <vt:variant>
        <vt:i4>0</vt:i4>
      </vt:variant>
      <vt:variant>
        <vt:i4>5</vt:i4>
      </vt:variant>
      <vt:variant>
        <vt:lpwstr/>
      </vt:variant>
      <vt:variant>
        <vt:lpwstr>_Toc178789552</vt:lpwstr>
      </vt:variant>
      <vt:variant>
        <vt:i4>1769524</vt:i4>
      </vt:variant>
      <vt:variant>
        <vt:i4>1037</vt:i4>
      </vt:variant>
      <vt:variant>
        <vt:i4>0</vt:i4>
      </vt:variant>
      <vt:variant>
        <vt:i4>5</vt:i4>
      </vt:variant>
      <vt:variant>
        <vt:lpwstr/>
      </vt:variant>
      <vt:variant>
        <vt:lpwstr>_Toc178789551</vt:lpwstr>
      </vt:variant>
      <vt:variant>
        <vt:i4>1769524</vt:i4>
      </vt:variant>
      <vt:variant>
        <vt:i4>1034</vt:i4>
      </vt:variant>
      <vt:variant>
        <vt:i4>0</vt:i4>
      </vt:variant>
      <vt:variant>
        <vt:i4>5</vt:i4>
      </vt:variant>
      <vt:variant>
        <vt:lpwstr/>
      </vt:variant>
      <vt:variant>
        <vt:lpwstr>_Toc178789550</vt:lpwstr>
      </vt:variant>
      <vt:variant>
        <vt:i4>1703988</vt:i4>
      </vt:variant>
      <vt:variant>
        <vt:i4>1031</vt:i4>
      </vt:variant>
      <vt:variant>
        <vt:i4>0</vt:i4>
      </vt:variant>
      <vt:variant>
        <vt:i4>5</vt:i4>
      </vt:variant>
      <vt:variant>
        <vt:lpwstr/>
      </vt:variant>
      <vt:variant>
        <vt:lpwstr>_Toc178789549</vt:lpwstr>
      </vt:variant>
      <vt:variant>
        <vt:i4>1703988</vt:i4>
      </vt:variant>
      <vt:variant>
        <vt:i4>1028</vt:i4>
      </vt:variant>
      <vt:variant>
        <vt:i4>0</vt:i4>
      </vt:variant>
      <vt:variant>
        <vt:i4>5</vt:i4>
      </vt:variant>
      <vt:variant>
        <vt:lpwstr/>
      </vt:variant>
      <vt:variant>
        <vt:lpwstr>_Toc178789548</vt:lpwstr>
      </vt:variant>
      <vt:variant>
        <vt:i4>1703988</vt:i4>
      </vt:variant>
      <vt:variant>
        <vt:i4>1025</vt:i4>
      </vt:variant>
      <vt:variant>
        <vt:i4>0</vt:i4>
      </vt:variant>
      <vt:variant>
        <vt:i4>5</vt:i4>
      </vt:variant>
      <vt:variant>
        <vt:lpwstr/>
      </vt:variant>
      <vt:variant>
        <vt:lpwstr>_Toc178789547</vt:lpwstr>
      </vt:variant>
      <vt:variant>
        <vt:i4>1703988</vt:i4>
      </vt:variant>
      <vt:variant>
        <vt:i4>1022</vt:i4>
      </vt:variant>
      <vt:variant>
        <vt:i4>0</vt:i4>
      </vt:variant>
      <vt:variant>
        <vt:i4>5</vt:i4>
      </vt:variant>
      <vt:variant>
        <vt:lpwstr/>
      </vt:variant>
      <vt:variant>
        <vt:lpwstr>_Toc178789546</vt:lpwstr>
      </vt:variant>
      <vt:variant>
        <vt:i4>1703988</vt:i4>
      </vt:variant>
      <vt:variant>
        <vt:i4>1019</vt:i4>
      </vt:variant>
      <vt:variant>
        <vt:i4>0</vt:i4>
      </vt:variant>
      <vt:variant>
        <vt:i4>5</vt:i4>
      </vt:variant>
      <vt:variant>
        <vt:lpwstr/>
      </vt:variant>
      <vt:variant>
        <vt:lpwstr>_Toc178789545</vt:lpwstr>
      </vt:variant>
      <vt:variant>
        <vt:i4>1703988</vt:i4>
      </vt:variant>
      <vt:variant>
        <vt:i4>1016</vt:i4>
      </vt:variant>
      <vt:variant>
        <vt:i4>0</vt:i4>
      </vt:variant>
      <vt:variant>
        <vt:i4>5</vt:i4>
      </vt:variant>
      <vt:variant>
        <vt:lpwstr/>
      </vt:variant>
      <vt:variant>
        <vt:lpwstr>_Toc178789544</vt:lpwstr>
      </vt:variant>
      <vt:variant>
        <vt:i4>1703988</vt:i4>
      </vt:variant>
      <vt:variant>
        <vt:i4>1013</vt:i4>
      </vt:variant>
      <vt:variant>
        <vt:i4>0</vt:i4>
      </vt:variant>
      <vt:variant>
        <vt:i4>5</vt:i4>
      </vt:variant>
      <vt:variant>
        <vt:lpwstr/>
      </vt:variant>
      <vt:variant>
        <vt:lpwstr>_Toc178789543</vt:lpwstr>
      </vt:variant>
      <vt:variant>
        <vt:i4>1703988</vt:i4>
      </vt:variant>
      <vt:variant>
        <vt:i4>1010</vt:i4>
      </vt:variant>
      <vt:variant>
        <vt:i4>0</vt:i4>
      </vt:variant>
      <vt:variant>
        <vt:i4>5</vt:i4>
      </vt:variant>
      <vt:variant>
        <vt:lpwstr/>
      </vt:variant>
      <vt:variant>
        <vt:lpwstr>_Toc178789542</vt:lpwstr>
      </vt:variant>
      <vt:variant>
        <vt:i4>1703988</vt:i4>
      </vt:variant>
      <vt:variant>
        <vt:i4>1007</vt:i4>
      </vt:variant>
      <vt:variant>
        <vt:i4>0</vt:i4>
      </vt:variant>
      <vt:variant>
        <vt:i4>5</vt:i4>
      </vt:variant>
      <vt:variant>
        <vt:lpwstr/>
      </vt:variant>
      <vt:variant>
        <vt:lpwstr>_Toc178789541</vt:lpwstr>
      </vt:variant>
      <vt:variant>
        <vt:i4>1703988</vt:i4>
      </vt:variant>
      <vt:variant>
        <vt:i4>1004</vt:i4>
      </vt:variant>
      <vt:variant>
        <vt:i4>0</vt:i4>
      </vt:variant>
      <vt:variant>
        <vt:i4>5</vt:i4>
      </vt:variant>
      <vt:variant>
        <vt:lpwstr/>
      </vt:variant>
      <vt:variant>
        <vt:lpwstr>_Toc178789540</vt:lpwstr>
      </vt:variant>
      <vt:variant>
        <vt:i4>1900596</vt:i4>
      </vt:variant>
      <vt:variant>
        <vt:i4>1001</vt:i4>
      </vt:variant>
      <vt:variant>
        <vt:i4>0</vt:i4>
      </vt:variant>
      <vt:variant>
        <vt:i4>5</vt:i4>
      </vt:variant>
      <vt:variant>
        <vt:lpwstr/>
      </vt:variant>
      <vt:variant>
        <vt:lpwstr>_Toc178789539</vt:lpwstr>
      </vt:variant>
      <vt:variant>
        <vt:i4>1900596</vt:i4>
      </vt:variant>
      <vt:variant>
        <vt:i4>998</vt:i4>
      </vt:variant>
      <vt:variant>
        <vt:i4>0</vt:i4>
      </vt:variant>
      <vt:variant>
        <vt:i4>5</vt:i4>
      </vt:variant>
      <vt:variant>
        <vt:lpwstr/>
      </vt:variant>
      <vt:variant>
        <vt:lpwstr>_Toc178789538</vt:lpwstr>
      </vt:variant>
      <vt:variant>
        <vt:i4>1900596</vt:i4>
      </vt:variant>
      <vt:variant>
        <vt:i4>995</vt:i4>
      </vt:variant>
      <vt:variant>
        <vt:i4>0</vt:i4>
      </vt:variant>
      <vt:variant>
        <vt:i4>5</vt:i4>
      </vt:variant>
      <vt:variant>
        <vt:lpwstr/>
      </vt:variant>
      <vt:variant>
        <vt:lpwstr>_Toc178789537</vt:lpwstr>
      </vt:variant>
      <vt:variant>
        <vt:i4>1900596</vt:i4>
      </vt:variant>
      <vt:variant>
        <vt:i4>992</vt:i4>
      </vt:variant>
      <vt:variant>
        <vt:i4>0</vt:i4>
      </vt:variant>
      <vt:variant>
        <vt:i4>5</vt:i4>
      </vt:variant>
      <vt:variant>
        <vt:lpwstr/>
      </vt:variant>
      <vt:variant>
        <vt:lpwstr>_Toc178789536</vt:lpwstr>
      </vt:variant>
      <vt:variant>
        <vt:i4>1900596</vt:i4>
      </vt:variant>
      <vt:variant>
        <vt:i4>989</vt:i4>
      </vt:variant>
      <vt:variant>
        <vt:i4>0</vt:i4>
      </vt:variant>
      <vt:variant>
        <vt:i4>5</vt:i4>
      </vt:variant>
      <vt:variant>
        <vt:lpwstr/>
      </vt:variant>
      <vt:variant>
        <vt:lpwstr>_Toc178789535</vt:lpwstr>
      </vt:variant>
      <vt:variant>
        <vt:i4>1900596</vt:i4>
      </vt:variant>
      <vt:variant>
        <vt:i4>986</vt:i4>
      </vt:variant>
      <vt:variant>
        <vt:i4>0</vt:i4>
      </vt:variant>
      <vt:variant>
        <vt:i4>5</vt:i4>
      </vt:variant>
      <vt:variant>
        <vt:lpwstr/>
      </vt:variant>
      <vt:variant>
        <vt:lpwstr>_Toc178789534</vt:lpwstr>
      </vt:variant>
      <vt:variant>
        <vt:i4>1900596</vt:i4>
      </vt:variant>
      <vt:variant>
        <vt:i4>983</vt:i4>
      </vt:variant>
      <vt:variant>
        <vt:i4>0</vt:i4>
      </vt:variant>
      <vt:variant>
        <vt:i4>5</vt:i4>
      </vt:variant>
      <vt:variant>
        <vt:lpwstr/>
      </vt:variant>
      <vt:variant>
        <vt:lpwstr>_Toc178789533</vt:lpwstr>
      </vt:variant>
      <vt:variant>
        <vt:i4>1900596</vt:i4>
      </vt:variant>
      <vt:variant>
        <vt:i4>980</vt:i4>
      </vt:variant>
      <vt:variant>
        <vt:i4>0</vt:i4>
      </vt:variant>
      <vt:variant>
        <vt:i4>5</vt:i4>
      </vt:variant>
      <vt:variant>
        <vt:lpwstr/>
      </vt:variant>
      <vt:variant>
        <vt:lpwstr>_Toc178789532</vt:lpwstr>
      </vt:variant>
      <vt:variant>
        <vt:i4>1900596</vt:i4>
      </vt:variant>
      <vt:variant>
        <vt:i4>977</vt:i4>
      </vt:variant>
      <vt:variant>
        <vt:i4>0</vt:i4>
      </vt:variant>
      <vt:variant>
        <vt:i4>5</vt:i4>
      </vt:variant>
      <vt:variant>
        <vt:lpwstr/>
      </vt:variant>
      <vt:variant>
        <vt:lpwstr>_Toc178789531</vt:lpwstr>
      </vt:variant>
      <vt:variant>
        <vt:i4>1900596</vt:i4>
      </vt:variant>
      <vt:variant>
        <vt:i4>974</vt:i4>
      </vt:variant>
      <vt:variant>
        <vt:i4>0</vt:i4>
      </vt:variant>
      <vt:variant>
        <vt:i4>5</vt:i4>
      </vt:variant>
      <vt:variant>
        <vt:lpwstr/>
      </vt:variant>
      <vt:variant>
        <vt:lpwstr>_Toc178789530</vt:lpwstr>
      </vt:variant>
      <vt:variant>
        <vt:i4>1835060</vt:i4>
      </vt:variant>
      <vt:variant>
        <vt:i4>971</vt:i4>
      </vt:variant>
      <vt:variant>
        <vt:i4>0</vt:i4>
      </vt:variant>
      <vt:variant>
        <vt:i4>5</vt:i4>
      </vt:variant>
      <vt:variant>
        <vt:lpwstr/>
      </vt:variant>
      <vt:variant>
        <vt:lpwstr>_Toc178789529</vt:lpwstr>
      </vt:variant>
      <vt:variant>
        <vt:i4>1835060</vt:i4>
      </vt:variant>
      <vt:variant>
        <vt:i4>968</vt:i4>
      </vt:variant>
      <vt:variant>
        <vt:i4>0</vt:i4>
      </vt:variant>
      <vt:variant>
        <vt:i4>5</vt:i4>
      </vt:variant>
      <vt:variant>
        <vt:lpwstr/>
      </vt:variant>
      <vt:variant>
        <vt:lpwstr>_Toc178789528</vt:lpwstr>
      </vt:variant>
      <vt:variant>
        <vt:i4>1835060</vt:i4>
      </vt:variant>
      <vt:variant>
        <vt:i4>965</vt:i4>
      </vt:variant>
      <vt:variant>
        <vt:i4>0</vt:i4>
      </vt:variant>
      <vt:variant>
        <vt:i4>5</vt:i4>
      </vt:variant>
      <vt:variant>
        <vt:lpwstr/>
      </vt:variant>
      <vt:variant>
        <vt:lpwstr>_Toc178789527</vt:lpwstr>
      </vt:variant>
      <vt:variant>
        <vt:i4>1835060</vt:i4>
      </vt:variant>
      <vt:variant>
        <vt:i4>962</vt:i4>
      </vt:variant>
      <vt:variant>
        <vt:i4>0</vt:i4>
      </vt:variant>
      <vt:variant>
        <vt:i4>5</vt:i4>
      </vt:variant>
      <vt:variant>
        <vt:lpwstr/>
      </vt:variant>
      <vt:variant>
        <vt:lpwstr>_Toc178789526</vt:lpwstr>
      </vt:variant>
      <vt:variant>
        <vt:i4>1835060</vt:i4>
      </vt:variant>
      <vt:variant>
        <vt:i4>959</vt:i4>
      </vt:variant>
      <vt:variant>
        <vt:i4>0</vt:i4>
      </vt:variant>
      <vt:variant>
        <vt:i4>5</vt:i4>
      </vt:variant>
      <vt:variant>
        <vt:lpwstr/>
      </vt:variant>
      <vt:variant>
        <vt:lpwstr>_Toc178789525</vt:lpwstr>
      </vt:variant>
      <vt:variant>
        <vt:i4>1835060</vt:i4>
      </vt:variant>
      <vt:variant>
        <vt:i4>956</vt:i4>
      </vt:variant>
      <vt:variant>
        <vt:i4>0</vt:i4>
      </vt:variant>
      <vt:variant>
        <vt:i4>5</vt:i4>
      </vt:variant>
      <vt:variant>
        <vt:lpwstr/>
      </vt:variant>
      <vt:variant>
        <vt:lpwstr>_Toc178789524</vt:lpwstr>
      </vt:variant>
      <vt:variant>
        <vt:i4>1835060</vt:i4>
      </vt:variant>
      <vt:variant>
        <vt:i4>953</vt:i4>
      </vt:variant>
      <vt:variant>
        <vt:i4>0</vt:i4>
      </vt:variant>
      <vt:variant>
        <vt:i4>5</vt:i4>
      </vt:variant>
      <vt:variant>
        <vt:lpwstr/>
      </vt:variant>
      <vt:variant>
        <vt:lpwstr>_Toc178789523</vt:lpwstr>
      </vt:variant>
      <vt:variant>
        <vt:i4>1835060</vt:i4>
      </vt:variant>
      <vt:variant>
        <vt:i4>950</vt:i4>
      </vt:variant>
      <vt:variant>
        <vt:i4>0</vt:i4>
      </vt:variant>
      <vt:variant>
        <vt:i4>5</vt:i4>
      </vt:variant>
      <vt:variant>
        <vt:lpwstr/>
      </vt:variant>
      <vt:variant>
        <vt:lpwstr>_Toc178789522</vt:lpwstr>
      </vt:variant>
      <vt:variant>
        <vt:i4>1835060</vt:i4>
      </vt:variant>
      <vt:variant>
        <vt:i4>947</vt:i4>
      </vt:variant>
      <vt:variant>
        <vt:i4>0</vt:i4>
      </vt:variant>
      <vt:variant>
        <vt:i4>5</vt:i4>
      </vt:variant>
      <vt:variant>
        <vt:lpwstr/>
      </vt:variant>
      <vt:variant>
        <vt:lpwstr>_Toc178789521</vt:lpwstr>
      </vt:variant>
      <vt:variant>
        <vt:i4>1835060</vt:i4>
      </vt:variant>
      <vt:variant>
        <vt:i4>944</vt:i4>
      </vt:variant>
      <vt:variant>
        <vt:i4>0</vt:i4>
      </vt:variant>
      <vt:variant>
        <vt:i4>5</vt:i4>
      </vt:variant>
      <vt:variant>
        <vt:lpwstr/>
      </vt:variant>
      <vt:variant>
        <vt:lpwstr>_Toc178789520</vt:lpwstr>
      </vt:variant>
      <vt:variant>
        <vt:i4>2031668</vt:i4>
      </vt:variant>
      <vt:variant>
        <vt:i4>941</vt:i4>
      </vt:variant>
      <vt:variant>
        <vt:i4>0</vt:i4>
      </vt:variant>
      <vt:variant>
        <vt:i4>5</vt:i4>
      </vt:variant>
      <vt:variant>
        <vt:lpwstr/>
      </vt:variant>
      <vt:variant>
        <vt:lpwstr>_Toc178789519</vt:lpwstr>
      </vt:variant>
      <vt:variant>
        <vt:i4>2031668</vt:i4>
      </vt:variant>
      <vt:variant>
        <vt:i4>938</vt:i4>
      </vt:variant>
      <vt:variant>
        <vt:i4>0</vt:i4>
      </vt:variant>
      <vt:variant>
        <vt:i4>5</vt:i4>
      </vt:variant>
      <vt:variant>
        <vt:lpwstr/>
      </vt:variant>
      <vt:variant>
        <vt:lpwstr>_Toc178789518</vt:lpwstr>
      </vt:variant>
      <vt:variant>
        <vt:i4>1310783</vt:i4>
      </vt:variant>
      <vt:variant>
        <vt:i4>350</vt:i4>
      </vt:variant>
      <vt:variant>
        <vt:i4>0</vt:i4>
      </vt:variant>
      <vt:variant>
        <vt:i4>5</vt:i4>
      </vt:variant>
      <vt:variant>
        <vt:lpwstr/>
      </vt:variant>
      <vt:variant>
        <vt:lpwstr>_Toc178773100</vt:lpwstr>
      </vt:variant>
      <vt:variant>
        <vt:i4>1900606</vt:i4>
      </vt:variant>
      <vt:variant>
        <vt:i4>344</vt:i4>
      </vt:variant>
      <vt:variant>
        <vt:i4>0</vt:i4>
      </vt:variant>
      <vt:variant>
        <vt:i4>5</vt:i4>
      </vt:variant>
      <vt:variant>
        <vt:lpwstr/>
      </vt:variant>
      <vt:variant>
        <vt:lpwstr>_Toc178773099</vt:lpwstr>
      </vt:variant>
      <vt:variant>
        <vt:i4>1900606</vt:i4>
      </vt:variant>
      <vt:variant>
        <vt:i4>338</vt:i4>
      </vt:variant>
      <vt:variant>
        <vt:i4>0</vt:i4>
      </vt:variant>
      <vt:variant>
        <vt:i4>5</vt:i4>
      </vt:variant>
      <vt:variant>
        <vt:lpwstr/>
      </vt:variant>
      <vt:variant>
        <vt:lpwstr>_Toc178773098</vt:lpwstr>
      </vt:variant>
      <vt:variant>
        <vt:i4>1245246</vt:i4>
      </vt:variant>
      <vt:variant>
        <vt:i4>332</vt:i4>
      </vt:variant>
      <vt:variant>
        <vt:i4>0</vt:i4>
      </vt:variant>
      <vt:variant>
        <vt:i4>5</vt:i4>
      </vt:variant>
      <vt:variant>
        <vt:lpwstr/>
      </vt:variant>
      <vt:variant>
        <vt:lpwstr>_Toc178773079</vt:lpwstr>
      </vt:variant>
      <vt:variant>
        <vt:i4>1245246</vt:i4>
      </vt:variant>
      <vt:variant>
        <vt:i4>326</vt:i4>
      </vt:variant>
      <vt:variant>
        <vt:i4>0</vt:i4>
      </vt:variant>
      <vt:variant>
        <vt:i4>5</vt:i4>
      </vt:variant>
      <vt:variant>
        <vt:lpwstr/>
      </vt:variant>
      <vt:variant>
        <vt:lpwstr>_Toc178773078</vt:lpwstr>
      </vt:variant>
      <vt:variant>
        <vt:i4>1245246</vt:i4>
      </vt:variant>
      <vt:variant>
        <vt:i4>320</vt:i4>
      </vt:variant>
      <vt:variant>
        <vt:i4>0</vt:i4>
      </vt:variant>
      <vt:variant>
        <vt:i4>5</vt:i4>
      </vt:variant>
      <vt:variant>
        <vt:lpwstr/>
      </vt:variant>
      <vt:variant>
        <vt:lpwstr>_Toc178773077</vt:lpwstr>
      </vt:variant>
      <vt:variant>
        <vt:i4>1245246</vt:i4>
      </vt:variant>
      <vt:variant>
        <vt:i4>314</vt:i4>
      </vt:variant>
      <vt:variant>
        <vt:i4>0</vt:i4>
      </vt:variant>
      <vt:variant>
        <vt:i4>5</vt:i4>
      </vt:variant>
      <vt:variant>
        <vt:lpwstr/>
      </vt:variant>
      <vt:variant>
        <vt:lpwstr>_Toc178773076</vt:lpwstr>
      </vt:variant>
      <vt:variant>
        <vt:i4>1245246</vt:i4>
      </vt:variant>
      <vt:variant>
        <vt:i4>308</vt:i4>
      </vt:variant>
      <vt:variant>
        <vt:i4>0</vt:i4>
      </vt:variant>
      <vt:variant>
        <vt:i4>5</vt:i4>
      </vt:variant>
      <vt:variant>
        <vt:lpwstr/>
      </vt:variant>
      <vt:variant>
        <vt:lpwstr>_Toc178773075</vt:lpwstr>
      </vt:variant>
      <vt:variant>
        <vt:i4>1245246</vt:i4>
      </vt:variant>
      <vt:variant>
        <vt:i4>302</vt:i4>
      </vt:variant>
      <vt:variant>
        <vt:i4>0</vt:i4>
      </vt:variant>
      <vt:variant>
        <vt:i4>5</vt:i4>
      </vt:variant>
      <vt:variant>
        <vt:lpwstr/>
      </vt:variant>
      <vt:variant>
        <vt:lpwstr>_Toc178773074</vt:lpwstr>
      </vt:variant>
      <vt:variant>
        <vt:i4>1245246</vt:i4>
      </vt:variant>
      <vt:variant>
        <vt:i4>296</vt:i4>
      </vt:variant>
      <vt:variant>
        <vt:i4>0</vt:i4>
      </vt:variant>
      <vt:variant>
        <vt:i4>5</vt:i4>
      </vt:variant>
      <vt:variant>
        <vt:lpwstr/>
      </vt:variant>
      <vt:variant>
        <vt:lpwstr>_Toc178773073</vt:lpwstr>
      </vt:variant>
      <vt:variant>
        <vt:i4>1245246</vt:i4>
      </vt:variant>
      <vt:variant>
        <vt:i4>290</vt:i4>
      </vt:variant>
      <vt:variant>
        <vt:i4>0</vt:i4>
      </vt:variant>
      <vt:variant>
        <vt:i4>5</vt:i4>
      </vt:variant>
      <vt:variant>
        <vt:lpwstr/>
      </vt:variant>
      <vt:variant>
        <vt:lpwstr>_Toc178773072</vt:lpwstr>
      </vt:variant>
      <vt:variant>
        <vt:i4>1245246</vt:i4>
      </vt:variant>
      <vt:variant>
        <vt:i4>284</vt:i4>
      </vt:variant>
      <vt:variant>
        <vt:i4>0</vt:i4>
      </vt:variant>
      <vt:variant>
        <vt:i4>5</vt:i4>
      </vt:variant>
      <vt:variant>
        <vt:lpwstr/>
      </vt:variant>
      <vt:variant>
        <vt:lpwstr>_Toc178773071</vt:lpwstr>
      </vt:variant>
      <vt:variant>
        <vt:i4>1835063</vt:i4>
      </vt:variant>
      <vt:variant>
        <vt:i4>278</vt:i4>
      </vt:variant>
      <vt:variant>
        <vt:i4>0</vt:i4>
      </vt:variant>
      <vt:variant>
        <vt:i4>5</vt:i4>
      </vt:variant>
      <vt:variant>
        <vt:lpwstr/>
      </vt:variant>
      <vt:variant>
        <vt:lpwstr>_Toc178772997</vt:lpwstr>
      </vt:variant>
      <vt:variant>
        <vt:i4>1835063</vt:i4>
      </vt:variant>
      <vt:variant>
        <vt:i4>272</vt:i4>
      </vt:variant>
      <vt:variant>
        <vt:i4>0</vt:i4>
      </vt:variant>
      <vt:variant>
        <vt:i4>5</vt:i4>
      </vt:variant>
      <vt:variant>
        <vt:lpwstr/>
      </vt:variant>
      <vt:variant>
        <vt:lpwstr>_Toc178772996</vt:lpwstr>
      </vt:variant>
      <vt:variant>
        <vt:i4>1835063</vt:i4>
      </vt:variant>
      <vt:variant>
        <vt:i4>266</vt:i4>
      </vt:variant>
      <vt:variant>
        <vt:i4>0</vt:i4>
      </vt:variant>
      <vt:variant>
        <vt:i4>5</vt:i4>
      </vt:variant>
      <vt:variant>
        <vt:lpwstr/>
      </vt:variant>
      <vt:variant>
        <vt:lpwstr>_Toc178772995</vt:lpwstr>
      </vt:variant>
      <vt:variant>
        <vt:i4>1835063</vt:i4>
      </vt:variant>
      <vt:variant>
        <vt:i4>260</vt:i4>
      </vt:variant>
      <vt:variant>
        <vt:i4>0</vt:i4>
      </vt:variant>
      <vt:variant>
        <vt:i4>5</vt:i4>
      </vt:variant>
      <vt:variant>
        <vt:lpwstr/>
      </vt:variant>
      <vt:variant>
        <vt:lpwstr>_Toc178772994</vt:lpwstr>
      </vt:variant>
      <vt:variant>
        <vt:i4>1835063</vt:i4>
      </vt:variant>
      <vt:variant>
        <vt:i4>254</vt:i4>
      </vt:variant>
      <vt:variant>
        <vt:i4>0</vt:i4>
      </vt:variant>
      <vt:variant>
        <vt:i4>5</vt:i4>
      </vt:variant>
      <vt:variant>
        <vt:lpwstr/>
      </vt:variant>
      <vt:variant>
        <vt:lpwstr>_Toc178772993</vt:lpwstr>
      </vt:variant>
      <vt:variant>
        <vt:i4>1835063</vt:i4>
      </vt:variant>
      <vt:variant>
        <vt:i4>248</vt:i4>
      </vt:variant>
      <vt:variant>
        <vt:i4>0</vt:i4>
      </vt:variant>
      <vt:variant>
        <vt:i4>5</vt:i4>
      </vt:variant>
      <vt:variant>
        <vt:lpwstr/>
      </vt:variant>
      <vt:variant>
        <vt:lpwstr>_Toc178772992</vt:lpwstr>
      </vt:variant>
      <vt:variant>
        <vt:i4>1835063</vt:i4>
      </vt:variant>
      <vt:variant>
        <vt:i4>242</vt:i4>
      </vt:variant>
      <vt:variant>
        <vt:i4>0</vt:i4>
      </vt:variant>
      <vt:variant>
        <vt:i4>5</vt:i4>
      </vt:variant>
      <vt:variant>
        <vt:lpwstr/>
      </vt:variant>
      <vt:variant>
        <vt:lpwstr>_Toc178772991</vt:lpwstr>
      </vt:variant>
      <vt:variant>
        <vt:i4>1114167</vt:i4>
      </vt:variant>
      <vt:variant>
        <vt:i4>236</vt:i4>
      </vt:variant>
      <vt:variant>
        <vt:i4>0</vt:i4>
      </vt:variant>
      <vt:variant>
        <vt:i4>5</vt:i4>
      </vt:variant>
      <vt:variant>
        <vt:lpwstr/>
      </vt:variant>
      <vt:variant>
        <vt:lpwstr>_Toc178772949</vt:lpwstr>
      </vt:variant>
      <vt:variant>
        <vt:i4>1114167</vt:i4>
      </vt:variant>
      <vt:variant>
        <vt:i4>230</vt:i4>
      </vt:variant>
      <vt:variant>
        <vt:i4>0</vt:i4>
      </vt:variant>
      <vt:variant>
        <vt:i4>5</vt:i4>
      </vt:variant>
      <vt:variant>
        <vt:lpwstr/>
      </vt:variant>
      <vt:variant>
        <vt:lpwstr>_Toc178772948</vt:lpwstr>
      </vt:variant>
      <vt:variant>
        <vt:i4>1114167</vt:i4>
      </vt:variant>
      <vt:variant>
        <vt:i4>224</vt:i4>
      </vt:variant>
      <vt:variant>
        <vt:i4>0</vt:i4>
      </vt:variant>
      <vt:variant>
        <vt:i4>5</vt:i4>
      </vt:variant>
      <vt:variant>
        <vt:lpwstr/>
      </vt:variant>
      <vt:variant>
        <vt:lpwstr>_Toc178772947</vt:lpwstr>
      </vt:variant>
      <vt:variant>
        <vt:i4>1114167</vt:i4>
      </vt:variant>
      <vt:variant>
        <vt:i4>218</vt:i4>
      </vt:variant>
      <vt:variant>
        <vt:i4>0</vt:i4>
      </vt:variant>
      <vt:variant>
        <vt:i4>5</vt:i4>
      </vt:variant>
      <vt:variant>
        <vt:lpwstr/>
      </vt:variant>
      <vt:variant>
        <vt:lpwstr>_Toc178772946</vt:lpwstr>
      </vt:variant>
      <vt:variant>
        <vt:i4>1114167</vt:i4>
      </vt:variant>
      <vt:variant>
        <vt:i4>212</vt:i4>
      </vt:variant>
      <vt:variant>
        <vt:i4>0</vt:i4>
      </vt:variant>
      <vt:variant>
        <vt:i4>5</vt:i4>
      </vt:variant>
      <vt:variant>
        <vt:lpwstr/>
      </vt:variant>
      <vt:variant>
        <vt:lpwstr>_Toc178772945</vt:lpwstr>
      </vt:variant>
      <vt:variant>
        <vt:i4>1114167</vt:i4>
      </vt:variant>
      <vt:variant>
        <vt:i4>206</vt:i4>
      </vt:variant>
      <vt:variant>
        <vt:i4>0</vt:i4>
      </vt:variant>
      <vt:variant>
        <vt:i4>5</vt:i4>
      </vt:variant>
      <vt:variant>
        <vt:lpwstr/>
      </vt:variant>
      <vt:variant>
        <vt:lpwstr>_Toc178772944</vt:lpwstr>
      </vt:variant>
      <vt:variant>
        <vt:i4>1114167</vt:i4>
      </vt:variant>
      <vt:variant>
        <vt:i4>200</vt:i4>
      </vt:variant>
      <vt:variant>
        <vt:i4>0</vt:i4>
      </vt:variant>
      <vt:variant>
        <vt:i4>5</vt:i4>
      </vt:variant>
      <vt:variant>
        <vt:lpwstr/>
      </vt:variant>
      <vt:variant>
        <vt:lpwstr>_Toc178772943</vt:lpwstr>
      </vt:variant>
      <vt:variant>
        <vt:i4>1114167</vt:i4>
      </vt:variant>
      <vt:variant>
        <vt:i4>194</vt:i4>
      </vt:variant>
      <vt:variant>
        <vt:i4>0</vt:i4>
      </vt:variant>
      <vt:variant>
        <vt:i4>5</vt:i4>
      </vt:variant>
      <vt:variant>
        <vt:lpwstr/>
      </vt:variant>
      <vt:variant>
        <vt:lpwstr>_Toc178772942</vt:lpwstr>
      </vt:variant>
      <vt:variant>
        <vt:i4>1441847</vt:i4>
      </vt:variant>
      <vt:variant>
        <vt:i4>188</vt:i4>
      </vt:variant>
      <vt:variant>
        <vt:i4>0</vt:i4>
      </vt:variant>
      <vt:variant>
        <vt:i4>5</vt:i4>
      </vt:variant>
      <vt:variant>
        <vt:lpwstr/>
      </vt:variant>
      <vt:variant>
        <vt:lpwstr>_Toc178772939</vt:lpwstr>
      </vt:variant>
      <vt:variant>
        <vt:i4>1441847</vt:i4>
      </vt:variant>
      <vt:variant>
        <vt:i4>182</vt:i4>
      </vt:variant>
      <vt:variant>
        <vt:i4>0</vt:i4>
      </vt:variant>
      <vt:variant>
        <vt:i4>5</vt:i4>
      </vt:variant>
      <vt:variant>
        <vt:lpwstr/>
      </vt:variant>
      <vt:variant>
        <vt:lpwstr>_Toc178772938</vt:lpwstr>
      </vt:variant>
      <vt:variant>
        <vt:i4>1441847</vt:i4>
      </vt:variant>
      <vt:variant>
        <vt:i4>176</vt:i4>
      </vt:variant>
      <vt:variant>
        <vt:i4>0</vt:i4>
      </vt:variant>
      <vt:variant>
        <vt:i4>5</vt:i4>
      </vt:variant>
      <vt:variant>
        <vt:lpwstr/>
      </vt:variant>
      <vt:variant>
        <vt:lpwstr>_Toc178772937</vt:lpwstr>
      </vt:variant>
      <vt:variant>
        <vt:i4>1441847</vt:i4>
      </vt:variant>
      <vt:variant>
        <vt:i4>170</vt:i4>
      </vt:variant>
      <vt:variant>
        <vt:i4>0</vt:i4>
      </vt:variant>
      <vt:variant>
        <vt:i4>5</vt:i4>
      </vt:variant>
      <vt:variant>
        <vt:lpwstr/>
      </vt:variant>
      <vt:variant>
        <vt:lpwstr>_Toc178772936</vt:lpwstr>
      </vt:variant>
      <vt:variant>
        <vt:i4>1441847</vt:i4>
      </vt:variant>
      <vt:variant>
        <vt:i4>164</vt:i4>
      </vt:variant>
      <vt:variant>
        <vt:i4>0</vt:i4>
      </vt:variant>
      <vt:variant>
        <vt:i4>5</vt:i4>
      </vt:variant>
      <vt:variant>
        <vt:lpwstr/>
      </vt:variant>
      <vt:variant>
        <vt:lpwstr>_Toc178772935</vt:lpwstr>
      </vt:variant>
      <vt:variant>
        <vt:i4>1441847</vt:i4>
      </vt:variant>
      <vt:variant>
        <vt:i4>158</vt:i4>
      </vt:variant>
      <vt:variant>
        <vt:i4>0</vt:i4>
      </vt:variant>
      <vt:variant>
        <vt:i4>5</vt:i4>
      </vt:variant>
      <vt:variant>
        <vt:lpwstr/>
      </vt:variant>
      <vt:variant>
        <vt:lpwstr>_Toc178772934</vt:lpwstr>
      </vt:variant>
      <vt:variant>
        <vt:i4>1245241</vt:i4>
      </vt:variant>
      <vt:variant>
        <vt:i4>152</vt:i4>
      </vt:variant>
      <vt:variant>
        <vt:i4>0</vt:i4>
      </vt:variant>
      <vt:variant>
        <vt:i4>5</vt:i4>
      </vt:variant>
      <vt:variant>
        <vt:lpwstr/>
      </vt:variant>
      <vt:variant>
        <vt:lpwstr>_Toc178772769</vt:lpwstr>
      </vt:variant>
      <vt:variant>
        <vt:i4>1245241</vt:i4>
      </vt:variant>
      <vt:variant>
        <vt:i4>146</vt:i4>
      </vt:variant>
      <vt:variant>
        <vt:i4>0</vt:i4>
      </vt:variant>
      <vt:variant>
        <vt:i4>5</vt:i4>
      </vt:variant>
      <vt:variant>
        <vt:lpwstr/>
      </vt:variant>
      <vt:variant>
        <vt:lpwstr>_Toc178772768</vt:lpwstr>
      </vt:variant>
      <vt:variant>
        <vt:i4>1245241</vt:i4>
      </vt:variant>
      <vt:variant>
        <vt:i4>140</vt:i4>
      </vt:variant>
      <vt:variant>
        <vt:i4>0</vt:i4>
      </vt:variant>
      <vt:variant>
        <vt:i4>5</vt:i4>
      </vt:variant>
      <vt:variant>
        <vt:lpwstr/>
      </vt:variant>
      <vt:variant>
        <vt:lpwstr>_Toc178772767</vt:lpwstr>
      </vt:variant>
      <vt:variant>
        <vt:i4>1245241</vt:i4>
      </vt:variant>
      <vt:variant>
        <vt:i4>134</vt:i4>
      </vt:variant>
      <vt:variant>
        <vt:i4>0</vt:i4>
      </vt:variant>
      <vt:variant>
        <vt:i4>5</vt:i4>
      </vt:variant>
      <vt:variant>
        <vt:lpwstr/>
      </vt:variant>
      <vt:variant>
        <vt:lpwstr>_Toc178772766</vt:lpwstr>
      </vt:variant>
      <vt:variant>
        <vt:i4>1245241</vt:i4>
      </vt:variant>
      <vt:variant>
        <vt:i4>128</vt:i4>
      </vt:variant>
      <vt:variant>
        <vt:i4>0</vt:i4>
      </vt:variant>
      <vt:variant>
        <vt:i4>5</vt:i4>
      </vt:variant>
      <vt:variant>
        <vt:lpwstr/>
      </vt:variant>
      <vt:variant>
        <vt:lpwstr>_Toc178772765</vt:lpwstr>
      </vt:variant>
      <vt:variant>
        <vt:i4>1245241</vt:i4>
      </vt:variant>
      <vt:variant>
        <vt:i4>122</vt:i4>
      </vt:variant>
      <vt:variant>
        <vt:i4>0</vt:i4>
      </vt:variant>
      <vt:variant>
        <vt:i4>5</vt:i4>
      </vt:variant>
      <vt:variant>
        <vt:lpwstr/>
      </vt:variant>
      <vt:variant>
        <vt:lpwstr>_Toc178772764</vt:lpwstr>
      </vt:variant>
      <vt:variant>
        <vt:i4>1245241</vt:i4>
      </vt:variant>
      <vt:variant>
        <vt:i4>116</vt:i4>
      </vt:variant>
      <vt:variant>
        <vt:i4>0</vt:i4>
      </vt:variant>
      <vt:variant>
        <vt:i4>5</vt:i4>
      </vt:variant>
      <vt:variant>
        <vt:lpwstr/>
      </vt:variant>
      <vt:variant>
        <vt:lpwstr>_Toc178772763</vt:lpwstr>
      </vt:variant>
      <vt:variant>
        <vt:i4>1245241</vt:i4>
      </vt:variant>
      <vt:variant>
        <vt:i4>110</vt:i4>
      </vt:variant>
      <vt:variant>
        <vt:i4>0</vt:i4>
      </vt:variant>
      <vt:variant>
        <vt:i4>5</vt:i4>
      </vt:variant>
      <vt:variant>
        <vt:lpwstr/>
      </vt:variant>
      <vt:variant>
        <vt:lpwstr>_Toc178772762</vt:lpwstr>
      </vt:variant>
      <vt:variant>
        <vt:i4>1245241</vt:i4>
      </vt:variant>
      <vt:variant>
        <vt:i4>104</vt:i4>
      </vt:variant>
      <vt:variant>
        <vt:i4>0</vt:i4>
      </vt:variant>
      <vt:variant>
        <vt:i4>5</vt:i4>
      </vt:variant>
      <vt:variant>
        <vt:lpwstr/>
      </vt:variant>
      <vt:variant>
        <vt:lpwstr>_Toc178772761</vt:lpwstr>
      </vt:variant>
      <vt:variant>
        <vt:i4>1245241</vt:i4>
      </vt:variant>
      <vt:variant>
        <vt:i4>98</vt:i4>
      </vt:variant>
      <vt:variant>
        <vt:i4>0</vt:i4>
      </vt:variant>
      <vt:variant>
        <vt:i4>5</vt:i4>
      </vt:variant>
      <vt:variant>
        <vt:lpwstr/>
      </vt:variant>
      <vt:variant>
        <vt:lpwstr>_Toc178772760</vt:lpwstr>
      </vt:variant>
      <vt:variant>
        <vt:i4>1048633</vt:i4>
      </vt:variant>
      <vt:variant>
        <vt:i4>92</vt:i4>
      </vt:variant>
      <vt:variant>
        <vt:i4>0</vt:i4>
      </vt:variant>
      <vt:variant>
        <vt:i4>5</vt:i4>
      </vt:variant>
      <vt:variant>
        <vt:lpwstr/>
      </vt:variant>
      <vt:variant>
        <vt:lpwstr>_Toc178772759</vt:lpwstr>
      </vt:variant>
      <vt:variant>
        <vt:i4>1048633</vt:i4>
      </vt:variant>
      <vt:variant>
        <vt:i4>86</vt:i4>
      </vt:variant>
      <vt:variant>
        <vt:i4>0</vt:i4>
      </vt:variant>
      <vt:variant>
        <vt:i4>5</vt:i4>
      </vt:variant>
      <vt:variant>
        <vt:lpwstr/>
      </vt:variant>
      <vt:variant>
        <vt:lpwstr>_Toc178772758</vt:lpwstr>
      </vt:variant>
      <vt:variant>
        <vt:i4>1048633</vt:i4>
      </vt:variant>
      <vt:variant>
        <vt:i4>80</vt:i4>
      </vt:variant>
      <vt:variant>
        <vt:i4>0</vt:i4>
      </vt:variant>
      <vt:variant>
        <vt:i4>5</vt:i4>
      </vt:variant>
      <vt:variant>
        <vt:lpwstr/>
      </vt:variant>
      <vt:variant>
        <vt:lpwstr>_Toc178772757</vt:lpwstr>
      </vt:variant>
      <vt:variant>
        <vt:i4>1048633</vt:i4>
      </vt:variant>
      <vt:variant>
        <vt:i4>74</vt:i4>
      </vt:variant>
      <vt:variant>
        <vt:i4>0</vt:i4>
      </vt:variant>
      <vt:variant>
        <vt:i4>5</vt:i4>
      </vt:variant>
      <vt:variant>
        <vt:lpwstr/>
      </vt:variant>
      <vt:variant>
        <vt:lpwstr>_Toc178772756</vt:lpwstr>
      </vt:variant>
      <vt:variant>
        <vt:i4>1048633</vt:i4>
      </vt:variant>
      <vt:variant>
        <vt:i4>68</vt:i4>
      </vt:variant>
      <vt:variant>
        <vt:i4>0</vt:i4>
      </vt:variant>
      <vt:variant>
        <vt:i4>5</vt:i4>
      </vt:variant>
      <vt:variant>
        <vt:lpwstr/>
      </vt:variant>
      <vt:variant>
        <vt:lpwstr>_Toc178772755</vt:lpwstr>
      </vt:variant>
      <vt:variant>
        <vt:i4>1048633</vt:i4>
      </vt:variant>
      <vt:variant>
        <vt:i4>62</vt:i4>
      </vt:variant>
      <vt:variant>
        <vt:i4>0</vt:i4>
      </vt:variant>
      <vt:variant>
        <vt:i4>5</vt:i4>
      </vt:variant>
      <vt:variant>
        <vt:lpwstr/>
      </vt:variant>
      <vt:variant>
        <vt:lpwstr>_Toc178772754</vt:lpwstr>
      </vt:variant>
      <vt:variant>
        <vt:i4>1048633</vt:i4>
      </vt:variant>
      <vt:variant>
        <vt:i4>56</vt:i4>
      </vt:variant>
      <vt:variant>
        <vt:i4>0</vt:i4>
      </vt:variant>
      <vt:variant>
        <vt:i4>5</vt:i4>
      </vt:variant>
      <vt:variant>
        <vt:lpwstr/>
      </vt:variant>
      <vt:variant>
        <vt:lpwstr>_Toc178772753</vt:lpwstr>
      </vt:variant>
      <vt:variant>
        <vt:i4>1179707</vt:i4>
      </vt:variant>
      <vt:variant>
        <vt:i4>50</vt:i4>
      </vt:variant>
      <vt:variant>
        <vt:i4>0</vt:i4>
      </vt:variant>
      <vt:variant>
        <vt:i4>5</vt:i4>
      </vt:variant>
      <vt:variant>
        <vt:lpwstr/>
      </vt:variant>
      <vt:variant>
        <vt:lpwstr>_Toc178772572</vt:lpwstr>
      </vt:variant>
      <vt:variant>
        <vt:i4>1179707</vt:i4>
      </vt:variant>
      <vt:variant>
        <vt:i4>44</vt:i4>
      </vt:variant>
      <vt:variant>
        <vt:i4>0</vt:i4>
      </vt:variant>
      <vt:variant>
        <vt:i4>5</vt:i4>
      </vt:variant>
      <vt:variant>
        <vt:lpwstr/>
      </vt:variant>
      <vt:variant>
        <vt:lpwstr>_Toc178772571</vt:lpwstr>
      </vt:variant>
      <vt:variant>
        <vt:i4>1179707</vt:i4>
      </vt:variant>
      <vt:variant>
        <vt:i4>38</vt:i4>
      </vt:variant>
      <vt:variant>
        <vt:i4>0</vt:i4>
      </vt:variant>
      <vt:variant>
        <vt:i4>5</vt:i4>
      </vt:variant>
      <vt:variant>
        <vt:lpwstr/>
      </vt:variant>
      <vt:variant>
        <vt:lpwstr>_Toc178772570</vt:lpwstr>
      </vt:variant>
      <vt:variant>
        <vt:i4>1441851</vt:i4>
      </vt:variant>
      <vt:variant>
        <vt:i4>32</vt:i4>
      </vt:variant>
      <vt:variant>
        <vt:i4>0</vt:i4>
      </vt:variant>
      <vt:variant>
        <vt:i4>5</vt:i4>
      </vt:variant>
      <vt:variant>
        <vt:lpwstr/>
      </vt:variant>
      <vt:variant>
        <vt:lpwstr>_Toc178772539</vt:lpwstr>
      </vt:variant>
      <vt:variant>
        <vt:i4>1441851</vt:i4>
      </vt:variant>
      <vt:variant>
        <vt:i4>26</vt:i4>
      </vt:variant>
      <vt:variant>
        <vt:i4>0</vt:i4>
      </vt:variant>
      <vt:variant>
        <vt:i4>5</vt:i4>
      </vt:variant>
      <vt:variant>
        <vt:lpwstr/>
      </vt:variant>
      <vt:variant>
        <vt:lpwstr>_Toc178772535</vt:lpwstr>
      </vt:variant>
      <vt:variant>
        <vt:i4>1441851</vt:i4>
      </vt:variant>
      <vt:variant>
        <vt:i4>20</vt:i4>
      </vt:variant>
      <vt:variant>
        <vt:i4>0</vt:i4>
      </vt:variant>
      <vt:variant>
        <vt:i4>5</vt:i4>
      </vt:variant>
      <vt:variant>
        <vt:lpwstr/>
      </vt:variant>
      <vt:variant>
        <vt:lpwstr>_Toc178772534</vt:lpwstr>
      </vt:variant>
      <vt:variant>
        <vt:i4>1507387</vt:i4>
      </vt:variant>
      <vt:variant>
        <vt:i4>14</vt:i4>
      </vt:variant>
      <vt:variant>
        <vt:i4>0</vt:i4>
      </vt:variant>
      <vt:variant>
        <vt:i4>5</vt:i4>
      </vt:variant>
      <vt:variant>
        <vt:lpwstr/>
      </vt:variant>
      <vt:variant>
        <vt:lpwstr>_Toc178772528</vt:lpwstr>
      </vt:variant>
      <vt:variant>
        <vt:i4>1507387</vt:i4>
      </vt:variant>
      <vt:variant>
        <vt:i4>8</vt:i4>
      </vt:variant>
      <vt:variant>
        <vt:i4>0</vt:i4>
      </vt:variant>
      <vt:variant>
        <vt:i4>5</vt:i4>
      </vt:variant>
      <vt:variant>
        <vt:lpwstr/>
      </vt:variant>
      <vt:variant>
        <vt:lpwstr>_Toc178772527</vt:lpwstr>
      </vt:variant>
      <vt:variant>
        <vt:i4>1507387</vt:i4>
      </vt:variant>
      <vt:variant>
        <vt:i4>2</vt:i4>
      </vt:variant>
      <vt:variant>
        <vt:i4>0</vt:i4>
      </vt:variant>
      <vt:variant>
        <vt:i4>5</vt:i4>
      </vt:variant>
      <vt:variant>
        <vt:lpwstr/>
      </vt:variant>
      <vt:variant>
        <vt:lpwstr>_Toc178772526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Yufei Blankenship</dc:creator>
  <cp:keywords/>
  <dc:description/>
  <cp:lastModifiedBy>Yufei Blankenship</cp:lastModifiedBy>
  <cp:revision>8</cp:revision>
  <dcterms:created xsi:type="dcterms:W3CDTF">2024-08-09T23:43:00Z</dcterms:created>
  <dcterms:modified xsi:type="dcterms:W3CDTF">2024-10-05T00:15:00Z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ate">
    <vt:filetime>2018-03-26T22:00:00Z</vt:filetime>
  </property>
</Properties>
</file>